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4B1E2" w14:textId="602831C7" w:rsidR="00DD58F2" w:rsidRDefault="00F969C9" w:rsidP="007800C3">
      <w:pPr>
        <w:pStyle w:val="NoSpacing"/>
        <w:jc w:val="center"/>
        <w:rPr>
          <w:rFonts w:ascii="Times New Roman" w:hAnsi="Times New Roman" w:cs="Times New Roman"/>
          <w:b/>
          <w:sz w:val="28"/>
          <w:szCs w:val="28"/>
        </w:rPr>
      </w:pPr>
      <w:r>
        <w:rPr>
          <w:rFonts w:ascii="Times New Roman" w:hAnsi="Times New Roman" w:cs="Times New Roman"/>
          <w:b/>
          <w:sz w:val="28"/>
          <w:szCs w:val="28"/>
        </w:rPr>
        <w:t>Evaluating the Labor Market Responses of a</w:t>
      </w:r>
      <w:r w:rsidR="001A779A">
        <w:rPr>
          <w:rFonts w:ascii="Times New Roman" w:hAnsi="Times New Roman" w:cs="Times New Roman"/>
          <w:b/>
          <w:sz w:val="28"/>
          <w:szCs w:val="28"/>
        </w:rPr>
        <w:t xml:space="preserve"> </w:t>
      </w:r>
      <w:r w:rsidR="007800C3" w:rsidRPr="00904FBF">
        <w:rPr>
          <w:rFonts w:ascii="Times New Roman" w:hAnsi="Times New Roman" w:cs="Times New Roman"/>
          <w:b/>
          <w:sz w:val="28"/>
          <w:szCs w:val="28"/>
        </w:rPr>
        <w:t xml:space="preserve">$15 Minimum Wage </w:t>
      </w:r>
    </w:p>
    <w:p w14:paraId="76114220" w14:textId="39B3E9BC" w:rsidR="007800C3" w:rsidRDefault="007800C3" w:rsidP="007800C3">
      <w:pPr>
        <w:pStyle w:val="NoSpacing"/>
        <w:jc w:val="center"/>
        <w:rPr>
          <w:rFonts w:ascii="Times New Roman" w:hAnsi="Times New Roman" w:cs="Times New Roman"/>
          <w:b/>
          <w:sz w:val="28"/>
          <w:szCs w:val="28"/>
        </w:rPr>
      </w:pPr>
      <w:proofErr w:type="gramStart"/>
      <w:r>
        <w:rPr>
          <w:rFonts w:ascii="Times New Roman" w:hAnsi="Times New Roman" w:cs="Times New Roman"/>
          <w:b/>
          <w:sz w:val="28"/>
          <w:szCs w:val="28"/>
        </w:rPr>
        <w:t>on</w:t>
      </w:r>
      <w:proofErr w:type="gramEnd"/>
      <w:r>
        <w:rPr>
          <w:rFonts w:ascii="Times New Roman" w:hAnsi="Times New Roman" w:cs="Times New Roman"/>
          <w:b/>
          <w:sz w:val="28"/>
          <w:szCs w:val="28"/>
        </w:rPr>
        <w:t xml:space="preserve"> Workers and a </w:t>
      </w:r>
      <w:r w:rsidRPr="00904FBF">
        <w:rPr>
          <w:rFonts w:ascii="Times New Roman" w:hAnsi="Times New Roman" w:cs="Times New Roman"/>
          <w:b/>
          <w:sz w:val="28"/>
          <w:szCs w:val="28"/>
        </w:rPr>
        <w:t>Work-</w:t>
      </w:r>
      <w:r>
        <w:rPr>
          <w:rFonts w:ascii="Times New Roman" w:hAnsi="Times New Roman" w:cs="Times New Roman"/>
          <w:b/>
          <w:sz w:val="28"/>
          <w:szCs w:val="28"/>
        </w:rPr>
        <w:t>B</w:t>
      </w:r>
      <w:r w:rsidRPr="00904FBF">
        <w:rPr>
          <w:rFonts w:ascii="Times New Roman" w:hAnsi="Times New Roman" w:cs="Times New Roman"/>
          <w:b/>
          <w:sz w:val="28"/>
          <w:szCs w:val="28"/>
        </w:rPr>
        <w:t>ased Safety Net</w:t>
      </w:r>
    </w:p>
    <w:p w14:paraId="10722C3E" w14:textId="77777777" w:rsidR="00FE769A" w:rsidRDefault="00FE769A" w:rsidP="007800C3">
      <w:pPr>
        <w:pStyle w:val="NoSpacing"/>
        <w:jc w:val="center"/>
        <w:rPr>
          <w:rFonts w:ascii="Times New Roman" w:hAnsi="Times New Roman" w:cs="Times New Roman"/>
          <w:b/>
          <w:sz w:val="28"/>
          <w:szCs w:val="28"/>
        </w:rPr>
      </w:pPr>
    </w:p>
    <w:p w14:paraId="3D492A66" w14:textId="77777777" w:rsidR="00FE769A" w:rsidRPr="00B624CD" w:rsidRDefault="00FE769A" w:rsidP="00FE769A">
      <w:pPr>
        <w:contextualSpacing/>
        <w:jc w:val="center"/>
        <w:outlineLvl w:val="0"/>
        <w:rPr>
          <w:rFonts w:ascii="Times New Roman" w:hAnsi="Times New Roman" w:cs="Times New Roman"/>
          <w:sz w:val="24"/>
          <w:szCs w:val="24"/>
        </w:rPr>
      </w:pPr>
      <w:r w:rsidRPr="00B624CD">
        <w:rPr>
          <w:rFonts w:ascii="Times New Roman" w:hAnsi="Times New Roman" w:cs="Times New Roman"/>
          <w:sz w:val="24"/>
          <w:szCs w:val="24"/>
        </w:rPr>
        <w:t>Fahad Fahimull</w:t>
      </w:r>
      <w:bookmarkStart w:id="0" w:name="_GoBack"/>
      <w:bookmarkEnd w:id="0"/>
      <w:r w:rsidRPr="00B624CD">
        <w:rPr>
          <w:rFonts w:ascii="Times New Roman" w:hAnsi="Times New Roman" w:cs="Times New Roman"/>
          <w:sz w:val="24"/>
          <w:szCs w:val="24"/>
        </w:rPr>
        <w:t xml:space="preserve">ah </w:t>
      </w:r>
    </w:p>
    <w:p w14:paraId="3AEC548F" w14:textId="77777777" w:rsidR="00FE769A" w:rsidRPr="00B624CD" w:rsidRDefault="00FE769A" w:rsidP="00FE769A">
      <w:pPr>
        <w:contextualSpacing/>
        <w:jc w:val="center"/>
        <w:outlineLvl w:val="0"/>
        <w:rPr>
          <w:rFonts w:ascii="Times New Roman" w:hAnsi="Times New Roman" w:cs="Times New Roman"/>
          <w:sz w:val="24"/>
          <w:szCs w:val="24"/>
        </w:rPr>
      </w:pPr>
      <w:r w:rsidRPr="00B624CD">
        <w:rPr>
          <w:rFonts w:ascii="Times New Roman" w:hAnsi="Times New Roman" w:cs="Times New Roman"/>
          <w:sz w:val="24"/>
          <w:szCs w:val="24"/>
        </w:rPr>
        <w:t>Office of Revenue Analysis</w:t>
      </w:r>
    </w:p>
    <w:p w14:paraId="1774D30F" w14:textId="77777777" w:rsidR="00FE769A" w:rsidRPr="00B624CD" w:rsidRDefault="00FE769A" w:rsidP="00FE769A">
      <w:pPr>
        <w:contextualSpacing/>
        <w:jc w:val="center"/>
        <w:outlineLvl w:val="0"/>
        <w:rPr>
          <w:rFonts w:ascii="Times New Roman" w:hAnsi="Times New Roman" w:cs="Times New Roman"/>
          <w:sz w:val="24"/>
          <w:szCs w:val="24"/>
        </w:rPr>
      </w:pPr>
      <w:r w:rsidRPr="00B624CD">
        <w:rPr>
          <w:rFonts w:ascii="Times New Roman" w:hAnsi="Times New Roman" w:cs="Times New Roman"/>
          <w:sz w:val="24"/>
          <w:szCs w:val="24"/>
        </w:rPr>
        <w:t>District of Columbia Government</w:t>
      </w:r>
    </w:p>
    <w:p w14:paraId="77D1A982" w14:textId="77777777" w:rsidR="00FE769A" w:rsidRPr="00B624CD" w:rsidRDefault="00FE769A" w:rsidP="00FE769A">
      <w:pPr>
        <w:contextualSpacing/>
        <w:jc w:val="center"/>
        <w:rPr>
          <w:rFonts w:ascii="Times New Roman" w:hAnsi="Times New Roman" w:cs="Times New Roman"/>
          <w:sz w:val="24"/>
          <w:szCs w:val="24"/>
        </w:rPr>
      </w:pPr>
    </w:p>
    <w:p w14:paraId="4160CFDF" w14:textId="77777777" w:rsidR="00FE769A" w:rsidRPr="00B624CD" w:rsidRDefault="00FE769A" w:rsidP="00FE769A">
      <w:pPr>
        <w:contextualSpacing/>
        <w:jc w:val="center"/>
        <w:outlineLvl w:val="0"/>
        <w:rPr>
          <w:rFonts w:ascii="Times New Roman" w:hAnsi="Times New Roman" w:cs="Times New Roman"/>
          <w:sz w:val="24"/>
          <w:szCs w:val="24"/>
        </w:rPr>
      </w:pPr>
      <w:r w:rsidRPr="00B624CD">
        <w:rPr>
          <w:rFonts w:ascii="Times New Roman" w:hAnsi="Times New Roman" w:cs="Times New Roman"/>
          <w:sz w:val="24"/>
          <w:szCs w:val="24"/>
        </w:rPr>
        <w:t>Yi Geng</w:t>
      </w:r>
    </w:p>
    <w:p w14:paraId="3A136A5D" w14:textId="77777777" w:rsidR="00FE769A" w:rsidRPr="00B624CD" w:rsidRDefault="00FE769A" w:rsidP="00FE769A">
      <w:pPr>
        <w:contextualSpacing/>
        <w:jc w:val="center"/>
        <w:outlineLvl w:val="0"/>
        <w:rPr>
          <w:rFonts w:ascii="Times New Roman" w:hAnsi="Times New Roman" w:cs="Times New Roman"/>
          <w:sz w:val="24"/>
          <w:szCs w:val="24"/>
        </w:rPr>
      </w:pPr>
      <w:r w:rsidRPr="00B624CD">
        <w:rPr>
          <w:rFonts w:ascii="Times New Roman" w:hAnsi="Times New Roman" w:cs="Times New Roman"/>
          <w:sz w:val="24"/>
          <w:szCs w:val="24"/>
        </w:rPr>
        <w:t>Office of Revenue Analysis</w:t>
      </w:r>
    </w:p>
    <w:p w14:paraId="15E44F26" w14:textId="77777777" w:rsidR="00FE769A" w:rsidRPr="00B624CD" w:rsidRDefault="00FE769A" w:rsidP="00FE769A">
      <w:pPr>
        <w:contextualSpacing/>
        <w:jc w:val="center"/>
        <w:outlineLvl w:val="0"/>
        <w:rPr>
          <w:rFonts w:ascii="Times New Roman" w:hAnsi="Times New Roman" w:cs="Times New Roman"/>
          <w:sz w:val="24"/>
          <w:szCs w:val="24"/>
        </w:rPr>
      </w:pPr>
      <w:r w:rsidRPr="00B624CD">
        <w:rPr>
          <w:rFonts w:ascii="Times New Roman" w:hAnsi="Times New Roman" w:cs="Times New Roman"/>
          <w:sz w:val="24"/>
          <w:szCs w:val="24"/>
        </w:rPr>
        <w:t>District of Columbia Government</w:t>
      </w:r>
    </w:p>
    <w:p w14:paraId="72BD24B7" w14:textId="77777777" w:rsidR="00FE769A" w:rsidRPr="00B624CD" w:rsidRDefault="00FE769A" w:rsidP="00FE769A">
      <w:pPr>
        <w:contextualSpacing/>
        <w:jc w:val="center"/>
        <w:rPr>
          <w:rFonts w:ascii="Times New Roman" w:hAnsi="Times New Roman" w:cs="Times New Roman"/>
          <w:sz w:val="24"/>
          <w:szCs w:val="24"/>
        </w:rPr>
      </w:pPr>
    </w:p>
    <w:p w14:paraId="5D367E5C" w14:textId="77777777" w:rsidR="00FE769A" w:rsidRPr="00B624CD" w:rsidRDefault="00FE769A" w:rsidP="00FE769A">
      <w:pPr>
        <w:contextualSpacing/>
        <w:jc w:val="center"/>
        <w:outlineLvl w:val="0"/>
        <w:rPr>
          <w:rFonts w:ascii="Times New Roman" w:hAnsi="Times New Roman" w:cs="Times New Roman"/>
          <w:sz w:val="24"/>
          <w:szCs w:val="24"/>
        </w:rPr>
      </w:pPr>
      <w:r w:rsidRPr="00B624CD">
        <w:rPr>
          <w:rFonts w:ascii="Times New Roman" w:hAnsi="Times New Roman" w:cs="Times New Roman"/>
          <w:sz w:val="24"/>
          <w:szCs w:val="24"/>
        </w:rPr>
        <w:t>Bradley Hardy</w:t>
      </w:r>
    </w:p>
    <w:p w14:paraId="0E9A6F42" w14:textId="77777777" w:rsidR="00FE769A" w:rsidRPr="00B624CD" w:rsidRDefault="00FE769A" w:rsidP="00FE769A">
      <w:pPr>
        <w:contextualSpacing/>
        <w:jc w:val="center"/>
        <w:outlineLvl w:val="0"/>
        <w:rPr>
          <w:rFonts w:ascii="Times New Roman" w:hAnsi="Times New Roman" w:cs="Times New Roman"/>
          <w:sz w:val="24"/>
          <w:szCs w:val="24"/>
        </w:rPr>
      </w:pPr>
      <w:r w:rsidRPr="00B624CD">
        <w:rPr>
          <w:rFonts w:ascii="Times New Roman" w:hAnsi="Times New Roman" w:cs="Times New Roman"/>
          <w:sz w:val="24"/>
          <w:szCs w:val="24"/>
        </w:rPr>
        <w:t>Department of Public Administration and Policy</w:t>
      </w:r>
    </w:p>
    <w:p w14:paraId="55AAF6AA" w14:textId="77777777" w:rsidR="00FE769A" w:rsidRPr="00B624CD" w:rsidRDefault="00FE769A" w:rsidP="00FE769A">
      <w:pPr>
        <w:contextualSpacing/>
        <w:jc w:val="center"/>
        <w:outlineLvl w:val="0"/>
        <w:rPr>
          <w:rFonts w:ascii="Times New Roman" w:hAnsi="Times New Roman" w:cs="Times New Roman"/>
          <w:sz w:val="24"/>
          <w:szCs w:val="24"/>
        </w:rPr>
      </w:pPr>
      <w:r w:rsidRPr="00B624CD">
        <w:rPr>
          <w:rFonts w:ascii="Times New Roman" w:hAnsi="Times New Roman" w:cs="Times New Roman"/>
          <w:sz w:val="24"/>
          <w:szCs w:val="24"/>
        </w:rPr>
        <w:t>American University</w:t>
      </w:r>
    </w:p>
    <w:p w14:paraId="1AC5C0BC" w14:textId="77777777" w:rsidR="00FE769A" w:rsidRPr="00B624CD" w:rsidRDefault="00FE769A" w:rsidP="00FE769A">
      <w:pPr>
        <w:contextualSpacing/>
        <w:jc w:val="center"/>
        <w:rPr>
          <w:rFonts w:ascii="Times New Roman" w:hAnsi="Times New Roman" w:cs="Times New Roman"/>
          <w:sz w:val="24"/>
          <w:szCs w:val="24"/>
        </w:rPr>
      </w:pPr>
    </w:p>
    <w:p w14:paraId="2F7FB222" w14:textId="77777777" w:rsidR="00FE769A" w:rsidRPr="00B624CD" w:rsidRDefault="00FE769A" w:rsidP="00FE769A">
      <w:pPr>
        <w:contextualSpacing/>
        <w:jc w:val="center"/>
        <w:outlineLvl w:val="0"/>
        <w:rPr>
          <w:rFonts w:ascii="Times New Roman" w:hAnsi="Times New Roman" w:cs="Times New Roman"/>
          <w:sz w:val="24"/>
          <w:szCs w:val="24"/>
        </w:rPr>
      </w:pPr>
      <w:r w:rsidRPr="00B624CD">
        <w:rPr>
          <w:rFonts w:ascii="Times New Roman" w:hAnsi="Times New Roman" w:cs="Times New Roman"/>
          <w:sz w:val="24"/>
          <w:szCs w:val="24"/>
        </w:rPr>
        <w:t>Daniel Muhammad</w:t>
      </w:r>
    </w:p>
    <w:p w14:paraId="50E180EA" w14:textId="77777777" w:rsidR="00FE769A" w:rsidRPr="00B624CD" w:rsidRDefault="00FE769A" w:rsidP="00FE769A">
      <w:pPr>
        <w:contextualSpacing/>
        <w:jc w:val="center"/>
        <w:outlineLvl w:val="0"/>
        <w:rPr>
          <w:rFonts w:ascii="Times New Roman" w:hAnsi="Times New Roman" w:cs="Times New Roman"/>
          <w:sz w:val="24"/>
          <w:szCs w:val="24"/>
        </w:rPr>
      </w:pPr>
      <w:r w:rsidRPr="00B624CD">
        <w:rPr>
          <w:rFonts w:ascii="Times New Roman" w:hAnsi="Times New Roman" w:cs="Times New Roman"/>
          <w:sz w:val="24"/>
          <w:szCs w:val="24"/>
        </w:rPr>
        <w:t>Office of Revenue Analysis</w:t>
      </w:r>
    </w:p>
    <w:p w14:paraId="761B848B" w14:textId="77777777" w:rsidR="00FE769A" w:rsidRPr="00B624CD" w:rsidRDefault="00FE769A" w:rsidP="00FE769A">
      <w:pPr>
        <w:contextualSpacing/>
        <w:jc w:val="center"/>
        <w:outlineLvl w:val="0"/>
        <w:rPr>
          <w:rFonts w:ascii="Times New Roman" w:hAnsi="Times New Roman" w:cs="Times New Roman"/>
          <w:sz w:val="24"/>
          <w:szCs w:val="24"/>
        </w:rPr>
      </w:pPr>
      <w:r w:rsidRPr="00B624CD">
        <w:rPr>
          <w:rFonts w:ascii="Times New Roman" w:hAnsi="Times New Roman" w:cs="Times New Roman"/>
          <w:sz w:val="24"/>
          <w:szCs w:val="24"/>
        </w:rPr>
        <w:t>District of Columbia Government</w:t>
      </w:r>
    </w:p>
    <w:p w14:paraId="18B8CC26" w14:textId="77777777" w:rsidR="00FE769A" w:rsidRPr="00B624CD" w:rsidRDefault="00FE769A" w:rsidP="00FE769A">
      <w:pPr>
        <w:contextualSpacing/>
        <w:jc w:val="center"/>
        <w:rPr>
          <w:rFonts w:ascii="Times New Roman" w:hAnsi="Times New Roman" w:cs="Times New Roman"/>
          <w:sz w:val="24"/>
          <w:szCs w:val="24"/>
        </w:rPr>
      </w:pPr>
    </w:p>
    <w:p w14:paraId="047C86D4" w14:textId="77777777" w:rsidR="00FE769A" w:rsidRPr="00B624CD" w:rsidRDefault="00FE769A" w:rsidP="00FE769A">
      <w:pPr>
        <w:contextualSpacing/>
        <w:jc w:val="center"/>
        <w:outlineLvl w:val="0"/>
        <w:rPr>
          <w:rFonts w:ascii="Times New Roman" w:hAnsi="Times New Roman" w:cs="Times New Roman"/>
          <w:sz w:val="24"/>
          <w:szCs w:val="24"/>
        </w:rPr>
      </w:pPr>
      <w:r w:rsidRPr="00B624CD">
        <w:rPr>
          <w:rFonts w:ascii="Times New Roman" w:hAnsi="Times New Roman" w:cs="Times New Roman"/>
          <w:sz w:val="24"/>
          <w:szCs w:val="24"/>
        </w:rPr>
        <w:t>Jeffrey Wilkins</w:t>
      </w:r>
    </w:p>
    <w:p w14:paraId="384D2F42" w14:textId="77777777" w:rsidR="00FE769A" w:rsidRPr="00B624CD" w:rsidRDefault="00FE769A" w:rsidP="00FE769A">
      <w:pPr>
        <w:contextualSpacing/>
        <w:jc w:val="center"/>
        <w:outlineLvl w:val="0"/>
        <w:rPr>
          <w:rFonts w:ascii="Times New Roman" w:hAnsi="Times New Roman" w:cs="Times New Roman"/>
          <w:sz w:val="24"/>
          <w:szCs w:val="24"/>
        </w:rPr>
      </w:pPr>
      <w:r w:rsidRPr="00B624CD">
        <w:rPr>
          <w:rFonts w:ascii="Times New Roman" w:hAnsi="Times New Roman" w:cs="Times New Roman"/>
          <w:sz w:val="24"/>
          <w:szCs w:val="24"/>
        </w:rPr>
        <w:t>Office of Revenue Analysis</w:t>
      </w:r>
    </w:p>
    <w:p w14:paraId="041AD251" w14:textId="77777777" w:rsidR="00FE769A" w:rsidRPr="00B624CD" w:rsidRDefault="00FE769A" w:rsidP="00FE769A">
      <w:pPr>
        <w:contextualSpacing/>
        <w:jc w:val="center"/>
        <w:outlineLvl w:val="0"/>
        <w:rPr>
          <w:rFonts w:ascii="Times New Roman" w:hAnsi="Times New Roman" w:cs="Times New Roman"/>
          <w:sz w:val="24"/>
          <w:szCs w:val="24"/>
        </w:rPr>
      </w:pPr>
      <w:r w:rsidRPr="00B624CD">
        <w:rPr>
          <w:rFonts w:ascii="Times New Roman" w:hAnsi="Times New Roman" w:cs="Times New Roman"/>
          <w:sz w:val="24"/>
          <w:szCs w:val="24"/>
        </w:rPr>
        <w:t>District of Columbia Government</w:t>
      </w:r>
    </w:p>
    <w:p w14:paraId="14033104" w14:textId="77777777" w:rsidR="00FE769A" w:rsidRPr="00B624CD" w:rsidRDefault="00FE769A" w:rsidP="00FE769A">
      <w:pPr>
        <w:contextualSpacing/>
        <w:jc w:val="center"/>
        <w:rPr>
          <w:rFonts w:ascii="Times New Roman" w:hAnsi="Times New Roman" w:cs="Times New Roman"/>
          <w:sz w:val="24"/>
          <w:szCs w:val="24"/>
        </w:rPr>
      </w:pPr>
    </w:p>
    <w:p w14:paraId="597C13C9" w14:textId="77777777" w:rsidR="00FE769A" w:rsidRPr="00B624CD" w:rsidRDefault="00FE769A" w:rsidP="00FE769A">
      <w:pPr>
        <w:contextualSpacing/>
        <w:jc w:val="center"/>
        <w:rPr>
          <w:rFonts w:ascii="Times New Roman" w:hAnsi="Times New Roman" w:cs="Times New Roman"/>
          <w:sz w:val="24"/>
          <w:szCs w:val="24"/>
        </w:rPr>
      </w:pPr>
    </w:p>
    <w:p w14:paraId="080FDBBE" w14:textId="77777777" w:rsidR="00FE769A" w:rsidRPr="00B624CD" w:rsidRDefault="00FE769A" w:rsidP="00FE769A">
      <w:pPr>
        <w:contextualSpacing/>
        <w:jc w:val="center"/>
        <w:rPr>
          <w:rFonts w:ascii="Times New Roman" w:hAnsi="Times New Roman" w:cs="Times New Roman"/>
          <w:sz w:val="24"/>
          <w:szCs w:val="24"/>
        </w:rPr>
      </w:pPr>
    </w:p>
    <w:p w14:paraId="636DB3B4" w14:textId="71F9E260" w:rsidR="00FE769A" w:rsidRPr="00B624CD" w:rsidRDefault="00FE769A" w:rsidP="00FE769A">
      <w:pPr>
        <w:contextualSpacing/>
        <w:jc w:val="center"/>
        <w:rPr>
          <w:rFonts w:ascii="Times New Roman" w:hAnsi="Times New Roman" w:cs="Times New Roman"/>
          <w:sz w:val="24"/>
          <w:szCs w:val="24"/>
        </w:rPr>
      </w:pPr>
      <w:r>
        <w:rPr>
          <w:rFonts w:ascii="Times New Roman" w:hAnsi="Times New Roman" w:cs="Times New Roman"/>
          <w:sz w:val="24"/>
          <w:szCs w:val="24"/>
        </w:rPr>
        <w:t>November</w:t>
      </w:r>
      <w:r w:rsidRPr="00B624CD">
        <w:rPr>
          <w:rFonts w:ascii="Times New Roman" w:hAnsi="Times New Roman" w:cs="Times New Roman"/>
          <w:sz w:val="24"/>
          <w:szCs w:val="24"/>
        </w:rPr>
        <w:t xml:space="preserve"> </w:t>
      </w:r>
      <w:r>
        <w:rPr>
          <w:rFonts w:ascii="Times New Roman" w:hAnsi="Times New Roman" w:cs="Times New Roman"/>
          <w:sz w:val="24"/>
          <w:szCs w:val="24"/>
        </w:rPr>
        <w:t>2017</w:t>
      </w:r>
    </w:p>
    <w:p w14:paraId="0293FCA0" w14:textId="77777777" w:rsidR="00FE769A" w:rsidRPr="00B624CD" w:rsidRDefault="00FE769A" w:rsidP="00FE769A">
      <w:pPr>
        <w:spacing w:line="480" w:lineRule="auto"/>
        <w:contextualSpacing/>
        <w:rPr>
          <w:rFonts w:ascii="Times New Roman" w:hAnsi="Times New Roman" w:cs="Times New Roman"/>
          <w:b/>
          <w:sz w:val="24"/>
          <w:szCs w:val="24"/>
          <w:u w:val="single"/>
        </w:rPr>
      </w:pPr>
    </w:p>
    <w:p w14:paraId="4E24A8A0" w14:textId="77777777" w:rsidR="00FE769A" w:rsidRDefault="00FE769A" w:rsidP="00FE769A">
      <w:pPr>
        <w:contextualSpacing/>
        <w:rPr>
          <w:rFonts w:ascii="Times New Roman" w:hAnsi="Times New Roman" w:cs="Times New Roman"/>
          <w:b/>
          <w:sz w:val="24"/>
          <w:szCs w:val="24"/>
        </w:rPr>
      </w:pPr>
    </w:p>
    <w:p w14:paraId="6F65D0A6" w14:textId="77777777" w:rsidR="00FE769A" w:rsidRDefault="00FE769A" w:rsidP="00FE769A">
      <w:pPr>
        <w:contextualSpacing/>
        <w:rPr>
          <w:rFonts w:ascii="Times New Roman" w:hAnsi="Times New Roman" w:cs="Times New Roman"/>
          <w:b/>
          <w:sz w:val="24"/>
          <w:szCs w:val="24"/>
        </w:rPr>
      </w:pPr>
    </w:p>
    <w:p w14:paraId="300257EF" w14:textId="77777777" w:rsidR="00FE769A" w:rsidRDefault="00FE769A" w:rsidP="00FE769A">
      <w:pPr>
        <w:contextualSpacing/>
        <w:rPr>
          <w:rFonts w:ascii="Times New Roman" w:hAnsi="Times New Roman" w:cs="Times New Roman"/>
          <w:b/>
          <w:sz w:val="24"/>
          <w:szCs w:val="24"/>
        </w:rPr>
      </w:pPr>
    </w:p>
    <w:p w14:paraId="64F42764" w14:textId="77777777" w:rsidR="00FE769A" w:rsidRDefault="00FE769A" w:rsidP="00FE769A">
      <w:pPr>
        <w:contextualSpacing/>
        <w:rPr>
          <w:rFonts w:ascii="Times New Roman" w:hAnsi="Times New Roman" w:cs="Times New Roman"/>
          <w:b/>
          <w:sz w:val="24"/>
          <w:szCs w:val="24"/>
        </w:rPr>
      </w:pPr>
    </w:p>
    <w:p w14:paraId="059810AE" w14:textId="77777777" w:rsidR="00FE769A" w:rsidRDefault="00FE769A" w:rsidP="00FE769A">
      <w:pPr>
        <w:contextualSpacing/>
        <w:rPr>
          <w:rFonts w:ascii="Times New Roman" w:hAnsi="Times New Roman" w:cs="Times New Roman"/>
          <w:b/>
          <w:sz w:val="24"/>
          <w:szCs w:val="24"/>
        </w:rPr>
      </w:pPr>
    </w:p>
    <w:p w14:paraId="35C4A586" w14:textId="77777777" w:rsidR="00FE769A" w:rsidRDefault="00FE769A" w:rsidP="00FE769A">
      <w:pPr>
        <w:contextualSpacing/>
        <w:rPr>
          <w:rFonts w:ascii="Times New Roman" w:hAnsi="Times New Roman" w:cs="Times New Roman"/>
          <w:b/>
          <w:sz w:val="24"/>
          <w:szCs w:val="24"/>
        </w:rPr>
      </w:pPr>
    </w:p>
    <w:p w14:paraId="540ED600" w14:textId="77777777" w:rsidR="00FE769A" w:rsidRDefault="00FE769A" w:rsidP="00FE769A">
      <w:pPr>
        <w:contextualSpacing/>
        <w:rPr>
          <w:rFonts w:ascii="Times New Roman" w:hAnsi="Times New Roman" w:cs="Times New Roman"/>
          <w:b/>
          <w:sz w:val="24"/>
          <w:szCs w:val="24"/>
        </w:rPr>
      </w:pPr>
    </w:p>
    <w:p w14:paraId="024F3FC0" w14:textId="5E763C99" w:rsidR="00FE769A" w:rsidRPr="00B624CD" w:rsidRDefault="00FE769A" w:rsidP="00FE769A">
      <w:pPr>
        <w:contextualSpacing/>
        <w:rPr>
          <w:rFonts w:ascii="Times New Roman" w:hAnsi="Times New Roman" w:cs="Times New Roman"/>
          <w:sz w:val="24"/>
          <w:szCs w:val="24"/>
        </w:rPr>
      </w:pPr>
      <w:r w:rsidRPr="00B624CD">
        <w:rPr>
          <w:rFonts w:ascii="Times New Roman" w:hAnsi="Times New Roman" w:cs="Times New Roman"/>
          <w:sz w:val="24"/>
          <w:szCs w:val="24"/>
        </w:rPr>
        <w:t>The views expressed in this research are solely those of the authors and do not reflect the official positions or policies of the District of Columbia Government, the Office of the Chief Financial Officer, or the Office of Revenue Analysis.</w:t>
      </w:r>
      <w:r w:rsidRPr="00B624CD">
        <w:rPr>
          <w:rFonts w:ascii="Times New Roman" w:hAnsi="Times New Roman" w:cs="Times New Roman"/>
          <w:i/>
          <w:sz w:val="24"/>
          <w:szCs w:val="24"/>
        </w:rPr>
        <w:t xml:space="preserve"> </w:t>
      </w:r>
      <w:r w:rsidRPr="00B624CD">
        <w:rPr>
          <w:rFonts w:ascii="Times New Roman" w:hAnsi="Times New Roman" w:cs="Times New Roman"/>
          <w:sz w:val="24"/>
          <w:szCs w:val="24"/>
        </w:rPr>
        <w:t>The authors accept responsibility for all errors.</w:t>
      </w:r>
    </w:p>
    <w:p w14:paraId="354D5004" w14:textId="10F21BE1" w:rsidR="00FE769A" w:rsidRDefault="00FE769A" w:rsidP="00FE769A">
      <w:pPr>
        <w:contextualSpacing/>
        <w:rPr>
          <w:rFonts w:ascii="Times New Roman" w:hAnsi="Times New Roman" w:cs="Times New Roman"/>
          <w:sz w:val="24"/>
          <w:szCs w:val="24"/>
        </w:rPr>
      </w:pPr>
    </w:p>
    <w:p w14:paraId="33244AD9" w14:textId="77777777" w:rsidR="00AD2E8F" w:rsidRPr="00B624CD" w:rsidRDefault="00AD2E8F" w:rsidP="00FE769A">
      <w:pPr>
        <w:contextualSpacing/>
        <w:rPr>
          <w:rFonts w:ascii="Times New Roman" w:hAnsi="Times New Roman" w:cs="Times New Roman"/>
          <w:sz w:val="24"/>
          <w:szCs w:val="24"/>
        </w:rPr>
      </w:pPr>
    </w:p>
    <w:p w14:paraId="44E69DEF" w14:textId="77777777" w:rsidR="000B58AF" w:rsidRPr="00AA108E" w:rsidRDefault="00BE1F46" w:rsidP="00921D4A">
      <w:pPr>
        <w:pStyle w:val="ListParagraph"/>
        <w:numPr>
          <w:ilvl w:val="0"/>
          <w:numId w:val="8"/>
        </w:numPr>
        <w:rPr>
          <w:rFonts w:ascii="Times New Roman" w:hAnsi="Times New Roman" w:cs="Times New Roman"/>
          <w:b/>
          <w:sz w:val="24"/>
          <w:szCs w:val="24"/>
        </w:rPr>
      </w:pPr>
      <w:r w:rsidRPr="00AA108E">
        <w:rPr>
          <w:rFonts w:ascii="Times New Roman" w:hAnsi="Times New Roman" w:cs="Times New Roman"/>
          <w:b/>
          <w:sz w:val="24"/>
          <w:szCs w:val="24"/>
        </w:rPr>
        <w:lastRenderedPageBreak/>
        <w:t>Introduction</w:t>
      </w:r>
    </w:p>
    <w:p w14:paraId="5E45B3E3" w14:textId="77777777" w:rsidR="000B58AF" w:rsidRDefault="000B58AF" w:rsidP="00921D4A">
      <w:pPr>
        <w:pStyle w:val="ListParagraph"/>
        <w:ind w:left="1080"/>
        <w:rPr>
          <w:b/>
          <w:sz w:val="24"/>
          <w:szCs w:val="24"/>
          <w:u w:val="single"/>
        </w:rPr>
      </w:pPr>
    </w:p>
    <w:p w14:paraId="4EA9B471" w14:textId="362FB482" w:rsidR="008D582B" w:rsidRDefault="00066B22" w:rsidP="00AA744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recent years, </w:t>
      </w:r>
      <w:r w:rsidR="00C83714">
        <w:rPr>
          <w:rFonts w:ascii="Times New Roman" w:hAnsi="Times New Roman" w:cs="Times New Roman"/>
          <w:sz w:val="24"/>
          <w:szCs w:val="24"/>
        </w:rPr>
        <w:t xml:space="preserve">state </w:t>
      </w:r>
      <w:r w:rsidR="0090109D">
        <w:rPr>
          <w:rFonts w:ascii="Times New Roman" w:hAnsi="Times New Roman" w:cs="Times New Roman"/>
          <w:sz w:val="24"/>
          <w:szCs w:val="24"/>
        </w:rPr>
        <w:t xml:space="preserve">and local </w:t>
      </w:r>
      <w:r w:rsidR="00C83714">
        <w:rPr>
          <w:rFonts w:ascii="Times New Roman" w:hAnsi="Times New Roman" w:cs="Times New Roman"/>
          <w:sz w:val="24"/>
          <w:szCs w:val="24"/>
        </w:rPr>
        <w:t>government</w:t>
      </w:r>
      <w:r w:rsidR="00D57B82">
        <w:rPr>
          <w:rFonts w:ascii="Times New Roman" w:hAnsi="Times New Roman" w:cs="Times New Roman"/>
          <w:sz w:val="24"/>
          <w:szCs w:val="24"/>
        </w:rPr>
        <w:t>s</w:t>
      </w:r>
      <w:r w:rsidR="00F5761F">
        <w:rPr>
          <w:rFonts w:ascii="Times New Roman" w:hAnsi="Times New Roman" w:cs="Times New Roman"/>
          <w:sz w:val="24"/>
          <w:szCs w:val="24"/>
        </w:rPr>
        <w:t xml:space="preserve"> and their citizens have vocalized concerns</w:t>
      </w:r>
      <w:r w:rsidR="00C83714">
        <w:rPr>
          <w:rFonts w:ascii="Times New Roman" w:hAnsi="Times New Roman" w:cs="Times New Roman"/>
          <w:sz w:val="24"/>
          <w:szCs w:val="24"/>
        </w:rPr>
        <w:t xml:space="preserve"> </w:t>
      </w:r>
      <w:r w:rsidR="00300D1F">
        <w:rPr>
          <w:rFonts w:ascii="Times New Roman" w:hAnsi="Times New Roman" w:cs="Times New Roman"/>
          <w:sz w:val="24"/>
          <w:szCs w:val="24"/>
        </w:rPr>
        <w:t xml:space="preserve">surrounding stagnant wages, rising inequality, and </w:t>
      </w:r>
      <w:r w:rsidR="00D64904">
        <w:rPr>
          <w:rFonts w:ascii="Times New Roman" w:hAnsi="Times New Roman" w:cs="Times New Roman"/>
          <w:sz w:val="24"/>
          <w:szCs w:val="24"/>
        </w:rPr>
        <w:t xml:space="preserve">overall </w:t>
      </w:r>
      <w:r w:rsidR="0095404D">
        <w:rPr>
          <w:rFonts w:ascii="Times New Roman" w:hAnsi="Times New Roman" w:cs="Times New Roman"/>
          <w:sz w:val="24"/>
          <w:szCs w:val="24"/>
        </w:rPr>
        <w:t>socio-</w:t>
      </w:r>
      <w:r w:rsidR="00D64904">
        <w:rPr>
          <w:rFonts w:ascii="Times New Roman" w:hAnsi="Times New Roman" w:cs="Times New Roman"/>
          <w:sz w:val="24"/>
          <w:szCs w:val="24"/>
        </w:rPr>
        <w:t xml:space="preserve">economic </w:t>
      </w:r>
      <w:r w:rsidR="00300D1F">
        <w:rPr>
          <w:rFonts w:ascii="Times New Roman" w:hAnsi="Times New Roman" w:cs="Times New Roman"/>
          <w:sz w:val="24"/>
          <w:szCs w:val="24"/>
        </w:rPr>
        <w:t>well-being among</w:t>
      </w:r>
      <w:r w:rsidR="00C83714">
        <w:rPr>
          <w:rFonts w:ascii="Times New Roman" w:hAnsi="Times New Roman" w:cs="Times New Roman"/>
          <w:sz w:val="24"/>
          <w:szCs w:val="24"/>
        </w:rPr>
        <w:t xml:space="preserve"> low </w:t>
      </w:r>
      <w:r w:rsidR="00900FEF">
        <w:rPr>
          <w:rFonts w:ascii="Times New Roman" w:hAnsi="Times New Roman" w:cs="Times New Roman"/>
          <w:sz w:val="24"/>
          <w:szCs w:val="24"/>
        </w:rPr>
        <w:t xml:space="preserve">and </w:t>
      </w:r>
      <w:r w:rsidR="008E592D">
        <w:rPr>
          <w:rFonts w:ascii="Times New Roman" w:hAnsi="Times New Roman" w:cs="Times New Roman"/>
          <w:sz w:val="24"/>
          <w:szCs w:val="24"/>
        </w:rPr>
        <w:t>moderate-income</w:t>
      </w:r>
      <w:r w:rsidR="00C83714">
        <w:rPr>
          <w:rFonts w:ascii="Times New Roman" w:hAnsi="Times New Roman" w:cs="Times New Roman"/>
          <w:sz w:val="24"/>
          <w:szCs w:val="24"/>
        </w:rPr>
        <w:t xml:space="preserve"> </w:t>
      </w:r>
      <w:r w:rsidR="00FA0FA0">
        <w:rPr>
          <w:rFonts w:ascii="Times New Roman" w:hAnsi="Times New Roman" w:cs="Times New Roman"/>
          <w:sz w:val="24"/>
          <w:szCs w:val="24"/>
        </w:rPr>
        <w:t>residents</w:t>
      </w:r>
      <w:r w:rsidR="00D57B82">
        <w:rPr>
          <w:rFonts w:ascii="Times New Roman" w:hAnsi="Times New Roman" w:cs="Times New Roman"/>
          <w:sz w:val="24"/>
          <w:szCs w:val="24"/>
        </w:rPr>
        <w:t xml:space="preserve">. </w:t>
      </w:r>
      <w:r w:rsidR="00B0565D">
        <w:rPr>
          <w:rFonts w:ascii="Times New Roman" w:hAnsi="Times New Roman" w:cs="Times New Roman"/>
          <w:sz w:val="24"/>
          <w:szCs w:val="24"/>
        </w:rPr>
        <w:t xml:space="preserve">In response, </w:t>
      </w:r>
      <w:r w:rsidR="00D40CC0">
        <w:rPr>
          <w:rFonts w:ascii="Times New Roman" w:hAnsi="Times New Roman" w:cs="Times New Roman"/>
          <w:sz w:val="24"/>
          <w:szCs w:val="24"/>
        </w:rPr>
        <w:t>many localities</w:t>
      </w:r>
      <w:r w:rsidR="00F10C12">
        <w:rPr>
          <w:rFonts w:ascii="Times New Roman" w:hAnsi="Times New Roman" w:cs="Times New Roman"/>
          <w:sz w:val="24"/>
          <w:szCs w:val="24"/>
        </w:rPr>
        <w:t xml:space="preserve"> moved to enact minimum wage increases well-beyond </w:t>
      </w:r>
      <w:r w:rsidR="00D40CC0">
        <w:rPr>
          <w:rFonts w:ascii="Times New Roman" w:hAnsi="Times New Roman" w:cs="Times New Roman"/>
          <w:sz w:val="24"/>
          <w:szCs w:val="24"/>
        </w:rPr>
        <w:t>the federally mandated level of $7.25 per hour</w:t>
      </w:r>
      <w:r w:rsidR="00F10C12">
        <w:rPr>
          <w:rFonts w:ascii="Times New Roman" w:hAnsi="Times New Roman" w:cs="Times New Roman"/>
          <w:sz w:val="24"/>
          <w:szCs w:val="24"/>
        </w:rPr>
        <w:t xml:space="preserve">. </w:t>
      </w:r>
      <w:r w:rsidR="0043218F">
        <w:rPr>
          <w:rFonts w:ascii="Times New Roman" w:hAnsi="Times New Roman" w:cs="Times New Roman"/>
          <w:sz w:val="24"/>
          <w:szCs w:val="24"/>
        </w:rPr>
        <w:t>T</w:t>
      </w:r>
      <w:r w:rsidR="00F10C12">
        <w:rPr>
          <w:rFonts w:ascii="Times New Roman" w:hAnsi="Times New Roman" w:cs="Times New Roman"/>
          <w:sz w:val="24"/>
          <w:szCs w:val="24"/>
        </w:rPr>
        <w:t>he</w:t>
      </w:r>
      <w:r w:rsidR="008D582B">
        <w:rPr>
          <w:rFonts w:ascii="Times New Roman" w:hAnsi="Times New Roman" w:cs="Times New Roman"/>
          <w:sz w:val="24"/>
          <w:szCs w:val="24"/>
        </w:rPr>
        <w:t xml:space="preserve"> Washington, D.C. </w:t>
      </w:r>
      <w:r w:rsidR="008D582B" w:rsidRPr="000004D9">
        <w:rPr>
          <w:rFonts w:ascii="Times" w:hAnsi="Times" w:cs="Times New Roman"/>
          <w:sz w:val="24"/>
          <w:szCs w:val="24"/>
        </w:rPr>
        <w:t>Fair Shot Minimum Wage Amendment Act of 2016</w:t>
      </w:r>
      <w:r w:rsidR="008D582B">
        <w:rPr>
          <w:rFonts w:ascii="Times New Roman" w:hAnsi="Times New Roman" w:cs="Times New Roman"/>
          <w:sz w:val="24"/>
          <w:szCs w:val="24"/>
        </w:rPr>
        <w:t xml:space="preserve"> stands out as among the</w:t>
      </w:r>
      <w:r w:rsidR="00F10C12">
        <w:rPr>
          <w:rFonts w:ascii="Times New Roman" w:hAnsi="Times New Roman" w:cs="Times New Roman"/>
          <w:sz w:val="24"/>
          <w:szCs w:val="24"/>
        </w:rPr>
        <w:t xml:space="preserve"> </w:t>
      </w:r>
      <w:r w:rsidR="008D582B">
        <w:rPr>
          <w:rFonts w:ascii="Times New Roman" w:hAnsi="Times New Roman" w:cs="Times New Roman"/>
          <w:sz w:val="24"/>
          <w:szCs w:val="24"/>
        </w:rPr>
        <w:t xml:space="preserve">most expansive </w:t>
      </w:r>
      <w:r w:rsidR="00A174AA">
        <w:rPr>
          <w:rFonts w:ascii="Times New Roman" w:hAnsi="Times New Roman" w:cs="Times New Roman"/>
          <w:sz w:val="24"/>
          <w:szCs w:val="24"/>
        </w:rPr>
        <w:t>of these</w:t>
      </w:r>
      <w:r w:rsidR="00ED4120">
        <w:rPr>
          <w:rFonts w:ascii="Times New Roman" w:hAnsi="Times New Roman" w:cs="Times New Roman"/>
          <w:sz w:val="24"/>
          <w:szCs w:val="24"/>
        </w:rPr>
        <w:t>,</w:t>
      </w:r>
      <w:r w:rsidR="00C83714">
        <w:rPr>
          <w:rFonts w:ascii="Times New Roman" w:hAnsi="Times New Roman" w:cs="Times New Roman"/>
          <w:sz w:val="24"/>
          <w:szCs w:val="24"/>
        </w:rPr>
        <w:t xml:space="preserve"> </w:t>
      </w:r>
      <w:r w:rsidR="008D582B">
        <w:rPr>
          <w:rFonts w:ascii="Times New Roman" w:hAnsi="Times New Roman" w:cs="Times New Roman"/>
          <w:sz w:val="24"/>
          <w:szCs w:val="24"/>
        </w:rPr>
        <w:t xml:space="preserve">increasing </w:t>
      </w:r>
      <w:r w:rsidR="0090109D">
        <w:rPr>
          <w:rFonts w:ascii="Times New Roman" w:hAnsi="Times New Roman" w:cs="Times New Roman"/>
          <w:sz w:val="24"/>
          <w:szCs w:val="24"/>
        </w:rPr>
        <w:t>the</w:t>
      </w:r>
      <w:r w:rsidR="00C83714">
        <w:rPr>
          <w:rFonts w:ascii="Times New Roman" w:hAnsi="Times New Roman" w:cs="Times New Roman"/>
          <w:sz w:val="24"/>
          <w:szCs w:val="24"/>
        </w:rPr>
        <w:t xml:space="preserve"> </w:t>
      </w:r>
      <w:r w:rsidR="0090109D">
        <w:rPr>
          <w:rFonts w:ascii="Times New Roman" w:hAnsi="Times New Roman" w:cs="Times New Roman"/>
          <w:sz w:val="24"/>
          <w:szCs w:val="24"/>
        </w:rPr>
        <w:t xml:space="preserve">city’s </w:t>
      </w:r>
      <w:r w:rsidR="00C83714" w:rsidRPr="00B624CD">
        <w:rPr>
          <w:rFonts w:ascii="Times New Roman" w:hAnsi="Times New Roman" w:cs="Times New Roman"/>
          <w:sz w:val="24"/>
          <w:szCs w:val="24"/>
        </w:rPr>
        <w:t xml:space="preserve">hourly minimum wage to $15 </w:t>
      </w:r>
      <w:r w:rsidR="0090109D">
        <w:rPr>
          <w:rFonts w:ascii="Times New Roman" w:hAnsi="Times New Roman" w:cs="Times New Roman"/>
          <w:sz w:val="24"/>
          <w:szCs w:val="24"/>
        </w:rPr>
        <w:t xml:space="preserve">by </w:t>
      </w:r>
      <w:r w:rsidR="00C83714" w:rsidRPr="00B624CD">
        <w:rPr>
          <w:rFonts w:ascii="Times New Roman" w:hAnsi="Times New Roman" w:cs="Times New Roman"/>
          <w:sz w:val="24"/>
          <w:szCs w:val="24"/>
        </w:rPr>
        <w:t xml:space="preserve">2020. </w:t>
      </w:r>
      <w:r w:rsidR="008D582B">
        <w:rPr>
          <w:rFonts w:ascii="Times New Roman" w:hAnsi="Times New Roman" w:cs="Times New Roman"/>
          <w:sz w:val="24"/>
          <w:szCs w:val="24"/>
        </w:rPr>
        <w:t xml:space="preserve">The increase occurs over a </w:t>
      </w:r>
      <w:r w:rsidR="006B2745">
        <w:rPr>
          <w:rFonts w:ascii="Times New Roman" w:hAnsi="Times New Roman" w:cs="Times New Roman"/>
          <w:sz w:val="24"/>
          <w:szCs w:val="24"/>
        </w:rPr>
        <w:t>4</w:t>
      </w:r>
      <w:r w:rsidR="00904231">
        <w:rPr>
          <w:rFonts w:ascii="Times New Roman" w:hAnsi="Times New Roman" w:cs="Times New Roman"/>
          <w:sz w:val="24"/>
          <w:szCs w:val="24"/>
        </w:rPr>
        <w:t>-year</w:t>
      </w:r>
      <w:r w:rsidR="008D582B">
        <w:rPr>
          <w:rFonts w:ascii="Times New Roman" w:hAnsi="Times New Roman" w:cs="Times New Roman"/>
          <w:sz w:val="24"/>
          <w:szCs w:val="24"/>
        </w:rPr>
        <w:t xml:space="preserve"> period</w:t>
      </w:r>
      <w:r w:rsidR="009D2347">
        <w:rPr>
          <w:rFonts w:ascii="Times New Roman" w:hAnsi="Times New Roman" w:cs="Times New Roman"/>
          <w:sz w:val="24"/>
          <w:szCs w:val="24"/>
        </w:rPr>
        <w:t xml:space="preserve"> </w:t>
      </w:r>
      <w:r w:rsidR="00E24918">
        <w:rPr>
          <w:rFonts w:ascii="Times New Roman" w:hAnsi="Times New Roman" w:cs="Times New Roman"/>
          <w:sz w:val="24"/>
          <w:szCs w:val="24"/>
        </w:rPr>
        <w:t>following</w:t>
      </w:r>
      <w:r w:rsidR="009D2347">
        <w:rPr>
          <w:rFonts w:ascii="Times New Roman" w:hAnsi="Times New Roman" w:cs="Times New Roman"/>
          <w:sz w:val="24"/>
          <w:szCs w:val="24"/>
        </w:rPr>
        <w:t xml:space="preserve"> </w:t>
      </w:r>
      <w:r w:rsidR="00E24918">
        <w:rPr>
          <w:rFonts w:ascii="Times New Roman" w:hAnsi="Times New Roman" w:cs="Times New Roman"/>
          <w:sz w:val="24"/>
          <w:szCs w:val="24"/>
        </w:rPr>
        <w:t xml:space="preserve">an era </w:t>
      </w:r>
      <w:r w:rsidR="009D2347">
        <w:rPr>
          <w:rFonts w:ascii="Times New Roman" w:hAnsi="Times New Roman" w:cs="Times New Roman"/>
          <w:sz w:val="24"/>
          <w:szCs w:val="24"/>
        </w:rPr>
        <w:t>of</w:t>
      </w:r>
      <w:r w:rsidR="008D582B">
        <w:rPr>
          <w:rFonts w:ascii="Times New Roman" w:hAnsi="Times New Roman" w:cs="Times New Roman"/>
          <w:sz w:val="24"/>
          <w:szCs w:val="24"/>
        </w:rPr>
        <w:t xml:space="preserve"> </w:t>
      </w:r>
      <w:r w:rsidR="006B264B">
        <w:rPr>
          <w:rFonts w:ascii="Times New Roman" w:hAnsi="Times New Roman" w:cs="Times New Roman"/>
          <w:sz w:val="24"/>
          <w:szCs w:val="24"/>
        </w:rPr>
        <w:t xml:space="preserve">local </w:t>
      </w:r>
      <w:r w:rsidR="008D582B">
        <w:rPr>
          <w:rFonts w:ascii="Times New Roman" w:hAnsi="Times New Roman" w:cs="Times New Roman"/>
          <w:sz w:val="24"/>
          <w:szCs w:val="24"/>
        </w:rPr>
        <w:t xml:space="preserve">economic </w:t>
      </w:r>
      <w:r w:rsidR="006B264B">
        <w:rPr>
          <w:rFonts w:ascii="Times New Roman" w:hAnsi="Times New Roman" w:cs="Times New Roman"/>
          <w:sz w:val="24"/>
          <w:szCs w:val="24"/>
        </w:rPr>
        <w:t>expansion</w:t>
      </w:r>
      <w:r w:rsidR="008D582B">
        <w:rPr>
          <w:rFonts w:ascii="Times New Roman" w:hAnsi="Times New Roman" w:cs="Times New Roman"/>
          <w:sz w:val="24"/>
          <w:szCs w:val="24"/>
        </w:rPr>
        <w:t xml:space="preserve"> and </w:t>
      </w:r>
      <w:r w:rsidR="009D2347">
        <w:rPr>
          <w:rFonts w:ascii="Times New Roman" w:hAnsi="Times New Roman" w:cs="Times New Roman"/>
          <w:sz w:val="24"/>
          <w:szCs w:val="24"/>
        </w:rPr>
        <w:t>historically strong</w:t>
      </w:r>
      <w:r w:rsidR="008D582B">
        <w:rPr>
          <w:rFonts w:ascii="Times New Roman" w:hAnsi="Times New Roman" w:cs="Times New Roman"/>
          <w:sz w:val="24"/>
          <w:szCs w:val="24"/>
        </w:rPr>
        <w:t xml:space="preserve"> financial health</w:t>
      </w:r>
      <w:r w:rsidR="009D2347">
        <w:rPr>
          <w:rFonts w:ascii="Times New Roman" w:hAnsi="Times New Roman" w:cs="Times New Roman"/>
          <w:sz w:val="24"/>
          <w:szCs w:val="24"/>
        </w:rPr>
        <w:t xml:space="preserve"> (</w:t>
      </w:r>
      <w:r w:rsidR="00F273D6">
        <w:rPr>
          <w:rFonts w:ascii="Times New Roman" w:eastAsiaTheme="minorEastAsia" w:hAnsi="Times New Roman" w:cs="Times New Roman"/>
          <w:sz w:val="24"/>
          <w:szCs w:val="24"/>
        </w:rPr>
        <w:t>Gandhi, Spaulding, and McDonald</w:t>
      </w:r>
      <w:r w:rsidR="00F273D6">
        <w:rPr>
          <w:rFonts w:ascii="Times New Roman" w:hAnsi="Times New Roman" w:cs="Times New Roman"/>
          <w:sz w:val="24"/>
          <w:szCs w:val="24"/>
        </w:rPr>
        <w:t xml:space="preserve"> 2015</w:t>
      </w:r>
      <w:r w:rsidR="009D2347">
        <w:rPr>
          <w:rFonts w:ascii="Times New Roman" w:hAnsi="Times New Roman" w:cs="Times New Roman"/>
          <w:sz w:val="24"/>
          <w:szCs w:val="24"/>
        </w:rPr>
        <w:t>)</w:t>
      </w:r>
      <w:r w:rsidR="008D582B">
        <w:rPr>
          <w:rFonts w:ascii="Times New Roman" w:hAnsi="Times New Roman" w:cs="Times New Roman"/>
          <w:sz w:val="24"/>
          <w:szCs w:val="24"/>
        </w:rPr>
        <w:t xml:space="preserve">. </w:t>
      </w:r>
      <w:r w:rsidR="00BB1133">
        <w:rPr>
          <w:rFonts w:ascii="Times New Roman" w:hAnsi="Times New Roman" w:cs="Times New Roman"/>
          <w:sz w:val="24"/>
          <w:szCs w:val="24"/>
        </w:rPr>
        <w:t xml:space="preserve">Meanwhile, </w:t>
      </w:r>
      <w:r w:rsidR="00AD470E">
        <w:rPr>
          <w:rFonts w:ascii="Times New Roman" w:hAnsi="Times New Roman" w:cs="Times New Roman"/>
          <w:sz w:val="24"/>
          <w:szCs w:val="24"/>
        </w:rPr>
        <w:t>beginning in</w:t>
      </w:r>
      <w:r w:rsidR="009D2347">
        <w:rPr>
          <w:rFonts w:ascii="Times New Roman" w:hAnsi="Times New Roman" w:cs="Times New Roman"/>
          <w:sz w:val="24"/>
          <w:szCs w:val="24"/>
        </w:rPr>
        <w:t xml:space="preserve"> the early 2000s, the city created and gradually expanded a refundable earned income tax credit (EITC) for working-poor residents. The </w:t>
      </w:r>
      <w:r w:rsidR="008B31C2">
        <w:rPr>
          <w:rFonts w:ascii="Times New Roman" w:hAnsi="Times New Roman" w:cs="Times New Roman"/>
          <w:sz w:val="24"/>
          <w:szCs w:val="24"/>
        </w:rPr>
        <w:t xml:space="preserve">local </w:t>
      </w:r>
      <w:r w:rsidR="009D2347">
        <w:rPr>
          <w:rFonts w:ascii="Times New Roman" w:hAnsi="Times New Roman" w:cs="Times New Roman"/>
          <w:sz w:val="24"/>
          <w:szCs w:val="24"/>
        </w:rPr>
        <w:t>EITC and minimum wage</w:t>
      </w:r>
      <w:r w:rsidR="00E2469C">
        <w:rPr>
          <w:rFonts w:ascii="Times New Roman" w:hAnsi="Times New Roman" w:cs="Times New Roman"/>
          <w:sz w:val="24"/>
          <w:szCs w:val="24"/>
        </w:rPr>
        <w:t xml:space="preserve"> policies</w:t>
      </w:r>
      <w:r w:rsidR="009D2347">
        <w:rPr>
          <w:rFonts w:ascii="Times New Roman" w:hAnsi="Times New Roman" w:cs="Times New Roman"/>
          <w:sz w:val="24"/>
          <w:szCs w:val="24"/>
        </w:rPr>
        <w:t>, as a package</w:t>
      </w:r>
      <w:r w:rsidR="003D3314">
        <w:rPr>
          <w:rFonts w:ascii="Times New Roman" w:hAnsi="Times New Roman" w:cs="Times New Roman"/>
          <w:sz w:val="24"/>
          <w:szCs w:val="24"/>
        </w:rPr>
        <w:t>, represent</w:t>
      </w:r>
      <w:r w:rsidR="00E33979">
        <w:rPr>
          <w:rFonts w:ascii="Times New Roman" w:hAnsi="Times New Roman" w:cs="Times New Roman"/>
          <w:sz w:val="24"/>
          <w:szCs w:val="24"/>
        </w:rPr>
        <w:t xml:space="preserve"> one of the most</w:t>
      </w:r>
      <w:r w:rsidR="009D2347">
        <w:rPr>
          <w:rFonts w:ascii="Times New Roman" w:hAnsi="Times New Roman" w:cs="Times New Roman"/>
          <w:sz w:val="24"/>
          <w:szCs w:val="24"/>
        </w:rPr>
        <w:t xml:space="preserve"> aggressive </w:t>
      </w:r>
      <w:r w:rsidR="00E33979">
        <w:rPr>
          <w:rFonts w:ascii="Times New Roman" w:hAnsi="Times New Roman" w:cs="Times New Roman"/>
          <w:sz w:val="24"/>
          <w:szCs w:val="24"/>
        </w:rPr>
        <w:t>labor-market policy interventions in the nation</w:t>
      </w:r>
      <w:r w:rsidR="009D2347">
        <w:rPr>
          <w:rFonts w:ascii="Times New Roman" w:hAnsi="Times New Roman" w:cs="Times New Roman"/>
          <w:sz w:val="24"/>
          <w:szCs w:val="24"/>
        </w:rPr>
        <w:t xml:space="preserve">. </w:t>
      </w:r>
      <w:r w:rsidR="00117E59">
        <w:rPr>
          <w:rFonts w:ascii="Times New Roman" w:hAnsi="Times New Roman" w:cs="Times New Roman"/>
          <w:sz w:val="24"/>
          <w:szCs w:val="24"/>
        </w:rPr>
        <w:t>Nonetheless</w:t>
      </w:r>
      <w:r w:rsidR="009D2347">
        <w:rPr>
          <w:rFonts w:ascii="Times New Roman" w:hAnsi="Times New Roman" w:cs="Times New Roman"/>
          <w:sz w:val="24"/>
          <w:szCs w:val="24"/>
        </w:rPr>
        <w:t xml:space="preserve">, </w:t>
      </w:r>
      <w:r w:rsidR="00987AC4">
        <w:rPr>
          <w:rFonts w:ascii="Times New Roman" w:hAnsi="Times New Roman" w:cs="Times New Roman"/>
          <w:sz w:val="24"/>
          <w:szCs w:val="24"/>
        </w:rPr>
        <w:t>there is limited research</w:t>
      </w:r>
      <w:r w:rsidR="009D2347">
        <w:rPr>
          <w:rFonts w:ascii="Times New Roman" w:hAnsi="Times New Roman" w:cs="Times New Roman"/>
          <w:sz w:val="24"/>
          <w:szCs w:val="24"/>
        </w:rPr>
        <w:t xml:space="preserve"> </w:t>
      </w:r>
      <w:r w:rsidR="00BF1996">
        <w:rPr>
          <w:rFonts w:ascii="Times New Roman" w:hAnsi="Times New Roman" w:cs="Times New Roman"/>
          <w:sz w:val="24"/>
          <w:szCs w:val="24"/>
        </w:rPr>
        <w:t>surrounding</w:t>
      </w:r>
      <w:r w:rsidR="009D2347">
        <w:rPr>
          <w:rFonts w:ascii="Times New Roman" w:hAnsi="Times New Roman" w:cs="Times New Roman"/>
          <w:sz w:val="24"/>
          <w:szCs w:val="24"/>
        </w:rPr>
        <w:t xml:space="preserve"> the potential conse</w:t>
      </w:r>
      <w:r w:rsidR="00E33979">
        <w:rPr>
          <w:rFonts w:ascii="Times New Roman" w:hAnsi="Times New Roman" w:cs="Times New Roman"/>
          <w:sz w:val="24"/>
          <w:szCs w:val="24"/>
        </w:rPr>
        <w:t xml:space="preserve">quences </w:t>
      </w:r>
      <w:r w:rsidR="00987AC4">
        <w:rPr>
          <w:rFonts w:ascii="Times New Roman" w:hAnsi="Times New Roman" w:cs="Times New Roman"/>
          <w:sz w:val="24"/>
          <w:szCs w:val="24"/>
        </w:rPr>
        <w:t>of</w:t>
      </w:r>
      <w:r w:rsidR="00E33979">
        <w:rPr>
          <w:rFonts w:ascii="Times New Roman" w:hAnsi="Times New Roman" w:cs="Times New Roman"/>
          <w:sz w:val="24"/>
          <w:szCs w:val="24"/>
        </w:rPr>
        <w:t xml:space="preserve"> these joint policies </w:t>
      </w:r>
      <w:r w:rsidR="009D2347">
        <w:rPr>
          <w:rFonts w:ascii="Times New Roman" w:hAnsi="Times New Roman" w:cs="Times New Roman"/>
          <w:sz w:val="24"/>
          <w:szCs w:val="24"/>
        </w:rPr>
        <w:t xml:space="preserve">for the </w:t>
      </w:r>
      <w:r w:rsidR="003D3314">
        <w:rPr>
          <w:rFonts w:ascii="Times New Roman" w:hAnsi="Times New Roman" w:cs="Times New Roman"/>
          <w:sz w:val="24"/>
          <w:szCs w:val="24"/>
        </w:rPr>
        <w:t xml:space="preserve">low and moderate-income </w:t>
      </w:r>
      <w:r w:rsidR="009D2347">
        <w:rPr>
          <w:rFonts w:ascii="Times New Roman" w:hAnsi="Times New Roman" w:cs="Times New Roman"/>
          <w:sz w:val="24"/>
          <w:szCs w:val="24"/>
        </w:rPr>
        <w:t xml:space="preserve">workers they are meant to assist. </w:t>
      </w:r>
    </w:p>
    <w:p w14:paraId="4BEEA85D" w14:textId="56B2F447" w:rsidR="00904231" w:rsidRDefault="00900FEF" w:rsidP="007F3CA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study, we </w:t>
      </w:r>
      <w:r w:rsidR="00AE3965">
        <w:rPr>
          <w:rFonts w:ascii="Times New Roman" w:hAnsi="Times New Roman" w:cs="Times New Roman"/>
          <w:sz w:val="24"/>
          <w:szCs w:val="24"/>
        </w:rPr>
        <w:t xml:space="preserve">use a computable general equilibrium (CGE) model to </w:t>
      </w:r>
      <w:r>
        <w:rPr>
          <w:rFonts w:ascii="Times New Roman" w:hAnsi="Times New Roman" w:cs="Times New Roman"/>
          <w:sz w:val="24"/>
          <w:szCs w:val="24"/>
        </w:rPr>
        <w:t xml:space="preserve">estimate </w:t>
      </w:r>
      <w:r w:rsidR="008D582B">
        <w:rPr>
          <w:rFonts w:ascii="Times New Roman" w:hAnsi="Times New Roman" w:cs="Times New Roman"/>
          <w:sz w:val="24"/>
          <w:szCs w:val="24"/>
        </w:rPr>
        <w:t>how the local and regional econom</w:t>
      </w:r>
      <w:r w:rsidR="006B2745">
        <w:rPr>
          <w:rFonts w:ascii="Times New Roman" w:hAnsi="Times New Roman" w:cs="Times New Roman"/>
          <w:sz w:val="24"/>
          <w:szCs w:val="24"/>
        </w:rPr>
        <w:t>ies</w:t>
      </w:r>
      <w:r w:rsidR="008D582B">
        <w:rPr>
          <w:rFonts w:ascii="Times New Roman" w:hAnsi="Times New Roman" w:cs="Times New Roman"/>
          <w:sz w:val="24"/>
          <w:szCs w:val="24"/>
        </w:rPr>
        <w:t xml:space="preserve">, in the short-run and long-run, respond to </w:t>
      </w:r>
      <w:r>
        <w:rPr>
          <w:rFonts w:ascii="Times New Roman" w:hAnsi="Times New Roman" w:cs="Times New Roman"/>
          <w:sz w:val="24"/>
          <w:szCs w:val="24"/>
        </w:rPr>
        <w:t xml:space="preserve">the city’s $15 </w:t>
      </w:r>
      <w:r w:rsidR="00D57B82">
        <w:rPr>
          <w:rFonts w:ascii="Times New Roman" w:hAnsi="Times New Roman" w:cs="Times New Roman"/>
          <w:sz w:val="24"/>
          <w:szCs w:val="24"/>
        </w:rPr>
        <w:t xml:space="preserve">Minimum Wage Policy ($15 </w:t>
      </w:r>
      <w:r>
        <w:rPr>
          <w:rFonts w:ascii="Times New Roman" w:hAnsi="Times New Roman" w:cs="Times New Roman"/>
          <w:sz w:val="24"/>
          <w:szCs w:val="24"/>
        </w:rPr>
        <w:t>MWP</w:t>
      </w:r>
      <w:r w:rsidR="00D57B82">
        <w:rPr>
          <w:rFonts w:ascii="Times New Roman" w:hAnsi="Times New Roman" w:cs="Times New Roman"/>
          <w:sz w:val="24"/>
          <w:szCs w:val="24"/>
        </w:rPr>
        <w:t>)</w:t>
      </w:r>
      <w:r w:rsidR="00AE3965">
        <w:rPr>
          <w:rFonts w:ascii="Times New Roman" w:hAnsi="Times New Roman" w:cs="Times New Roman"/>
          <w:sz w:val="24"/>
          <w:szCs w:val="24"/>
        </w:rPr>
        <w:t>.</w:t>
      </w:r>
      <w:r>
        <w:rPr>
          <w:rFonts w:ascii="Times New Roman" w:hAnsi="Times New Roman" w:cs="Times New Roman"/>
          <w:sz w:val="24"/>
          <w:szCs w:val="24"/>
        </w:rPr>
        <w:t xml:space="preserve"> </w:t>
      </w:r>
      <w:r w:rsidR="00AE3965">
        <w:rPr>
          <w:rFonts w:ascii="Times New Roman" w:hAnsi="Times New Roman" w:cs="Times New Roman"/>
          <w:sz w:val="24"/>
          <w:szCs w:val="24"/>
        </w:rPr>
        <w:t xml:space="preserve">We also use </w:t>
      </w:r>
      <w:r w:rsidR="00D57B82">
        <w:rPr>
          <w:rFonts w:ascii="Times New Roman" w:hAnsi="Times New Roman" w:cs="Times New Roman"/>
          <w:sz w:val="24"/>
          <w:szCs w:val="24"/>
        </w:rPr>
        <w:t xml:space="preserve">a </w:t>
      </w:r>
      <w:r w:rsidR="00AE3965">
        <w:rPr>
          <w:rFonts w:ascii="Times New Roman" w:hAnsi="Times New Roman" w:cs="Times New Roman"/>
          <w:sz w:val="24"/>
          <w:szCs w:val="24"/>
        </w:rPr>
        <w:t xml:space="preserve">tax policy micro simulation model to </w:t>
      </w:r>
      <w:r>
        <w:rPr>
          <w:rFonts w:ascii="Times New Roman" w:hAnsi="Times New Roman" w:cs="Times New Roman"/>
          <w:sz w:val="24"/>
          <w:szCs w:val="24"/>
        </w:rPr>
        <w:t xml:space="preserve">estimate </w:t>
      </w:r>
      <w:r w:rsidR="008D582B">
        <w:rPr>
          <w:rFonts w:ascii="Times New Roman" w:hAnsi="Times New Roman" w:cs="Times New Roman"/>
          <w:sz w:val="24"/>
          <w:szCs w:val="24"/>
        </w:rPr>
        <w:t xml:space="preserve">how </w:t>
      </w:r>
      <w:r w:rsidR="008D582B" w:rsidRPr="0043263F">
        <w:rPr>
          <w:rFonts w:ascii="Times New Roman" w:hAnsi="Times New Roman" w:cs="Times New Roman"/>
          <w:sz w:val="24"/>
          <w:szCs w:val="24"/>
        </w:rPr>
        <w:t>federal</w:t>
      </w:r>
      <w:r w:rsidR="008D582B">
        <w:rPr>
          <w:rFonts w:ascii="Times New Roman" w:hAnsi="Times New Roman" w:cs="Times New Roman"/>
          <w:sz w:val="24"/>
          <w:szCs w:val="24"/>
        </w:rPr>
        <w:t xml:space="preserve"> and local earned income tax credit (EITC)</w:t>
      </w:r>
      <w:r w:rsidR="00CA7501">
        <w:rPr>
          <w:rFonts w:ascii="Times New Roman" w:hAnsi="Times New Roman" w:cs="Times New Roman"/>
          <w:sz w:val="24"/>
          <w:szCs w:val="24"/>
        </w:rPr>
        <w:t xml:space="preserve"> levels</w:t>
      </w:r>
      <w:r w:rsidR="008D582B">
        <w:rPr>
          <w:rFonts w:ascii="Times New Roman" w:hAnsi="Times New Roman" w:cs="Times New Roman"/>
          <w:sz w:val="24"/>
          <w:szCs w:val="24"/>
        </w:rPr>
        <w:t xml:space="preserve"> respond to </w:t>
      </w:r>
      <w:r>
        <w:rPr>
          <w:rFonts w:ascii="Times New Roman" w:hAnsi="Times New Roman" w:cs="Times New Roman"/>
          <w:sz w:val="24"/>
          <w:szCs w:val="24"/>
        </w:rPr>
        <w:t xml:space="preserve">the </w:t>
      </w:r>
      <w:r w:rsidR="008D582B">
        <w:rPr>
          <w:rFonts w:ascii="Times New Roman" w:hAnsi="Times New Roman" w:cs="Times New Roman"/>
          <w:sz w:val="24"/>
          <w:szCs w:val="24"/>
        </w:rPr>
        <w:t>higher</w:t>
      </w:r>
      <w:r>
        <w:rPr>
          <w:rFonts w:ascii="Times New Roman" w:hAnsi="Times New Roman" w:cs="Times New Roman"/>
          <w:sz w:val="24"/>
          <w:szCs w:val="24"/>
        </w:rPr>
        <w:t xml:space="preserve"> $15 </w:t>
      </w:r>
      <w:r w:rsidRPr="0043263F">
        <w:rPr>
          <w:rFonts w:ascii="Times New Roman" w:hAnsi="Times New Roman" w:cs="Times New Roman"/>
          <w:sz w:val="24"/>
          <w:szCs w:val="24"/>
        </w:rPr>
        <w:t>MWP</w:t>
      </w:r>
      <w:r>
        <w:rPr>
          <w:rFonts w:ascii="Times New Roman" w:hAnsi="Times New Roman" w:cs="Times New Roman"/>
          <w:sz w:val="24"/>
          <w:szCs w:val="24"/>
        </w:rPr>
        <w:t xml:space="preserve">. </w:t>
      </w:r>
      <w:r w:rsidR="0090109D">
        <w:rPr>
          <w:rFonts w:ascii="Times New Roman" w:hAnsi="Times New Roman" w:cs="Times New Roman"/>
          <w:sz w:val="24"/>
          <w:szCs w:val="24"/>
        </w:rPr>
        <w:t xml:space="preserve">While this increase in the minimum wage impacts nearly everyone </w:t>
      </w:r>
      <w:r w:rsidR="00590E44">
        <w:rPr>
          <w:rFonts w:ascii="Times New Roman" w:hAnsi="Times New Roman" w:cs="Times New Roman"/>
          <w:sz w:val="24"/>
          <w:szCs w:val="24"/>
        </w:rPr>
        <w:t>within</w:t>
      </w:r>
      <w:r w:rsidR="0090109D">
        <w:rPr>
          <w:rFonts w:ascii="Times New Roman" w:hAnsi="Times New Roman" w:cs="Times New Roman"/>
          <w:sz w:val="24"/>
          <w:szCs w:val="24"/>
        </w:rPr>
        <w:t xml:space="preserve"> the local and </w:t>
      </w:r>
      <w:r w:rsidR="0090109D" w:rsidRPr="0043263F">
        <w:rPr>
          <w:rFonts w:ascii="Times New Roman" w:hAnsi="Times New Roman" w:cs="Times New Roman"/>
          <w:sz w:val="24"/>
          <w:szCs w:val="24"/>
        </w:rPr>
        <w:t xml:space="preserve">regional economy, this analysis focuses on city residents who will be directly impacted by the higher wages, which we define as those earning </w:t>
      </w:r>
      <w:r w:rsidR="003418A3" w:rsidRPr="0043263F">
        <w:rPr>
          <w:rFonts w:ascii="Times New Roman" w:hAnsi="Times New Roman" w:cs="Times New Roman"/>
          <w:sz w:val="24"/>
          <w:szCs w:val="24"/>
        </w:rPr>
        <w:t>a</w:t>
      </w:r>
      <w:r w:rsidR="00941386" w:rsidRPr="0043263F">
        <w:rPr>
          <w:rFonts w:ascii="Times New Roman" w:hAnsi="Times New Roman" w:cs="Times New Roman"/>
          <w:sz w:val="24"/>
          <w:szCs w:val="24"/>
        </w:rPr>
        <w:t xml:space="preserve">n hourly </w:t>
      </w:r>
      <w:r w:rsidR="003418A3" w:rsidRPr="0043263F">
        <w:rPr>
          <w:rFonts w:ascii="Times New Roman" w:hAnsi="Times New Roman" w:cs="Times New Roman"/>
          <w:sz w:val="24"/>
          <w:szCs w:val="24"/>
        </w:rPr>
        <w:t>wage o</w:t>
      </w:r>
      <w:r w:rsidR="00420F5F" w:rsidRPr="0043263F">
        <w:rPr>
          <w:rFonts w:ascii="Times New Roman" w:hAnsi="Times New Roman" w:cs="Times New Roman"/>
          <w:sz w:val="24"/>
          <w:szCs w:val="24"/>
        </w:rPr>
        <w:t>f</w:t>
      </w:r>
      <w:r w:rsidR="003418A3" w:rsidRPr="0043263F">
        <w:rPr>
          <w:rFonts w:ascii="Times New Roman" w:hAnsi="Times New Roman" w:cs="Times New Roman"/>
          <w:sz w:val="24"/>
          <w:szCs w:val="24"/>
        </w:rPr>
        <w:t xml:space="preserve"> </w:t>
      </w:r>
      <w:r w:rsidR="0090109D" w:rsidRPr="0043263F">
        <w:rPr>
          <w:rFonts w:ascii="Times New Roman" w:hAnsi="Times New Roman" w:cs="Times New Roman"/>
          <w:sz w:val="24"/>
          <w:szCs w:val="24"/>
        </w:rPr>
        <w:t xml:space="preserve">$18 </w:t>
      </w:r>
      <w:r w:rsidR="003418A3" w:rsidRPr="0043263F">
        <w:rPr>
          <w:rFonts w:ascii="Times New Roman" w:hAnsi="Times New Roman" w:cs="Times New Roman"/>
          <w:sz w:val="24"/>
          <w:szCs w:val="24"/>
        </w:rPr>
        <w:t xml:space="preserve">an hour </w:t>
      </w:r>
      <w:r w:rsidR="0090109D" w:rsidRPr="0043263F">
        <w:rPr>
          <w:rFonts w:ascii="Times New Roman" w:hAnsi="Times New Roman" w:cs="Times New Roman"/>
          <w:sz w:val="24"/>
          <w:szCs w:val="24"/>
        </w:rPr>
        <w:t>or less</w:t>
      </w:r>
      <w:r w:rsidR="000D01E3" w:rsidRPr="0043263F">
        <w:rPr>
          <w:rFonts w:ascii="Times New Roman" w:hAnsi="Times New Roman" w:cs="Times New Roman"/>
          <w:sz w:val="24"/>
          <w:szCs w:val="24"/>
        </w:rPr>
        <w:t xml:space="preserve"> in 201</w:t>
      </w:r>
      <w:r w:rsidR="00CF75F8">
        <w:rPr>
          <w:rFonts w:ascii="Times New Roman" w:hAnsi="Times New Roman" w:cs="Times New Roman"/>
          <w:sz w:val="24"/>
          <w:szCs w:val="24"/>
        </w:rPr>
        <w:t>7</w:t>
      </w:r>
      <w:r w:rsidR="0090109D" w:rsidRPr="0043263F">
        <w:rPr>
          <w:rFonts w:ascii="Times New Roman" w:hAnsi="Times New Roman" w:cs="Times New Roman"/>
          <w:sz w:val="24"/>
          <w:szCs w:val="24"/>
        </w:rPr>
        <w:t xml:space="preserve">. </w:t>
      </w:r>
    </w:p>
    <w:p w14:paraId="78DC5D05" w14:textId="07EC9A5C" w:rsidR="000B58AF" w:rsidRDefault="0090109D" w:rsidP="007F3CAB">
      <w:pPr>
        <w:spacing w:line="480" w:lineRule="auto"/>
        <w:ind w:firstLine="720"/>
        <w:rPr>
          <w:rFonts w:ascii="Times New Roman" w:hAnsi="Times New Roman" w:cs="Times New Roman"/>
          <w:sz w:val="24"/>
          <w:szCs w:val="24"/>
        </w:rPr>
      </w:pPr>
      <w:r w:rsidRPr="0043263F">
        <w:rPr>
          <w:rFonts w:ascii="Times New Roman" w:hAnsi="Times New Roman" w:cs="Times New Roman"/>
          <w:sz w:val="24"/>
          <w:szCs w:val="24"/>
        </w:rPr>
        <w:lastRenderedPageBreak/>
        <w:t>W</w:t>
      </w:r>
      <w:r w:rsidR="00C83714" w:rsidRPr="0043263F">
        <w:rPr>
          <w:rFonts w:ascii="Times New Roman" w:hAnsi="Times New Roman" w:cs="Times New Roman"/>
          <w:sz w:val="24"/>
          <w:szCs w:val="24"/>
        </w:rPr>
        <w:t xml:space="preserve">e </w:t>
      </w:r>
      <w:r w:rsidR="00D57B82" w:rsidRPr="0043263F">
        <w:rPr>
          <w:rFonts w:ascii="Times New Roman" w:hAnsi="Times New Roman" w:cs="Times New Roman"/>
          <w:sz w:val="24"/>
          <w:szCs w:val="24"/>
        </w:rPr>
        <w:t>find</w:t>
      </w:r>
      <w:r w:rsidR="00900FEF" w:rsidRPr="0043263F">
        <w:rPr>
          <w:rFonts w:ascii="Times New Roman" w:hAnsi="Times New Roman" w:cs="Times New Roman"/>
          <w:sz w:val="24"/>
          <w:szCs w:val="24"/>
        </w:rPr>
        <w:t xml:space="preserve"> </w:t>
      </w:r>
      <w:r w:rsidR="00C83714" w:rsidRPr="0043263F">
        <w:rPr>
          <w:rFonts w:ascii="Times New Roman" w:hAnsi="Times New Roman" w:cs="Times New Roman"/>
          <w:sz w:val="24"/>
          <w:szCs w:val="24"/>
        </w:rPr>
        <w:t xml:space="preserve">that almost 61,000 </w:t>
      </w:r>
      <w:r w:rsidR="00900FEF" w:rsidRPr="0043263F">
        <w:rPr>
          <w:rFonts w:ascii="Times New Roman" w:hAnsi="Times New Roman" w:cs="Times New Roman"/>
          <w:sz w:val="24"/>
          <w:szCs w:val="24"/>
        </w:rPr>
        <w:t>city</w:t>
      </w:r>
      <w:r w:rsidR="00C83714" w:rsidRPr="0043263F">
        <w:rPr>
          <w:rFonts w:ascii="Times New Roman" w:hAnsi="Times New Roman" w:cs="Times New Roman"/>
          <w:sz w:val="24"/>
          <w:szCs w:val="24"/>
        </w:rPr>
        <w:t xml:space="preserve"> residents will be impacted </w:t>
      </w:r>
      <w:r w:rsidR="000D01E3" w:rsidRPr="0043263F">
        <w:rPr>
          <w:rFonts w:ascii="Times New Roman" w:hAnsi="Times New Roman" w:cs="Times New Roman"/>
          <w:sz w:val="24"/>
          <w:szCs w:val="24"/>
        </w:rPr>
        <w:t xml:space="preserve">annually </w:t>
      </w:r>
      <w:r w:rsidR="00C83714" w:rsidRPr="0043263F">
        <w:rPr>
          <w:rFonts w:ascii="Times New Roman" w:hAnsi="Times New Roman" w:cs="Times New Roman"/>
          <w:sz w:val="24"/>
          <w:szCs w:val="24"/>
        </w:rPr>
        <w:t>by th</w:t>
      </w:r>
      <w:r w:rsidR="000D01E3" w:rsidRPr="0043263F">
        <w:rPr>
          <w:rFonts w:ascii="Times New Roman" w:hAnsi="Times New Roman" w:cs="Times New Roman"/>
          <w:sz w:val="24"/>
          <w:szCs w:val="24"/>
        </w:rPr>
        <w:t>is policy</w:t>
      </w:r>
      <w:r w:rsidR="00904231">
        <w:rPr>
          <w:rFonts w:ascii="Times New Roman" w:hAnsi="Times New Roman" w:cs="Times New Roman"/>
          <w:sz w:val="24"/>
          <w:szCs w:val="24"/>
        </w:rPr>
        <w:t>; these residents</w:t>
      </w:r>
      <w:r w:rsidR="000D01E3" w:rsidRPr="0043263F">
        <w:rPr>
          <w:rFonts w:ascii="Times New Roman" w:hAnsi="Times New Roman" w:cs="Times New Roman"/>
          <w:sz w:val="24"/>
          <w:szCs w:val="24"/>
        </w:rPr>
        <w:t xml:space="preserve"> will</w:t>
      </w:r>
      <w:r w:rsidR="00904231">
        <w:rPr>
          <w:rFonts w:ascii="Times New Roman" w:hAnsi="Times New Roman" w:cs="Times New Roman"/>
          <w:sz w:val="24"/>
          <w:szCs w:val="24"/>
        </w:rPr>
        <w:t>,</w:t>
      </w:r>
      <w:r w:rsidR="000D01E3" w:rsidRPr="0043263F">
        <w:rPr>
          <w:rFonts w:ascii="Times New Roman" w:hAnsi="Times New Roman" w:cs="Times New Roman"/>
          <w:sz w:val="24"/>
          <w:szCs w:val="24"/>
        </w:rPr>
        <w:t xml:space="preserve"> on </w:t>
      </w:r>
      <w:r w:rsidR="00C83714" w:rsidRPr="0043263F">
        <w:rPr>
          <w:rFonts w:ascii="Times New Roman" w:hAnsi="Times New Roman" w:cs="Times New Roman"/>
          <w:sz w:val="24"/>
          <w:szCs w:val="24"/>
        </w:rPr>
        <w:t>average</w:t>
      </w:r>
      <w:r w:rsidR="00904231">
        <w:rPr>
          <w:rFonts w:ascii="Times New Roman" w:hAnsi="Times New Roman" w:cs="Times New Roman"/>
          <w:sz w:val="24"/>
          <w:szCs w:val="24"/>
        </w:rPr>
        <w:t>,</w:t>
      </w:r>
      <w:r w:rsidR="00C83714" w:rsidRPr="0043263F">
        <w:rPr>
          <w:rFonts w:ascii="Times New Roman" w:hAnsi="Times New Roman" w:cs="Times New Roman"/>
          <w:sz w:val="24"/>
          <w:szCs w:val="24"/>
        </w:rPr>
        <w:t xml:space="preserve"> gain </w:t>
      </w:r>
      <w:r w:rsidR="003B1744" w:rsidRPr="0043263F">
        <w:rPr>
          <w:rFonts w:ascii="Times New Roman" w:hAnsi="Times New Roman" w:cs="Times New Roman"/>
          <w:sz w:val="24"/>
          <w:szCs w:val="24"/>
        </w:rPr>
        <w:t xml:space="preserve">over </w:t>
      </w:r>
      <w:r w:rsidR="00C83714" w:rsidRPr="0043263F">
        <w:rPr>
          <w:rFonts w:ascii="Times New Roman" w:hAnsi="Times New Roman" w:cs="Times New Roman"/>
          <w:sz w:val="24"/>
          <w:szCs w:val="24"/>
        </w:rPr>
        <w:t>$</w:t>
      </w:r>
      <w:r w:rsidR="008E592D" w:rsidRPr="0043263F">
        <w:rPr>
          <w:rFonts w:ascii="Times New Roman" w:hAnsi="Times New Roman" w:cs="Times New Roman"/>
          <w:sz w:val="24"/>
          <w:szCs w:val="24"/>
        </w:rPr>
        <w:t xml:space="preserve">3,100 </w:t>
      </w:r>
      <w:r w:rsidR="00904231">
        <w:rPr>
          <w:rFonts w:ascii="Times New Roman" w:hAnsi="Times New Roman" w:cs="Times New Roman"/>
          <w:sz w:val="24"/>
          <w:szCs w:val="24"/>
        </w:rPr>
        <w:t xml:space="preserve">more </w:t>
      </w:r>
      <w:r w:rsidR="000D01E3" w:rsidRPr="0043263F">
        <w:rPr>
          <w:rFonts w:ascii="Times New Roman" w:hAnsi="Times New Roman" w:cs="Times New Roman"/>
          <w:sz w:val="24"/>
          <w:szCs w:val="24"/>
        </w:rPr>
        <w:t xml:space="preserve">in additional income </w:t>
      </w:r>
      <w:r w:rsidR="008E592D" w:rsidRPr="0043263F">
        <w:rPr>
          <w:rFonts w:ascii="Times New Roman" w:hAnsi="Times New Roman" w:cs="Times New Roman"/>
          <w:sz w:val="24"/>
          <w:szCs w:val="24"/>
        </w:rPr>
        <w:t>(</w:t>
      </w:r>
      <w:r w:rsidR="003B1744" w:rsidRPr="0043263F">
        <w:rPr>
          <w:rFonts w:ascii="Times New Roman" w:hAnsi="Times New Roman" w:cs="Times New Roman"/>
          <w:sz w:val="24"/>
          <w:szCs w:val="24"/>
        </w:rPr>
        <w:t>16.5</w:t>
      </w:r>
      <w:r w:rsidR="00C83714" w:rsidRPr="0043263F">
        <w:rPr>
          <w:rFonts w:ascii="Times New Roman" w:hAnsi="Times New Roman" w:cs="Times New Roman"/>
          <w:sz w:val="24"/>
          <w:szCs w:val="24"/>
        </w:rPr>
        <w:t xml:space="preserve"> percent</w:t>
      </w:r>
      <w:r w:rsidR="000D01E3" w:rsidRPr="0043263F">
        <w:rPr>
          <w:rFonts w:ascii="Times New Roman" w:hAnsi="Times New Roman" w:cs="Times New Roman"/>
          <w:sz w:val="24"/>
          <w:szCs w:val="24"/>
        </w:rPr>
        <w:t xml:space="preserve"> higher</w:t>
      </w:r>
      <w:r w:rsidR="003B1744" w:rsidRPr="0043263F">
        <w:rPr>
          <w:rFonts w:ascii="Times New Roman" w:hAnsi="Times New Roman" w:cs="Times New Roman"/>
          <w:sz w:val="24"/>
          <w:szCs w:val="24"/>
        </w:rPr>
        <w:t xml:space="preserve">) </w:t>
      </w:r>
      <w:r w:rsidR="00C83714" w:rsidRPr="0043263F">
        <w:rPr>
          <w:rFonts w:ascii="Times New Roman" w:hAnsi="Times New Roman" w:cs="Times New Roman"/>
          <w:sz w:val="24"/>
          <w:szCs w:val="24"/>
        </w:rPr>
        <w:t>in 2021</w:t>
      </w:r>
      <w:r w:rsidR="00900FEF" w:rsidRPr="0043263F">
        <w:rPr>
          <w:rFonts w:ascii="Times New Roman" w:hAnsi="Times New Roman" w:cs="Times New Roman"/>
          <w:sz w:val="24"/>
          <w:szCs w:val="24"/>
        </w:rPr>
        <w:t xml:space="preserve"> </w:t>
      </w:r>
      <w:r w:rsidR="00904231">
        <w:rPr>
          <w:rFonts w:ascii="Times New Roman" w:hAnsi="Times New Roman" w:cs="Times New Roman"/>
          <w:sz w:val="24"/>
          <w:szCs w:val="24"/>
        </w:rPr>
        <w:t>versus</w:t>
      </w:r>
      <w:r w:rsidR="00904231" w:rsidRPr="0043263F">
        <w:rPr>
          <w:rFonts w:ascii="Times New Roman" w:hAnsi="Times New Roman" w:cs="Times New Roman"/>
          <w:sz w:val="24"/>
          <w:szCs w:val="24"/>
        </w:rPr>
        <w:t xml:space="preserve"> </w:t>
      </w:r>
      <w:r w:rsidR="00900FEF" w:rsidRPr="0043263F">
        <w:rPr>
          <w:rFonts w:ascii="Times New Roman" w:hAnsi="Times New Roman" w:cs="Times New Roman"/>
          <w:sz w:val="24"/>
          <w:szCs w:val="24"/>
        </w:rPr>
        <w:t xml:space="preserve">without the policy.  </w:t>
      </w:r>
      <w:r w:rsidRPr="0043263F">
        <w:rPr>
          <w:rFonts w:ascii="Times New Roman" w:hAnsi="Times New Roman" w:cs="Times New Roman"/>
          <w:sz w:val="24"/>
          <w:szCs w:val="24"/>
        </w:rPr>
        <w:t>A</w:t>
      </w:r>
      <w:r w:rsidR="00C83714" w:rsidRPr="0043263F">
        <w:rPr>
          <w:rFonts w:ascii="Times New Roman" w:hAnsi="Times New Roman" w:cs="Times New Roman"/>
          <w:sz w:val="24"/>
          <w:szCs w:val="24"/>
        </w:rPr>
        <w:t xml:space="preserve">pproximately 2 percent of impacted </w:t>
      </w:r>
      <w:r w:rsidR="00904231">
        <w:rPr>
          <w:rFonts w:ascii="Times New Roman" w:hAnsi="Times New Roman" w:cs="Times New Roman"/>
          <w:sz w:val="24"/>
          <w:szCs w:val="24"/>
        </w:rPr>
        <w:t xml:space="preserve">city </w:t>
      </w:r>
      <w:r w:rsidR="00C83714" w:rsidRPr="0043263F">
        <w:rPr>
          <w:rFonts w:ascii="Times New Roman" w:hAnsi="Times New Roman" w:cs="Times New Roman"/>
          <w:sz w:val="24"/>
          <w:szCs w:val="24"/>
        </w:rPr>
        <w:t xml:space="preserve">residents </w:t>
      </w:r>
      <w:r w:rsidR="00904231">
        <w:rPr>
          <w:rFonts w:ascii="Times New Roman" w:hAnsi="Times New Roman" w:cs="Times New Roman"/>
          <w:sz w:val="24"/>
          <w:szCs w:val="24"/>
        </w:rPr>
        <w:t>are predicted to</w:t>
      </w:r>
      <w:r w:rsidR="00904231" w:rsidRPr="0043263F">
        <w:rPr>
          <w:rFonts w:ascii="Times New Roman" w:hAnsi="Times New Roman" w:cs="Times New Roman"/>
          <w:sz w:val="24"/>
          <w:szCs w:val="24"/>
        </w:rPr>
        <w:t xml:space="preserve"> </w:t>
      </w:r>
      <w:r w:rsidR="00C83714" w:rsidRPr="0043263F">
        <w:rPr>
          <w:rFonts w:ascii="Times New Roman" w:hAnsi="Times New Roman" w:cs="Times New Roman"/>
          <w:sz w:val="24"/>
          <w:szCs w:val="24"/>
        </w:rPr>
        <w:t>experience job loss</w:t>
      </w:r>
      <w:r w:rsidR="00900FEF" w:rsidRPr="0043263F">
        <w:rPr>
          <w:rFonts w:ascii="Times New Roman" w:hAnsi="Times New Roman" w:cs="Times New Roman"/>
          <w:sz w:val="24"/>
          <w:szCs w:val="24"/>
        </w:rPr>
        <w:t xml:space="preserve">, and </w:t>
      </w:r>
      <w:r w:rsidR="00C83714" w:rsidRPr="0043263F">
        <w:rPr>
          <w:rFonts w:ascii="Times New Roman" w:hAnsi="Times New Roman" w:cs="Times New Roman"/>
          <w:sz w:val="24"/>
          <w:szCs w:val="24"/>
        </w:rPr>
        <w:t>this job</w:t>
      </w:r>
      <w:r w:rsidR="00C83714" w:rsidRPr="00B624CD">
        <w:rPr>
          <w:rFonts w:ascii="Times New Roman" w:hAnsi="Times New Roman" w:cs="Times New Roman"/>
          <w:sz w:val="24"/>
          <w:szCs w:val="24"/>
        </w:rPr>
        <w:t xml:space="preserve"> loss estimate increases to about 3.4 percent by 2026. </w:t>
      </w:r>
      <w:r w:rsidR="00C83714">
        <w:rPr>
          <w:rFonts w:ascii="Times New Roman" w:hAnsi="Times New Roman" w:cs="Times New Roman"/>
          <w:sz w:val="24"/>
          <w:szCs w:val="24"/>
        </w:rPr>
        <w:t xml:space="preserve">We </w:t>
      </w:r>
      <w:r w:rsidR="00900FEF">
        <w:rPr>
          <w:rFonts w:ascii="Times New Roman" w:hAnsi="Times New Roman" w:cs="Times New Roman"/>
          <w:sz w:val="24"/>
          <w:szCs w:val="24"/>
        </w:rPr>
        <w:t xml:space="preserve">also </w:t>
      </w:r>
      <w:r w:rsidR="00C83714">
        <w:rPr>
          <w:rFonts w:ascii="Times New Roman" w:hAnsi="Times New Roman" w:cs="Times New Roman"/>
          <w:sz w:val="24"/>
          <w:szCs w:val="24"/>
        </w:rPr>
        <w:t xml:space="preserve">find that over 63 percent of </w:t>
      </w:r>
      <w:r w:rsidR="003B1744">
        <w:rPr>
          <w:rFonts w:ascii="Times New Roman" w:hAnsi="Times New Roman" w:cs="Times New Roman"/>
          <w:sz w:val="24"/>
          <w:szCs w:val="24"/>
        </w:rPr>
        <w:t xml:space="preserve">working </w:t>
      </w:r>
      <w:r>
        <w:rPr>
          <w:rFonts w:ascii="Times New Roman" w:hAnsi="Times New Roman" w:cs="Times New Roman"/>
          <w:sz w:val="24"/>
          <w:szCs w:val="24"/>
        </w:rPr>
        <w:t xml:space="preserve">city </w:t>
      </w:r>
      <w:r w:rsidR="00C83714">
        <w:rPr>
          <w:rFonts w:ascii="Times New Roman" w:hAnsi="Times New Roman" w:cs="Times New Roman"/>
          <w:sz w:val="24"/>
          <w:szCs w:val="24"/>
        </w:rPr>
        <w:t xml:space="preserve">residents </w:t>
      </w:r>
      <w:r>
        <w:rPr>
          <w:rFonts w:ascii="Times New Roman" w:hAnsi="Times New Roman" w:cs="Times New Roman"/>
          <w:sz w:val="24"/>
          <w:szCs w:val="24"/>
        </w:rPr>
        <w:t xml:space="preserve">who are </w:t>
      </w:r>
      <w:r w:rsidR="00C83714">
        <w:rPr>
          <w:rFonts w:ascii="Times New Roman" w:hAnsi="Times New Roman" w:cs="Times New Roman"/>
          <w:sz w:val="24"/>
          <w:szCs w:val="24"/>
        </w:rPr>
        <w:t xml:space="preserve">likely to be affected by the higher minimum wage </w:t>
      </w:r>
      <w:r w:rsidR="003B1744">
        <w:rPr>
          <w:rFonts w:ascii="Times New Roman" w:hAnsi="Times New Roman" w:cs="Times New Roman"/>
          <w:sz w:val="24"/>
          <w:szCs w:val="24"/>
        </w:rPr>
        <w:t xml:space="preserve">will be </w:t>
      </w:r>
      <w:r w:rsidR="00C83714">
        <w:rPr>
          <w:rFonts w:ascii="Times New Roman" w:hAnsi="Times New Roman" w:cs="Times New Roman"/>
          <w:sz w:val="24"/>
          <w:szCs w:val="24"/>
        </w:rPr>
        <w:t>EITC recipients</w:t>
      </w:r>
      <w:r w:rsidR="003B1744">
        <w:rPr>
          <w:rFonts w:ascii="Times New Roman" w:hAnsi="Times New Roman" w:cs="Times New Roman"/>
          <w:sz w:val="24"/>
          <w:szCs w:val="24"/>
        </w:rPr>
        <w:t xml:space="preserve">. </w:t>
      </w:r>
      <w:r w:rsidR="00904231">
        <w:rPr>
          <w:rFonts w:ascii="Times New Roman" w:hAnsi="Times New Roman" w:cs="Times New Roman"/>
          <w:sz w:val="24"/>
          <w:szCs w:val="24"/>
        </w:rPr>
        <w:t>W</w:t>
      </w:r>
      <w:r w:rsidR="00066B22">
        <w:rPr>
          <w:rFonts w:ascii="Times New Roman" w:hAnsi="Times New Roman" w:cs="Times New Roman"/>
          <w:sz w:val="24"/>
          <w:szCs w:val="24"/>
        </w:rPr>
        <w:t>hile n</w:t>
      </w:r>
      <w:r w:rsidR="00C83714">
        <w:rPr>
          <w:rFonts w:ascii="Times New Roman" w:hAnsi="Times New Roman" w:cs="Times New Roman"/>
          <w:sz w:val="24"/>
          <w:szCs w:val="24"/>
        </w:rPr>
        <w:t xml:space="preserve">early all </w:t>
      </w:r>
      <w:r w:rsidR="00590E44">
        <w:rPr>
          <w:rFonts w:ascii="Times New Roman" w:hAnsi="Times New Roman" w:cs="Times New Roman"/>
          <w:sz w:val="24"/>
          <w:szCs w:val="24"/>
        </w:rPr>
        <w:t xml:space="preserve">are forecasted to </w:t>
      </w:r>
      <w:r w:rsidR="00C83714">
        <w:rPr>
          <w:rFonts w:ascii="Times New Roman" w:hAnsi="Times New Roman" w:cs="Times New Roman"/>
          <w:sz w:val="24"/>
          <w:szCs w:val="24"/>
        </w:rPr>
        <w:t>experience reductions in their federal and local EITC payments</w:t>
      </w:r>
      <w:r w:rsidR="00900FEF">
        <w:rPr>
          <w:rFonts w:ascii="Times New Roman" w:hAnsi="Times New Roman" w:cs="Times New Roman"/>
          <w:sz w:val="24"/>
          <w:szCs w:val="24"/>
        </w:rPr>
        <w:t xml:space="preserve">, </w:t>
      </w:r>
      <w:r w:rsidR="00C83714">
        <w:rPr>
          <w:rFonts w:ascii="Times New Roman" w:hAnsi="Times New Roman" w:cs="Times New Roman"/>
          <w:sz w:val="24"/>
          <w:szCs w:val="24"/>
        </w:rPr>
        <w:t xml:space="preserve">the higher </w:t>
      </w:r>
      <w:r w:rsidR="003B1744">
        <w:rPr>
          <w:rFonts w:ascii="Times New Roman" w:hAnsi="Times New Roman" w:cs="Times New Roman"/>
          <w:sz w:val="24"/>
          <w:szCs w:val="24"/>
        </w:rPr>
        <w:t xml:space="preserve">income from the $15 MWP </w:t>
      </w:r>
      <w:r w:rsidR="00C83714">
        <w:rPr>
          <w:rFonts w:ascii="Times New Roman" w:hAnsi="Times New Roman" w:cs="Times New Roman"/>
          <w:sz w:val="24"/>
          <w:szCs w:val="24"/>
        </w:rPr>
        <w:t xml:space="preserve">for these workers </w:t>
      </w:r>
      <w:r w:rsidR="003B1744">
        <w:rPr>
          <w:rFonts w:ascii="Times New Roman" w:hAnsi="Times New Roman" w:cs="Times New Roman"/>
          <w:sz w:val="24"/>
          <w:szCs w:val="24"/>
        </w:rPr>
        <w:t xml:space="preserve">will </w:t>
      </w:r>
      <w:r w:rsidR="00C83714">
        <w:rPr>
          <w:rFonts w:ascii="Times New Roman" w:hAnsi="Times New Roman" w:cs="Times New Roman"/>
          <w:sz w:val="24"/>
          <w:szCs w:val="24"/>
        </w:rPr>
        <w:t xml:space="preserve">more than offset </w:t>
      </w:r>
      <w:r w:rsidR="00BA2FEA">
        <w:rPr>
          <w:rFonts w:ascii="Times New Roman" w:hAnsi="Times New Roman" w:cs="Times New Roman"/>
          <w:sz w:val="24"/>
          <w:szCs w:val="24"/>
        </w:rPr>
        <w:t xml:space="preserve">their </w:t>
      </w:r>
      <w:r w:rsidR="00904231">
        <w:rPr>
          <w:rFonts w:ascii="Times New Roman" w:hAnsi="Times New Roman" w:cs="Times New Roman"/>
          <w:sz w:val="24"/>
          <w:szCs w:val="24"/>
        </w:rPr>
        <w:t>loss in EITC income</w:t>
      </w:r>
      <w:r w:rsidR="00C83714">
        <w:rPr>
          <w:rFonts w:ascii="Times New Roman" w:hAnsi="Times New Roman" w:cs="Times New Roman"/>
          <w:sz w:val="24"/>
          <w:szCs w:val="24"/>
        </w:rPr>
        <w:t>.</w:t>
      </w:r>
      <w:r w:rsidR="00CC0D77">
        <w:rPr>
          <w:rFonts w:ascii="Times New Roman" w:hAnsi="Times New Roman" w:cs="Times New Roman"/>
          <w:sz w:val="24"/>
          <w:szCs w:val="24"/>
        </w:rPr>
        <w:t xml:space="preserve"> </w:t>
      </w:r>
      <w:r w:rsidR="00590E44">
        <w:rPr>
          <w:rFonts w:ascii="Times New Roman" w:hAnsi="Times New Roman" w:cs="Times New Roman"/>
          <w:sz w:val="24"/>
          <w:szCs w:val="24"/>
        </w:rPr>
        <w:t>The</w:t>
      </w:r>
      <w:r w:rsidR="00CC0D77" w:rsidRPr="00BD0C2B">
        <w:rPr>
          <w:rFonts w:ascii="Times New Roman" w:hAnsi="Times New Roman" w:cs="Times New Roman"/>
          <w:sz w:val="24"/>
          <w:szCs w:val="24"/>
        </w:rPr>
        <w:t xml:space="preserve"> $15 MWP </w:t>
      </w:r>
      <w:r w:rsidR="00590E44">
        <w:rPr>
          <w:rFonts w:ascii="Times New Roman" w:hAnsi="Times New Roman" w:cs="Times New Roman"/>
          <w:sz w:val="24"/>
          <w:szCs w:val="24"/>
        </w:rPr>
        <w:t xml:space="preserve">could therefore </w:t>
      </w:r>
      <w:r w:rsidR="00CC0D77" w:rsidRPr="00BD0C2B">
        <w:rPr>
          <w:rFonts w:ascii="Times New Roman" w:hAnsi="Times New Roman" w:cs="Times New Roman"/>
          <w:sz w:val="24"/>
          <w:szCs w:val="24"/>
        </w:rPr>
        <w:t xml:space="preserve">shift </w:t>
      </w:r>
      <w:r w:rsidR="00590E44">
        <w:rPr>
          <w:rFonts w:ascii="Times New Roman" w:hAnsi="Times New Roman" w:cs="Times New Roman"/>
          <w:sz w:val="24"/>
          <w:szCs w:val="24"/>
        </w:rPr>
        <w:t xml:space="preserve">some </w:t>
      </w:r>
      <w:r w:rsidR="00CC0D77" w:rsidRPr="00BD0C2B">
        <w:rPr>
          <w:rFonts w:ascii="Times New Roman" w:hAnsi="Times New Roman" w:cs="Times New Roman"/>
          <w:sz w:val="24"/>
          <w:szCs w:val="24"/>
        </w:rPr>
        <w:t xml:space="preserve">income </w:t>
      </w:r>
      <w:r w:rsidR="00CC0D77">
        <w:rPr>
          <w:rFonts w:ascii="Times New Roman" w:hAnsi="Times New Roman" w:cs="Times New Roman"/>
          <w:sz w:val="24"/>
          <w:szCs w:val="24"/>
        </w:rPr>
        <w:t xml:space="preserve">and safety-net </w:t>
      </w:r>
      <w:r w:rsidR="00590E44">
        <w:rPr>
          <w:rFonts w:ascii="Times New Roman" w:hAnsi="Times New Roman" w:cs="Times New Roman"/>
          <w:sz w:val="24"/>
          <w:szCs w:val="24"/>
        </w:rPr>
        <w:t>related costs—</w:t>
      </w:r>
      <w:r w:rsidR="00CE35AE">
        <w:rPr>
          <w:rFonts w:ascii="Times New Roman" w:hAnsi="Times New Roman" w:cs="Times New Roman"/>
          <w:sz w:val="24"/>
          <w:szCs w:val="24"/>
        </w:rPr>
        <w:t xml:space="preserve">specifically </w:t>
      </w:r>
      <w:r w:rsidR="00590E44">
        <w:rPr>
          <w:rFonts w:ascii="Times New Roman" w:hAnsi="Times New Roman" w:cs="Times New Roman"/>
          <w:sz w:val="24"/>
          <w:szCs w:val="24"/>
        </w:rPr>
        <w:t xml:space="preserve">those deriving from the refundable EITC—from </w:t>
      </w:r>
      <w:r w:rsidR="00CC0D77" w:rsidRPr="00BD0C2B">
        <w:rPr>
          <w:rFonts w:ascii="Times New Roman" w:hAnsi="Times New Roman" w:cs="Times New Roman"/>
          <w:sz w:val="24"/>
          <w:szCs w:val="24"/>
        </w:rPr>
        <w:t>the public sector to the private sector.</w:t>
      </w:r>
      <w:r w:rsidR="00CC0D77">
        <w:rPr>
          <w:rFonts w:ascii="Times New Roman" w:hAnsi="Times New Roman" w:cs="Times New Roman"/>
          <w:sz w:val="24"/>
          <w:szCs w:val="24"/>
        </w:rPr>
        <w:t xml:space="preserve"> </w:t>
      </w:r>
      <w:r w:rsidR="00C83714">
        <w:rPr>
          <w:rFonts w:ascii="Times New Roman" w:hAnsi="Times New Roman" w:cs="Times New Roman"/>
          <w:sz w:val="24"/>
          <w:szCs w:val="24"/>
        </w:rPr>
        <w:t xml:space="preserve"> </w:t>
      </w:r>
    </w:p>
    <w:p w14:paraId="38E97E88" w14:textId="6D0396CF" w:rsidR="000B58AF" w:rsidRPr="00921D4A" w:rsidRDefault="000B58AF" w:rsidP="007F3CAB">
      <w:pPr>
        <w:spacing w:line="480" w:lineRule="auto"/>
        <w:ind w:firstLine="720"/>
        <w:rPr>
          <w:rFonts w:ascii="Times New Roman" w:hAnsi="Times New Roman" w:cs="Times New Roman"/>
          <w:sz w:val="24"/>
          <w:szCs w:val="24"/>
        </w:rPr>
      </w:pPr>
      <w:r w:rsidRPr="00921D4A">
        <w:rPr>
          <w:rFonts w:ascii="Times New Roman" w:hAnsi="Times New Roman" w:cs="Times New Roman"/>
          <w:sz w:val="24"/>
          <w:szCs w:val="24"/>
        </w:rPr>
        <w:t xml:space="preserve">Section two of the paper will contain a review of the </w:t>
      </w:r>
      <w:r w:rsidR="007F36ED">
        <w:rPr>
          <w:rFonts w:ascii="Times New Roman" w:hAnsi="Times New Roman" w:cs="Times New Roman"/>
          <w:sz w:val="24"/>
          <w:szCs w:val="24"/>
        </w:rPr>
        <w:t xml:space="preserve">minimum wage </w:t>
      </w:r>
      <w:r w:rsidRPr="00921D4A">
        <w:rPr>
          <w:rFonts w:ascii="Times New Roman" w:hAnsi="Times New Roman" w:cs="Times New Roman"/>
          <w:sz w:val="24"/>
          <w:szCs w:val="24"/>
        </w:rPr>
        <w:t xml:space="preserve">literature, and section three will discuss the motivation and appropriateness of using a CGE model for this study </w:t>
      </w:r>
      <w:r w:rsidR="007F36ED">
        <w:rPr>
          <w:rFonts w:ascii="Times New Roman" w:hAnsi="Times New Roman" w:cs="Times New Roman"/>
          <w:sz w:val="24"/>
          <w:szCs w:val="24"/>
        </w:rPr>
        <w:t xml:space="preserve">given that </w:t>
      </w:r>
      <w:r w:rsidRPr="00921D4A">
        <w:rPr>
          <w:rFonts w:ascii="Times New Roman" w:hAnsi="Times New Roman" w:cs="Times New Roman"/>
          <w:sz w:val="24"/>
          <w:szCs w:val="24"/>
        </w:rPr>
        <w:t xml:space="preserve">most minimum wage studies use a partial equilibrium approach. Section four </w:t>
      </w:r>
      <w:r w:rsidR="00CE35AE">
        <w:rPr>
          <w:rFonts w:ascii="Times New Roman" w:hAnsi="Times New Roman" w:cs="Times New Roman"/>
          <w:sz w:val="24"/>
          <w:szCs w:val="24"/>
        </w:rPr>
        <w:t>presents</w:t>
      </w:r>
      <w:r w:rsidRPr="00921D4A">
        <w:rPr>
          <w:rFonts w:ascii="Times New Roman" w:hAnsi="Times New Roman" w:cs="Times New Roman"/>
          <w:sz w:val="24"/>
          <w:szCs w:val="24"/>
        </w:rPr>
        <w:t xml:space="preserve"> the data and methodology used, and section five present</w:t>
      </w:r>
      <w:r w:rsidR="00CE35AE">
        <w:rPr>
          <w:rFonts w:ascii="Times New Roman" w:hAnsi="Times New Roman" w:cs="Times New Roman"/>
          <w:sz w:val="24"/>
          <w:szCs w:val="24"/>
        </w:rPr>
        <w:t>s</w:t>
      </w:r>
      <w:r w:rsidRPr="00921D4A">
        <w:rPr>
          <w:rFonts w:ascii="Times New Roman" w:hAnsi="Times New Roman" w:cs="Times New Roman"/>
          <w:sz w:val="24"/>
          <w:szCs w:val="24"/>
        </w:rPr>
        <w:t xml:space="preserve"> the results.  The final section of this study </w:t>
      </w:r>
      <w:r w:rsidRPr="0043263F">
        <w:rPr>
          <w:rFonts w:ascii="Times New Roman" w:hAnsi="Times New Roman" w:cs="Times New Roman"/>
          <w:sz w:val="24"/>
          <w:szCs w:val="24"/>
        </w:rPr>
        <w:t>offer</w:t>
      </w:r>
      <w:r w:rsidR="00CE35AE">
        <w:rPr>
          <w:rFonts w:ascii="Times New Roman" w:hAnsi="Times New Roman" w:cs="Times New Roman"/>
          <w:sz w:val="24"/>
          <w:szCs w:val="24"/>
        </w:rPr>
        <w:t>s</w:t>
      </w:r>
      <w:r w:rsidRPr="0043263F">
        <w:rPr>
          <w:rFonts w:ascii="Times New Roman" w:hAnsi="Times New Roman" w:cs="Times New Roman"/>
          <w:sz w:val="24"/>
          <w:szCs w:val="24"/>
        </w:rPr>
        <w:t xml:space="preserve"> </w:t>
      </w:r>
      <w:r w:rsidR="007F36ED" w:rsidRPr="0043263F">
        <w:rPr>
          <w:rFonts w:ascii="Times New Roman" w:hAnsi="Times New Roman" w:cs="Times New Roman"/>
          <w:sz w:val="24"/>
          <w:szCs w:val="24"/>
        </w:rPr>
        <w:t xml:space="preserve">policy </w:t>
      </w:r>
      <w:r w:rsidRPr="0043263F">
        <w:rPr>
          <w:rFonts w:ascii="Times New Roman" w:hAnsi="Times New Roman" w:cs="Times New Roman"/>
          <w:sz w:val="24"/>
          <w:szCs w:val="24"/>
        </w:rPr>
        <w:t xml:space="preserve">conclusions and </w:t>
      </w:r>
      <w:r w:rsidR="00066B22" w:rsidRPr="0043263F">
        <w:rPr>
          <w:rFonts w:ascii="Times New Roman" w:hAnsi="Times New Roman" w:cs="Times New Roman"/>
          <w:sz w:val="24"/>
          <w:szCs w:val="24"/>
        </w:rPr>
        <w:t>summarize</w:t>
      </w:r>
      <w:r w:rsidR="00CE35AE">
        <w:rPr>
          <w:rFonts w:ascii="Times New Roman" w:hAnsi="Times New Roman" w:cs="Times New Roman"/>
          <w:sz w:val="24"/>
          <w:szCs w:val="24"/>
        </w:rPr>
        <w:t>s</w:t>
      </w:r>
      <w:r w:rsidRPr="0043263F">
        <w:rPr>
          <w:rFonts w:ascii="Times New Roman" w:hAnsi="Times New Roman" w:cs="Times New Roman"/>
          <w:sz w:val="24"/>
          <w:szCs w:val="24"/>
        </w:rPr>
        <w:t xml:space="preserve"> how CGE and other policy simulation models</w:t>
      </w:r>
      <w:r w:rsidR="007F36ED" w:rsidRPr="0043263F">
        <w:rPr>
          <w:rFonts w:ascii="Times New Roman" w:hAnsi="Times New Roman" w:cs="Times New Roman"/>
          <w:sz w:val="24"/>
          <w:szCs w:val="24"/>
        </w:rPr>
        <w:t xml:space="preserve"> </w:t>
      </w:r>
      <w:r w:rsidR="00ED07F2" w:rsidRPr="0043263F">
        <w:rPr>
          <w:rFonts w:ascii="Times New Roman" w:hAnsi="Times New Roman" w:cs="Times New Roman"/>
          <w:sz w:val="24"/>
          <w:szCs w:val="24"/>
        </w:rPr>
        <w:t xml:space="preserve">can </w:t>
      </w:r>
      <w:r w:rsidR="00CE35AE">
        <w:rPr>
          <w:rFonts w:ascii="Times New Roman" w:hAnsi="Times New Roman" w:cs="Times New Roman"/>
          <w:sz w:val="24"/>
          <w:szCs w:val="24"/>
        </w:rPr>
        <w:t>complement ex-poste partial equilibrium analyses, by providing</w:t>
      </w:r>
      <w:r w:rsidR="00CE35AE" w:rsidRPr="0043263F">
        <w:rPr>
          <w:rFonts w:ascii="Times New Roman" w:hAnsi="Times New Roman" w:cs="Times New Roman"/>
          <w:sz w:val="24"/>
          <w:szCs w:val="24"/>
        </w:rPr>
        <w:t xml:space="preserve"> </w:t>
      </w:r>
      <w:r w:rsidR="00FD051B" w:rsidRPr="0043263F">
        <w:rPr>
          <w:rFonts w:ascii="Times New Roman" w:hAnsi="Times New Roman" w:cs="Times New Roman"/>
          <w:sz w:val="24"/>
          <w:szCs w:val="24"/>
        </w:rPr>
        <w:t xml:space="preserve">more </w:t>
      </w:r>
      <w:r w:rsidRPr="0043263F">
        <w:rPr>
          <w:rFonts w:ascii="Times New Roman" w:hAnsi="Times New Roman" w:cs="Times New Roman"/>
          <w:sz w:val="24"/>
          <w:szCs w:val="24"/>
        </w:rPr>
        <w:t xml:space="preserve">comprehensive </w:t>
      </w:r>
      <w:r w:rsidR="00FD051B" w:rsidRPr="0043263F">
        <w:rPr>
          <w:rFonts w:ascii="Times New Roman" w:hAnsi="Times New Roman" w:cs="Times New Roman"/>
          <w:sz w:val="24"/>
          <w:szCs w:val="24"/>
        </w:rPr>
        <w:t xml:space="preserve">insights and </w:t>
      </w:r>
      <w:r w:rsidRPr="0043263F">
        <w:rPr>
          <w:rFonts w:ascii="Times New Roman" w:hAnsi="Times New Roman" w:cs="Times New Roman"/>
          <w:sz w:val="24"/>
          <w:szCs w:val="24"/>
        </w:rPr>
        <w:t xml:space="preserve">findings </w:t>
      </w:r>
      <w:r w:rsidR="00CE35AE">
        <w:rPr>
          <w:rFonts w:ascii="Times New Roman" w:hAnsi="Times New Roman" w:cs="Times New Roman"/>
          <w:sz w:val="24"/>
          <w:szCs w:val="24"/>
        </w:rPr>
        <w:t>concerning</w:t>
      </w:r>
      <w:r w:rsidR="00CE35AE" w:rsidRPr="0043263F">
        <w:rPr>
          <w:rFonts w:ascii="Times New Roman" w:hAnsi="Times New Roman" w:cs="Times New Roman"/>
          <w:sz w:val="24"/>
          <w:szCs w:val="24"/>
        </w:rPr>
        <w:t xml:space="preserve"> </w:t>
      </w:r>
      <w:r w:rsidR="007F36ED" w:rsidRPr="0043263F">
        <w:rPr>
          <w:rFonts w:ascii="Times New Roman" w:hAnsi="Times New Roman" w:cs="Times New Roman"/>
          <w:sz w:val="24"/>
          <w:szCs w:val="24"/>
        </w:rPr>
        <w:t>large policy changes</w:t>
      </w:r>
      <w:r w:rsidR="00ED07F2" w:rsidRPr="0043263F">
        <w:rPr>
          <w:rFonts w:ascii="Times New Roman" w:hAnsi="Times New Roman" w:cs="Times New Roman"/>
          <w:sz w:val="24"/>
          <w:szCs w:val="24"/>
        </w:rPr>
        <w:t xml:space="preserve"> prior to policy</w:t>
      </w:r>
      <w:r w:rsidRPr="0043263F">
        <w:rPr>
          <w:rFonts w:ascii="Times New Roman" w:hAnsi="Times New Roman" w:cs="Times New Roman"/>
          <w:sz w:val="24"/>
          <w:szCs w:val="24"/>
        </w:rPr>
        <w:t xml:space="preserve"> implementation.</w:t>
      </w:r>
    </w:p>
    <w:p w14:paraId="70A7E8AB" w14:textId="77777777" w:rsidR="000B58AF" w:rsidRDefault="000B58AF" w:rsidP="00921D4A">
      <w:pPr>
        <w:pStyle w:val="ListParagraph"/>
        <w:ind w:left="1080"/>
        <w:rPr>
          <w:b/>
          <w:sz w:val="24"/>
          <w:szCs w:val="24"/>
          <w:u w:val="single"/>
        </w:rPr>
      </w:pPr>
    </w:p>
    <w:p w14:paraId="7495C9F9" w14:textId="61E32F55" w:rsidR="000B58AF" w:rsidRPr="00AA108E" w:rsidRDefault="000E272C" w:rsidP="00921D4A">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Background on Minimum Wage Research</w:t>
      </w:r>
    </w:p>
    <w:p w14:paraId="31725E5A" w14:textId="72C3F161" w:rsidR="000B58AF" w:rsidRPr="00921D4A" w:rsidRDefault="000B58AF" w:rsidP="007F3CAB">
      <w:pPr>
        <w:spacing w:line="480" w:lineRule="auto"/>
        <w:rPr>
          <w:rFonts w:ascii="Times New Roman" w:hAnsi="Times New Roman" w:cs="Times New Roman"/>
          <w:sz w:val="24"/>
          <w:szCs w:val="24"/>
        </w:rPr>
      </w:pPr>
      <w:r w:rsidRPr="00921D4A">
        <w:rPr>
          <w:rFonts w:ascii="Times New Roman" w:hAnsi="Times New Roman" w:cs="Times New Roman"/>
          <w:sz w:val="24"/>
          <w:szCs w:val="24"/>
        </w:rPr>
        <w:t xml:space="preserve">Critics of local minimum wages argue that </w:t>
      </w:r>
      <w:r w:rsidR="00B53611" w:rsidRPr="000B58AF">
        <w:rPr>
          <w:rFonts w:ascii="Times New Roman" w:hAnsi="Times New Roman" w:cs="Times New Roman"/>
          <w:sz w:val="24"/>
          <w:szCs w:val="24"/>
        </w:rPr>
        <w:t>such policies</w:t>
      </w:r>
      <w:r w:rsidRPr="00921D4A">
        <w:rPr>
          <w:rFonts w:ascii="Times New Roman" w:hAnsi="Times New Roman" w:cs="Times New Roman"/>
          <w:sz w:val="24"/>
          <w:szCs w:val="24"/>
        </w:rPr>
        <w:t xml:space="preserve"> are poorly targeted at raising incomes among the working poor (</w:t>
      </w:r>
      <w:proofErr w:type="spellStart"/>
      <w:r w:rsidRPr="00921D4A">
        <w:rPr>
          <w:rFonts w:ascii="Times New Roman" w:hAnsi="Times New Roman" w:cs="Times New Roman"/>
          <w:sz w:val="24"/>
          <w:szCs w:val="24"/>
        </w:rPr>
        <w:t>Sabia</w:t>
      </w:r>
      <w:proofErr w:type="spellEnd"/>
      <w:r w:rsidRPr="00921D4A">
        <w:rPr>
          <w:rFonts w:ascii="Times New Roman" w:hAnsi="Times New Roman" w:cs="Times New Roman"/>
          <w:sz w:val="24"/>
          <w:szCs w:val="24"/>
        </w:rPr>
        <w:t xml:space="preserve"> 2014), and in many </w:t>
      </w:r>
      <w:r w:rsidR="008E592D" w:rsidRPr="000B58AF">
        <w:rPr>
          <w:rFonts w:ascii="Times New Roman" w:hAnsi="Times New Roman" w:cs="Times New Roman"/>
          <w:sz w:val="24"/>
          <w:szCs w:val="24"/>
        </w:rPr>
        <w:t>instances,</w:t>
      </w:r>
      <w:r w:rsidRPr="00921D4A">
        <w:rPr>
          <w:rFonts w:ascii="Times New Roman" w:hAnsi="Times New Roman" w:cs="Times New Roman"/>
          <w:sz w:val="24"/>
          <w:szCs w:val="24"/>
        </w:rPr>
        <w:t xml:space="preserve"> favor some combination of human capital development, refundable Earned Income Tax Credits (EITC), or direct income transfers (e.g. </w:t>
      </w:r>
      <w:proofErr w:type="spellStart"/>
      <w:r w:rsidRPr="00921D4A">
        <w:rPr>
          <w:rFonts w:ascii="Times New Roman" w:hAnsi="Times New Roman" w:cs="Times New Roman"/>
          <w:sz w:val="24"/>
          <w:szCs w:val="24"/>
        </w:rPr>
        <w:t>Neumark</w:t>
      </w:r>
      <w:proofErr w:type="spellEnd"/>
      <w:r w:rsidRPr="00921D4A">
        <w:rPr>
          <w:rFonts w:ascii="Times New Roman" w:hAnsi="Times New Roman" w:cs="Times New Roman"/>
          <w:sz w:val="24"/>
          <w:szCs w:val="24"/>
        </w:rPr>
        <w:t xml:space="preserve"> 2004). They also argue that subgroups with already low employment levels and </w:t>
      </w:r>
      <w:r w:rsidRPr="00921D4A">
        <w:rPr>
          <w:rFonts w:ascii="Times New Roman" w:hAnsi="Times New Roman" w:cs="Times New Roman"/>
          <w:sz w:val="24"/>
          <w:szCs w:val="24"/>
        </w:rPr>
        <w:lastRenderedPageBreak/>
        <w:t>labor force attachment could be harmed by policies that raise, not lower, hiring and labor costs (</w:t>
      </w:r>
      <w:proofErr w:type="spellStart"/>
      <w:r w:rsidRPr="00921D4A">
        <w:rPr>
          <w:rFonts w:ascii="Times New Roman" w:hAnsi="Times New Roman" w:cs="Times New Roman"/>
          <w:sz w:val="24"/>
          <w:szCs w:val="24"/>
        </w:rPr>
        <w:t>Holzer</w:t>
      </w:r>
      <w:proofErr w:type="spellEnd"/>
      <w:r w:rsidRPr="00921D4A">
        <w:rPr>
          <w:rFonts w:ascii="Times New Roman" w:hAnsi="Times New Roman" w:cs="Times New Roman"/>
          <w:sz w:val="24"/>
          <w:szCs w:val="24"/>
        </w:rPr>
        <w:t xml:space="preserve"> 2013). On the other hand, some scholars point to evidence that minimum wages raise earnings and, subsequently, overall family incomes, with minimal negative employment effects (e.g. Bernstein and </w:t>
      </w:r>
      <w:proofErr w:type="spellStart"/>
      <w:r w:rsidRPr="00921D4A">
        <w:rPr>
          <w:rFonts w:ascii="Times New Roman" w:hAnsi="Times New Roman" w:cs="Times New Roman"/>
          <w:sz w:val="24"/>
          <w:szCs w:val="24"/>
        </w:rPr>
        <w:t>Shierholz</w:t>
      </w:r>
      <w:proofErr w:type="spellEnd"/>
      <w:r w:rsidRPr="00921D4A">
        <w:rPr>
          <w:rFonts w:ascii="Times New Roman" w:hAnsi="Times New Roman" w:cs="Times New Roman"/>
          <w:sz w:val="24"/>
          <w:szCs w:val="24"/>
        </w:rPr>
        <w:t xml:space="preserve"> 2014). Nationally, there is mixed evidence on the overall economic and employment effects of minimum wages, and most impact studies on minimum wages focus on employment effects. Neoclassical economic theory predicts that minimum wage policies </w:t>
      </w:r>
      <w:r w:rsidR="00B55ECB">
        <w:rPr>
          <w:rFonts w:ascii="Times New Roman" w:hAnsi="Times New Roman" w:cs="Times New Roman"/>
          <w:sz w:val="24"/>
          <w:szCs w:val="24"/>
        </w:rPr>
        <w:t>setting</w:t>
      </w:r>
      <w:r w:rsidRPr="00921D4A">
        <w:rPr>
          <w:rFonts w:ascii="Times New Roman" w:hAnsi="Times New Roman" w:cs="Times New Roman"/>
          <w:sz w:val="24"/>
          <w:szCs w:val="24"/>
        </w:rPr>
        <w:t xml:space="preserve"> wages above the local market equilibrium can result in unemployment in at least two ways. First, higher wages </w:t>
      </w:r>
      <w:r w:rsidR="006B2745">
        <w:rPr>
          <w:rFonts w:ascii="Times New Roman" w:hAnsi="Times New Roman" w:cs="Times New Roman"/>
          <w:sz w:val="24"/>
          <w:szCs w:val="24"/>
        </w:rPr>
        <w:t>increase the labor supply</w:t>
      </w:r>
      <w:r w:rsidRPr="00921D4A">
        <w:rPr>
          <w:rFonts w:ascii="Times New Roman" w:hAnsi="Times New Roman" w:cs="Times New Roman"/>
          <w:sz w:val="24"/>
          <w:szCs w:val="24"/>
        </w:rPr>
        <w:t xml:space="preserve">, </w:t>
      </w:r>
      <w:r w:rsidR="006B2745">
        <w:rPr>
          <w:rFonts w:ascii="Times New Roman" w:hAnsi="Times New Roman" w:cs="Times New Roman"/>
          <w:sz w:val="24"/>
          <w:szCs w:val="24"/>
        </w:rPr>
        <w:t xml:space="preserve">but </w:t>
      </w:r>
      <w:r w:rsidRPr="00921D4A">
        <w:rPr>
          <w:rFonts w:ascii="Times New Roman" w:hAnsi="Times New Roman" w:cs="Times New Roman"/>
          <w:sz w:val="24"/>
          <w:szCs w:val="24"/>
        </w:rPr>
        <w:t xml:space="preserve">some of </w:t>
      </w:r>
      <w:r w:rsidR="006B2745">
        <w:rPr>
          <w:rFonts w:ascii="Times New Roman" w:hAnsi="Times New Roman" w:cs="Times New Roman"/>
          <w:sz w:val="24"/>
          <w:szCs w:val="24"/>
        </w:rPr>
        <w:t xml:space="preserve">these new entrants </w:t>
      </w:r>
      <w:r w:rsidRPr="00921D4A">
        <w:rPr>
          <w:rFonts w:ascii="Times New Roman" w:hAnsi="Times New Roman" w:cs="Times New Roman"/>
          <w:sz w:val="24"/>
          <w:szCs w:val="24"/>
        </w:rPr>
        <w:t xml:space="preserve">may fail in their search. Second, firms may have a “demand” or need for additional workers, but their hourly contribution to productivity may be below the mandated minimum wage. Studies finding unemployment consequences include </w:t>
      </w:r>
      <w:proofErr w:type="spellStart"/>
      <w:r w:rsidRPr="00921D4A">
        <w:rPr>
          <w:rFonts w:ascii="Times New Roman" w:hAnsi="Times New Roman" w:cs="Times New Roman"/>
          <w:sz w:val="24"/>
          <w:szCs w:val="24"/>
        </w:rPr>
        <w:t>Neumark</w:t>
      </w:r>
      <w:proofErr w:type="spellEnd"/>
      <w:r w:rsidRPr="00921D4A">
        <w:rPr>
          <w:rFonts w:ascii="Times New Roman" w:hAnsi="Times New Roman" w:cs="Times New Roman"/>
          <w:sz w:val="24"/>
          <w:szCs w:val="24"/>
        </w:rPr>
        <w:t xml:space="preserve"> and </w:t>
      </w:r>
      <w:proofErr w:type="spellStart"/>
      <w:r w:rsidRPr="00921D4A">
        <w:rPr>
          <w:rFonts w:ascii="Times New Roman" w:hAnsi="Times New Roman" w:cs="Times New Roman"/>
          <w:sz w:val="24"/>
          <w:szCs w:val="24"/>
        </w:rPr>
        <w:t>Wascher</w:t>
      </w:r>
      <w:proofErr w:type="spellEnd"/>
      <w:r w:rsidRPr="00921D4A">
        <w:rPr>
          <w:rFonts w:ascii="Times New Roman" w:hAnsi="Times New Roman" w:cs="Times New Roman"/>
          <w:sz w:val="24"/>
          <w:szCs w:val="24"/>
        </w:rPr>
        <w:t xml:space="preserve"> (2007) and </w:t>
      </w:r>
      <w:proofErr w:type="spellStart"/>
      <w:r w:rsidRPr="00921D4A">
        <w:rPr>
          <w:rFonts w:ascii="Times New Roman" w:hAnsi="Times New Roman" w:cs="Times New Roman"/>
          <w:sz w:val="24"/>
          <w:szCs w:val="24"/>
        </w:rPr>
        <w:t>Sabia</w:t>
      </w:r>
      <w:proofErr w:type="spellEnd"/>
      <w:r w:rsidRPr="00921D4A">
        <w:rPr>
          <w:rFonts w:ascii="Times New Roman" w:hAnsi="Times New Roman" w:cs="Times New Roman"/>
          <w:sz w:val="24"/>
          <w:szCs w:val="24"/>
        </w:rPr>
        <w:t xml:space="preserve"> et al. (2012).</w:t>
      </w:r>
    </w:p>
    <w:p w14:paraId="4F4B70BD" w14:textId="01AEEDE6" w:rsidR="00C01408" w:rsidRDefault="000B58AF" w:rsidP="007F3CAB">
      <w:pPr>
        <w:spacing w:line="480" w:lineRule="auto"/>
        <w:ind w:firstLine="720"/>
        <w:rPr>
          <w:rFonts w:ascii="Times New Roman" w:hAnsi="Times New Roman" w:cs="Times New Roman"/>
          <w:sz w:val="24"/>
          <w:szCs w:val="24"/>
        </w:rPr>
      </w:pPr>
      <w:r w:rsidRPr="00921D4A">
        <w:rPr>
          <w:rFonts w:ascii="Times New Roman" w:hAnsi="Times New Roman" w:cs="Times New Roman"/>
          <w:sz w:val="24"/>
          <w:szCs w:val="24"/>
        </w:rPr>
        <w:t xml:space="preserve">Other empirical studies (e.g. Card &amp; Kruger 1994; </w:t>
      </w:r>
      <w:proofErr w:type="spellStart"/>
      <w:r w:rsidRPr="00921D4A">
        <w:rPr>
          <w:rFonts w:ascii="Times New Roman" w:hAnsi="Times New Roman" w:cs="Times New Roman"/>
          <w:sz w:val="24"/>
          <w:szCs w:val="24"/>
        </w:rPr>
        <w:t>Dube</w:t>
      </w:r>
      <w:proofErr w:type="spellEnd"/>
      <w:r w:rsidRPr="00921D4A">
        <w:rPr>
          <w:rFonts w:ascii="Times New Roman" w:hAnsi="Times New Roman" w:cs="Times New Roman"/>
          <w:sz w:val="24"/>
          <w:szCs w:val="24"/>
        </w:rPr>
        <w:t xml:space="preserve"> et al. 2010) finding little or no significant negative employment impacts from minimum wages have economic theoretical support as well; efficiency wage theory posits that workers respond positively to higher compensation and raise their own productivity, and that turnover costs are reduced as well. Quantitatively, the employment effects of higher minimum wage studies are measured by their employment </w:t>
      </w:r>
      <w:proofErr w:type="spellStart"/>
      <w:r w:rsidRPr="00921D4A">
        <w:rPr>
          <w:rFonts w:ascii="Times New Roman" w:hAnsi="Times New Roman" w:cs="Times New Roman"/>
          <w:sz w:val="24"/>
          <w:szCs w:val="24"/>
        </w:rPr>
        <w:t>elasticities</w:t>
      </w:r>
      <w:proofErr w:type="spellEnd"/>
      <w:r w:rsidRPr="00921D4A">
        <w:rPr>
          <w:rFonts w:ascii="Times New Roman" w:hAnsi="Times New Roman" w:cs="Times New Roman"/>
          <w:sz w:val="24"/>
          <w:szCs w:val="24"/>
        </w:rPr>
        <w:t>. The employment elasticity, here, is defined as the percentage change in employment for the population under study as a response to a one percentage change in the minimum wage rate.</w:t>
      </w:r>
      <w:r w:rsidR="00ED07F2">
        <w:rPr>
          <w:rFonts w:ascii="Times New Roman" w:hAnsi="Times New Roman" w:cs="Times New Roman"/>
          <w:sz w:val="24"/>
          <w:szCs w:val="24"/>
        </w:rPr>
        <w:t xml:space="preserve"> </w:t>
      </w:r>
      <w:r w:rsidRPr="00921D4A">
        <w:rPr>
          <w:rFonts w:ascii="Times New Roman" w:hAnsi="Times New Roman" w:cs="Times New Roman"/>
          <w:sz w:val="24"/>
          <w:szCs w:val="24"/>
        </w:rPr>
        <w:t xml:space="preserve">The major studies we evaluated found employment </w:t>
      </w:r>
      <w:proofErr w:type="spellStart"/>
      <w:r w:rsidRPr="00921D4A">
        <w:rPr>
          <w:rFonts w:ascii="Times New Roman" w:hAnsi="Times New Roman" w:cs="Times New Roman"/>
          <w:sz w:val="24"/>
          <w:szCs w:val="24"/>
        </w:rPr>
        <w:t>elasticities</w:t>
      </w:r>
      <w:proofErr w:type="spellEnd"/>
      <w:r w:rsidRPr="00921D4A">
        <w:rPr>
          <w:rFonts w:ascii="Times New Roman" w:hAnsi="Times New Roman" w:cs="Times New Roman"/>
          <w:sz w:val="24"/>
          <w:szCs w:val="24"/>
        </w:rPr>
        <w:t xml:space="preserve"> ranging from -0.20 to +0.10 (-20 percent to +10 percent).</w:t>
      </w:r>
      <w:r w:rsidR="00ED07F2">
        <w:rPr>
          <w:rFonts w:ascii="Times New Roman" w:hAnsi="Times New Roman" w:cs="Times New Roman"/>
          <w:sz w:val="24"/>
          <w:szCs w:val="24"/>
        </w:rPr>
        <w:t xml:space="preserve"> </w:t>
      </w:r>
      <w:proofErr w:type="spellStart"/>
      <w:r w:rsidRPr="00921D4A">
        <w:rPr>
          <w:rFonts w:ascii="Times New Roman" w:hAnsi="Times New Roman" w:cs="Times New Roman"/>
          <w:sz w:val="24"/>
          <w:szCs w:val="24"/>
        </w:rPr>
        <w:t>Neumark</w:t>
      </w:r>
      <w:proofErr w:type="spellEnd"/>
      <w:r w:rsidRPr="00921D4A">
        <w:rPr>
          <w:rFonts w:ascii="Times New Roman" w:hAnsi="Times New Roman" w:cs="Times New Roman"/>
          <w:sz w:val="24"/>
          <w:szCs w:val="24"/>
        </w:rPr>
        <w:t xml:space="preserve"> and </w:t>
      </w:r>
      <w:proofErr w:type="spellStart"/>
      <w:r w:rsidRPr="00921D4A">
        <w:rPr>
          <w:rFonts w:ascii="Times New Roman" w:hAnsi="Times New Roman" w:cs="Times New Roman"/>
          <w:sz w:val="24"/>
          <w:szCs w:val="24"/>
        </w:rPr>
        <w:t>Wascher</w:t>
      </w:r>
      <w:proofErr w:type="spellEnd"/>
      <w:r w:rsidRPr="00921D4A">
        <w:rPr>
          <w:rFonts w:ascii="Times New Roman" w:hAnsi="Times New Roman" w:cs="Times New Roman"/>
          <w:sz w:val="24"/>
          <w:szCs w:val="24"/>
        </w:rPr>
        <w:t xml:space="preserve"> (2007) found employment </w:t>
      </w:r>
      <w:proofErr w:type="spellStart"/>
      <w:r w:rsidRPr="00921D4A">
        <w:rPr>
          <w:rFonts w:ascii="Times New Roman" w:hAnsi="Times New Roman" w:cs="Times New Roman"/>
          <w:sz w:val="24"/>
          <w:szCs w:val="24"/>
        </w:rPr>
        <w:t>elasticities</w:t>
      </w:r>
      <w:proofErr w:type="spellEnd"/>
      <w:r w:rsidRPr="00921D4A">
        <w:rPr>
          <w:rFonts w:ascii="Times New Roman" w:hAnsi="Times New Roman" w:cs="Times New Roman"/>
          <w:sz w:val="24"/>
          <w:szCs w:val="24"/>
        </w:rPr>
        <w:t xml:space="preserve"> in the range of -0.1 to -0.2 for teens and -0.15 to -0.2 for the youth population as a whole. </w:t>
      </w:r>
      <w:proofErr w:type="spellStart"/>
      <w:r w:rsidRPr="00921D4A">
        <w:rPr>
          <w:rFonts w:ascii="Times New Roman" w:hAnsi="Times New Roman" w:cs="Times New Roman"/>
          <w:sz w:val="24"/>
          <w:szCs w:val="24"/>
        </w:rPr>
        <w:t>Sabia</w:t>
      </w:r>
      <w:proofErr w:type="spellEnd"/>
      <w:r w:rsidRPr="00921D4A">
        <w:rPr>
          <w:rFonts w:ascii="Times New Roman" w:hAnsi="Times New Roman" w:cs="Times New Roman"/>
          <w:sz w:val="24"/>
          <w:szCs w:val="24"/>
        </w:rPr>
        <w:t xml:space="preserve"> et al (2012) found </w:t>
      </w:r>
      <w:proofErr w:type="spellStart"/>
      <w:r w:rsidRPr="00921D4A">
        <w:rPr>
          <w:rFonts w:ascii="Times New Roman" w:hAnsi="Times New Roman" w:cs="Times New Roman"/>
          <w:sz w:val="24"/>
          <w:szCs w:val="24"/>
        </w:rPr>
        <w:t>elasticities</w:t>
      </w:r>
      <w:proofErr w:type="spellEnd"/>
      <w:r w:rsidRPr="00921D4A">
        <w:rPr>
          <w:rFonts w:ascii="Times New Roman" w:hAnsi="Times New Roman" w:cs="Times New Roman"/>
          <w:sz w:val="24"/>
          <w:szCs w:val="24"/>
        </w:rPr>
        <w:t xml:space="preserve"> of -0.13 for workers with a high school diploma while finding that workers with a bachelor’s degree had an employment elasticity of +0.10 with respect </w:t>
      </w:r>
      <w:r w:rsidRPr="00921D4A">
        <w:rPr>
          <w:rFonts w:ascii="Times New Roman" w:hAnsi="Times New Roman" w:cs="Times New Roman"/>
          <w:sz w:val="24"/>
          <w:szCs w:val="24"/>
        </w:rPr>
        <w:lastRenderedPageBreak/>
        <w:t xml:space="preserve">to the minimum wage, whereas </w:t>
      </w:r>
      <w:proofErr w:type="spellStart"/>
      <w:r w:rsidRPr="00921D4A">
        <w:rPr>
          <w:rFonts w:ascii="Times New Roman" w:hAnsi="Times New Roman" w:cs="Times New Roman"/>
          <w:sz w:val="24"/>
          <w:szCs w:val="24"/>
        </w:rPr>
        <w:t>Dube</w:t>
      </w:r>
      <w:proofErr w:type="spellEnd"/>
      <w:r w:rsidRPr="00921D4A">
        <w:rPr>
          <w:rFonts w:ascii="Times New Roman" w:hAnsi="Times New Roman" w:cs="Times New Roman"/>
          <w:sz w:val="24"/>
          <w:szCs w:val="24"/>
        </w:rPr>
        <w:t xml:space="preserve"> et al</w:t>
      </w:r>
      <w:r w:rsidR="00C01408">
        <w:rPr>
          <w:rFonts w:ascii="Times New Roman" w:hAnsi="Times New Roman" w:cs="Times New Roman"/>
          <w:sz w:val="24"/>
          <w:szCs w:val="24"/>
        </w:rPr>
        <w:t>.</w:t>
      </w:r>
      <w:r w:rsidRPr="00921D4A">
        <w:rPr>
          <w:rFonts w:ascii="Times New Roman" w:hAnsi="Times New Roman" w:cs="Times New Roman"/>
          <w:sz w:val="24"/>
          <w:szCs w:val="24"/>
        </w:rPr>
        <w:t xml:space="preserve"> (2010), Card and Krueger (2000) and Addison et al.</w:t>
      </w:r>
      <w:r w:rsidR="00B55ECB">
        <w:rPr>
          <w:rFonts w:ascii="Times New Roman" w:hAnsi="Times New Roman" w:cs="Times New Roman"/>
          <w:sz w:val="24"/>
          <w:szCs w:val="24"/>
        </w:rPr>
        <w:t xml:space="preserve"> </w:t>
      </w:r>
      <w:r w:rsidRPr="00921D4A">
        <w:rPr>
          <w:rFonts w:ascii="Times New Roman" w:hAnsi="Times New Roman" w:cs="Times New Roman"/>
          <w:sz w:val="24"/>
          <w:szCs w:val="24"/>
        </w:rPr>
        <w:t xml:space="preserve">(2014) found </w:t>
      </w:r>
      <w:proofErr w:type="spellStart"/>
      <w:r w:rsidRPr="00921D4A">
        <w:rPr>
          <w:rFonts w:ascii="Times New Roman" w:hAnsi="Times New Roman" w:cs="Times New Roman"/>
          <w:sz w:val="24"/>
          <w:szCs w:val="24"/>
        </w:rPr>
        <w:t>elasticities</w:t>
      </w:r>
      <w:proofErr w:type="spellEnd"/>
      <w:r w:rsidRPr="00921D4A">
        <w:rPr>
          <w:rFonts w:ascii="Times New Roman" w:hAnsi="Times New Roman" w:cs="Times New Roman"/>
          <w:sz w:val="24"/>
          <w:szCs w:val="24"/>
        </w:rPr>
        <w:t xml:space="preserve"> near zero</w:t>
      </w:r>
      <w:r w:rsidR="00ED07F2">
        <w:rPr>
          <w:rFonts w:ascii="Times New Roman" w:hAnsi="Times New Roman" w:cs="Times New Roman"/>
          <w:sz w:val="24"/>
          <w:szCs w:val="24"/>
        </w:rPr>
        <w:t xml:space="preserve"> </w:t>
      </w:r>
      <w:r w:rsidRPr="00921D4A">
        <w:rPr>
          <w:rFonts w:ascii="Times New Roman" w:hAnsi="Times New Roman" w:cs="Times New Roman"/>
          <w:sz w:val="24"/>
          <w:szCs w:val="24"/>
        </w:rPr>
        <w:t xml:space="preserve">for restaurant and fast food workers. </w:t>
      </w:r>
    </w:p>
    <w:p w14:paraId="20FBF960" w14:textId="2F33AAB8" w:rsidR="00C01408" w:rsidRDefault="00C01408" w:rsidP="007F3CA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Recent work by </w:t>
      </w:r>
      <w:proofErr w:type="spellStart"/>
      <w:r>
        <w:rPr>
          <w:rFonts w:ascii="Times New Roman" w:hAnsi="Times New Roman" w:cs="Times New Roman"/>
          <w:sz w:val="24"/>
          <w:szCs w:val="24"/>
        </w:rPr>
        <w:t>Jardim</w:t>
      </w:r>
      <w:proofErr w:type="spellEnd"/>
      <w:r>
        <w:rPr>
          <w:rFonts w:ascii="Times New Roman" w:hAnsi="Times New Roman" w:cs="Times New Roman"/>
          <w:sz w:val="24"/>
          <w:szCs w:val="24"/>
        </w:rPr>
        <w:t xml:space="preserve"> et al. (2017) provides new evidence on a similar minimum wage expansion in Seattle, WA. They find mixed results from the city’s expansion from roughly $9.50 to $13; namely, that earnings do indeed fall—an hours-worked effect—while employment is unchanged. </w:t>
      </w:r>
      <w:r w:rsidR="000B58AF" w:rsidRPr="00921D4A">
        <w:rPr>
          <w:rFonts w:ascii="Times New Roman" w:hAnsi="Times New Roman" w:cs="Times New Roman"/>
          <w:sz w:val="24"/>
          <w:szCs w:val="24"/>
        </w:rPr>
        <w:t xml:space="preserve">To our knowledge, only a few DC-focused minimum wage studies exist, and they focus on the older $11.50 MWP. For example, partial equilibrium analyses by Nichols and </w:t>
      </w:r>
      <w:proofErr w:type="spellStart"/>
      <w:r w:rsidR="000B58AF" w:rsidRPr="00921D4A">
        <w:rPr>
          <w:rFonts w:ascii="Times New Roman" w:hAnsi="Times New Roman" w:cs="Times New Roman"/>
          <w:sz w:val="24"/>
          <w:szCs w:val="24"/>
        </w:rPr>
        <w:t>Schwabish</w:t>
      </w:r>
      <w:proofErr w:type="spellEnd"/>
      <w:r w:rsidR="000B58AF" w:rsidRPr="00921D4A">
        <w:rPr>
          <w:rFonts w:ascii="Times New Roman" w:hAnsi="Times New Roman" w:cs="Times New Roman"/>
          <w:sz w:val="24"/>
          <w:szCs w:val="24"/>
        </w:rPr>
        <w:t xml:space="preserve"> (2014) and </w:t>
      </w:r>
      <w:proofErr w:type="spellStart"/>
      <w:r w:rsidR="000B58AF" w:rsidRPr="00921D4A">
        <w:rPr>
          <w:rFonts w:ascii="Times New Roman" w:hAnsi="Times New Roman" w:cs="Times New Roman"/>
          <w:sz w:val="24"/>
          <w:szCs w:val="24"/>
        </w:rPr>
        <w:t>Acs</w:t>
      </w:r>
      <w:proofErr w:type="spellEnd"/>
      <w:r w:rsidR="000B58AF" w:rsidRPr="00921D4A">
        <w:rPr>
          <w:rFonts w:ascii="Times New Roman" w:hAnsi="Times New Roman" w:cs="Times New Roman"/>
          <w:sz w:val="24"/>
          <w:szCs w:val="24"/>
        </w:rPr>
        <w:t xml:space="preserve"> et al. (2014) modeled DC minimum wage changes in comparison to surrounding counties—similar with respect to demographic characteristics but without the policy change—finding little-to-no evidence of lowered employment. </w:t>
      </w:r>
    </w:p>
    <w:p w14:paraId="3FD96EC1" w14:textId="62100DE6" w:rsidR="000B58AF" w:rsidRDefault="00C01408" w:rsidP="007F3CAB">
      <w:pPr>
        <w:spacing w:line="480" w:lineRule="auto"/>
        <w:ind w:firstLine="720"/>
        <w:rPr>
          <w:rFonts w:ascii="Times New Roman" w:hAnsi="Times New Roman" w:cs="Times New Roman"/>
          <w:sz w:val="24"/>
          <w:szCs w:val="24"/>
        </w:rPr>
      </w:pPr>
      <w:r w:rsidRPr="00921D4A">
        <w:rPr>
          <w:rFonts w:ascii="Times New Roman" w:hAnsi="Times New Roman" w:cs="Times New Roman"/>
          <w:sz w:val="24"/>
          <w:szCs w:val="24"/>
        </w:rPr>
        <w:t xml:space="preserve">It is worth noting that our study is one of a group </w:t>
      </w:r>
      <w:r>
        <w:rPr>
          <w:rFonts w:ascii="Times New Roman" w:hAnsi="Times New Roman" w:cs="Times New Roman"/>
          <w:sz w:val="24"/>
          <w:szCs w:val="24"/>
        </w:rPr>
        <w:t>using</w:t>
      </w:r>
      <w:r w:rsidRPr="00921D4A">
        <w:rPr>
          <w:rFonts w:ascii="Times New Roman" w:hAnsi="Times New Roman" w:cs="Times New Roman"/>
          <w:sz w:val="24"/>
          <w:szCs w:val="24"/>
        </w:rPr>
        <w:t xml:space="preserve"> a </w:t>
      </w:r>
      <w:r w:rsidRPr="00680849">
        <w:rPr>
          <w:rFonts w:ascii="Times New Roman" w:hAnsi="Times New Roman" w:cs="Times New Roman"/>
          <w:sz w:val="24"/>
          <w:szCs w:val="24"/>
        </w:rPr>
        <w:t>general equilibrium micro simulation approach to estimate the impact of a higher minimum wage</w:t>
      </w:r>
      <w:r>
        <w:rPr>
          <w:rFonts w:ascii="Times New Roman" w:hAnsi="Times New Roman" w:cs="Times New Roman"/>
          <w:sz w:val="24"/>
          <w:szCs w:val="24"/>
        </w:rPr>
        <w:t xml:space="preserve"> within a local labor market</w:t>
      </w:r>
      <w:r w:rsidRPr="00680849">
        <w:rPr>
          <w:rFonts w:ascii="Times New Roman" w:hAnsi="Times New Roman" w:cs="Times New Roman"/>
          <w:sz w:val="24"/>
          <w:szCs w:val="24"/>
        </w:rPr>
        <w:t>. For example, Reich et al</w:t>
      </w:r>
      <w:r w:rsidR="006B2745">
        <w:rPr>
          <w:rFonts w:ascii="Times New Roman" w:hAnsi="Times New Roman" w:cs="Times New Roman"/>
          <w:sz w:val="24"/>
          <w:szCs w:val="24"/>
        </w:rPr>
        <w:t>.</w:t>
      </w:r>
      <w:r w:rsidRPr="00680849">
        <w:rPr>
          <w:rFonts w:ascii="Times New Roman" w:hAnsi="Times New Roman" w:cs="Times New Roman"/>
          <w:sz w:val="24"/>
          <w:szCs w:val="24"/>
        </w:rPr>
        <w:t xml:space="preserve"> (2015) use the IMPLAN model, and find minimal employment consequences from higher minimum</w:t>
      </w:r>
      <w:r w:rsidRPr="00921D4A">
        <w:rPr>
          <w:rFonts w:ascii="Times New Roman" w:hAnsi="Times New Roman" w:cs="Times New Roman"/>
          <w:sz w:val="24"/>
          <w:szCs w:val="24"/>
        </w:rPr>
        <w:t xml:space="preserve"> wages</w:t>
      </w:r>
      <w:r>
        <w:rPr>
          <w:rFonts w:ascii="Times New Roman" w:hAnsi="Times New Roman" w:cs="Times New Roman"/>
          <w:sz w:val="24"/>
          <w:szCs w:val="24"/>
        </w:rPr>
        <w:t xml:space="preserve"> </w:t>
      </w:r>
      <w:r w:rsidRPr="00921D4A">
        <w:rPr>
          <w:rFonts w:ascii="Times New Roman" w:hAnsi="Times New Roman" w:cs="Times New Roman"/>
          <w:sz w:val="24"/>
          <w:szCs w:val="24"/>
        </w:rPr>
        <w:t>in Los Angeles, CA.</w:t>
      </w:r>
      <w:r>
        <w:rPr>
          <w:rFonts w:ascii="Times New Roman" w:hAnsi="Times New Roman" w:cs="Times New Roman"/>
          <w:sz w:val="24"/>
          <w:szCs w:val="24"/>
        </w:rPr>
        <w:t xml:space="preserve"> </w:t>
      </w:r>
      <w:r w:rsidR="000B58AF" w:rsidRPr="00921D4A">
        <w:rPr>
          <w:rFonts w:ascii="Times New Roman" w:hAnsi="Times New Roman" w:cs="Times New Roman"/>
          <w:sz w:val="24"/>
          <w:szCs w:val="24"/>
        </w:rPr>
        <w:t>Additionally, ours</w:t>
      </w:r>
      <w:r w:rsidR="00ED07F2">
        <w:rPr>
          <w:rFonts w:ascii="Times New Roman" w:hAnsi="Times New Roman" w:cs="Times New Roman"/>
          <w:sz w:val="24"/>
          <w:szCs w:val="24"/>
        </w:rPr>
        <w:t xml:space="preserve"> </w:t>
      </w:r>
      <w:r w:rsidR="000B58AF" w:rsidRPr="00921D4A">
        <w:rPr>
          <w:rFonts w:ascii="Times New Roman" w:hAnsi="Times New Roman" w:cs="Times New Roman"/>
          <w:sz w:val="24"/>
          <w:szCs w:val="24"/>
        </w:rPr>
        <w:t>is among the few studies that compare and assess the impact of the minimum wage on EITC participation and expenditures (</w:t>
      </w:r>
      <w:proofErr w:type="spellStart"/>
      <w:r w:rsidR="000B58AF" w:rsidRPr="00921D4A">
        <w:rPr>
          <w:rFonts w:ascii="Times New Roman" w:hAnsi="Times New Roman" w:cs="Times New Roman"/>
          <w:sz w:val="24"/>
          <w:szCs w:val="24"/>
        </w:rPr>
        <w:t>Neumark</w:t>
      </w:r>
      <w:proofErr w:type="spellEnd"/>
      <w:r w:rsidR="000B58AF" w:rsidRPr="00921D4A">
        <w:rPr>
          <w:rFonts w:ascii="Times New Roman" w:hAnsi="Times New Roman" w:cs="Times New Roman"/>
          <w:sz w:val="24"/>
          <w:szCs w:val="24"/>
        </w:rPr>
        <w:t xml:space="preserve"> &amp; </w:t>
      </w:r>
      <w:proofErr w:type="spellStart"/>
      <w:r w:rsidR="000B58AF" w:rsidRPr="00921D4A">
        <w:rPr>
          <w:rFonts w:ascii="Times New Roman" w:hAnsi="Times New Roman" w:cs="Times New Roman"/>
          <w:sz w:val="24"/>
          <w:szCs w:val="24"/>
        </w:rPr>
        <w:t>Wascher</w:t>
      </w:r>
      <w:proofErr w:type="spellEnd"/>
      <w:r w:rsidR="000B58AF" w:rsidRPr="00921D4A">
        <w:rPr>
          <w:rFonts w:ascii="Times New Roman" w:hAnsi="Times New Roman" w:cs="Times New Roman"/>
          <w:sz w:val="24"/>
          <w:szCs w:val="24"/>
        </w:rPr>
        <w:t xml:space="preserve"> 2001). This is especially relevant for DC, which currently provides the nation’s largest local supplement to the federal EITC for working residents—40 percent of federal EITC received.</w:t>
      </w:r>
    </w:p>
    <w:p w14:paraId="137AB151" w14:textId="1CBC5818" w:rsidR="000B58AF" w:rsidRPr="00AA108E" w:rsidRDefault="005E205C" w:rsidP="00921D4A">
      <w:pPr>
        <w:pStyle w:val="ListParagraph"/>
        <w:numPr>
          <w:ilvl w:val="0"/>
          <w:numId w:val="8"/>
        </w:numPr>
        <w:rPr>
          <w:rFonts w:ascii="Times New Roman" w:hAnsi="Times New Roman" w:cs="Times New Roman"/>
          <w:b/>
          <w:sz w:val="24"/>
          <w:szCs w:val="24"/>
        </w:rPr>
      </w:pPr>
      <w:r w:rsidRPr="00AA108E">
        <w:rPr>
          <w:rFonts w:ascii="Times New Roman" w:hAnsi="Times New Roman" w:cs="Times New Roman"/>
          <w:b/>
          <w:sz w:val="24"/>
          <w:szCs w:val="24"/>
        </w:rPr>
        <w:t xml:space="preserve"> </w:t>
      </w:r>
      <w:r w:rsidR="000B58AF" w:rsidRPr="00AA108E">
        <w:rPr>
          <w:rFonts w:ascii="Times New Roman" w:hAnsi="Times New Roman" w:cs="Times New Roman"/>
          <w:b/>
          <w:sz w:val="24"/>
          <w:szCs w:val="24"/>
        </w:rPr>
        <w:t xml:space="preserve">Estimating the Effects of a $15 MWP: </w:t>
      </w:r>
      <w:r w:rsidR="00C0324E">
        <w:rPr>
          <w:rFonts w:ascii="Times New Roman" w:hAnsi="Times New Roman" w:cs="Times New Roman"/>
          <w:b/>
          <w:sz w:val="24"/>
          <w:szCs w:val="24"/>
        </w:rPr>
        <w:t>The Strengths of</w:t>
      </w:r>
      <w:r w:rsidR="00C0324E" w:rsidRPr="00AA108E">
        <w:rPr>
          <w:rFonts w:ascii="Times New Roman" w:hAnsi="Times New Roman" w:cs="Times New Roman"/>
          <w:b/>
          <w:sz w:val="24"/>
          <w:szCs w:val="24"/>
        </w:rPr>
        <w:t xml:space="preserve"> </w:t>
      </w:r>
      <w:r w:rsidR="000B58AF" w:rsidRPr="00AA108E">
        <w:rPr>
          <w:rFonts w:ascii="Times New Roman" w:hAnsi="Times New Roman" w:cs="Times New Roman"/>
          <w:b/>
          <w:sz w:val="24"/>
          <w:szCs w:val="24"/>
        </w:rPr>
        <w:t>a CGE Model</w:t>
      </w:r>
    </w:p>
    <w:p w14:paraId="64F123AD" w14:textId="3D709E2D" w:rsidR="000B58AF" w:rsidRDefault="000B58AF" w:rsidP="007F3CAB">
      <w:pPr>
        <w:spacing w:line="480" w:lineRule="auto"/>
        <w:rPr>
          <w:rFonts w:ascii="Times New Roman" w:hAnsi="Times New Roman" w:cs="Times New Roman"/>
          <w:sz w:val="24"/>
          <w:szCs w:val="24"/>
        </w:rPr>
      </w:pPr>
      <w:r w:rsidRPr="00921D4A">
        <w:rPr>
          <w:rFonts w:ascii="Times New Roman" w:hAnsi="Times New Roman" w:cs="Times New Roman"/>
          <w:sz w:val="24"/>
          <w:szCs w:val="24"/>
        </w:rPr>
        <w:t>Between 2014 and 2016</w:t>
      </w:r>
      <w:r w:rsidR="00A10B3D">
        <w:rPr>
          <w:rFonts w:ascii="Times New Roman" w:hAnsi="Times New Roman" w:cs="Times New Roman"/>
          <w:sz w:val="24"/>
          <w:szCs w:val="24"/>
        </w:rPr>
        <w:t>,</w:t>
      </w:r>
      <w:r w:rsidR="00EF65A3">
        <w:rPr>
          <w:rFonts w:ascii="Times New Roman" w:hAnsi="Times New Roman" w:cs="Times New Roman"/>
          <w:sz w:val="24"/>
          <w:szCs w:val="24"/>
        </w:rPr>
        <w:t xml:space="preserve"> </w:t>
      </w:r>
      <w:r w:rsidRPr="00921D4A">
        <w:rPr>
          <w:rFonts w:ascii="Times New Roman" w:hAnsi="Times New Roman" w:cs="Times New Roman"/>
          <w:sz w:val="24"/>
          <w:szCs w:val="24"/>
        </w:rPr>
        <w:t>when the District of Columbia</w:t>
      </w:r>
      <w:r w:rsidR="003D22BB">
        <w:rPr>
          <w:rFonts w:ascii="Times New Roman" w:hAnsi="Times New Roman" w:cs="Times New Roman"/>
          <w:sz w:val="24"/>
          <w:szCs w:val="24"/>
        </w:rPr>
        <w:t xml:space="preserve"> </w:t>
      </w:r>
      <w:r w:rsidRPr="00921D4A">
        <w:rPr>
          <w:rFonts w:ascii="Times New Roman" w:hAnsi="Times New Roman" w:cs="Times New Roman"/>
          <w:sz w:val="24"/>
          <w:szCs w:val="24"/>
        </w:rPr>
        <w:t xml:space="preserve">gradually increased </w:t>
      </w:r>
      <w:r w:rsidR="00ED07F2">
        <w:rPr>
          <w:rFonts w:ascii="Times New Roman" w:hAnsi="Times New Roman" w:cs="Times New Roman"/>
          <w:sz w:val="24"/>
          <w:szCs w:val="24"/>
        </w:rPr>
        <w:t xml:space="preserve">its </w:t>
      </w:r>
      <w:r w:rsidR="00ED07F2" w:rsidRPr="00921D4A">
        <w:rPr>
          <w:rFonts w:ascii="Times New Roman" w:hAnsi="Times New Roman" w:cs="Times New Roman"/>
          <w:sz w:val="24"/>
          <w:szCs w:val="24"/>
        </w:rPr>
        <w:t>minimum</w:t>
      </w:r>
      <w:r w:rsidRPr="00921D4A">
        <w:rPr>
          <w:rFonts w:ascii="Times New Roman" w:hAnsi="Times New Roman" w:cs="Times New Roman"/>
          <w:sz w:val="24"/>
          <w:szCs w:val="24"/>
        </w:rPr>
        <w:t xml:space="preserve"> wage from $8.25 to $11.50</w:t>
      </w:r>
      <w:r w:rsidR="00DC11A4">
        <w:rPr>
          <w:rFonts w:ascii="Times New Roman" w:hAnsi="Times New Roman" w:cs="Times New Roman"/>
          <w:sz w:val="24"/>
          <w:szCs w:val="24"/>
        </w:rPr>
        <w:t xml:space="preserve"> ($11.50 MWP)</w:t>
      </w:r>
      <w:r w:rsidRPr="00921D4A">
        <w:rPr>
          <w:rFonts w:ascii="Times New Roman" w:hAnsi="Times New Roman" w:cs="Times New Roman"/>
          <w:sz w:val="24"/>
          <w:szCs w:val="24"/>
        </w:rPr>
        <w:t xml:space="preserve">, city leaders </w:t>
      </w:r>
      <w:r w:rsidR="00B53611">
        <w:rPr>
          <w:rFonts w:ascii="Times New Roman" w:hAnsi="Times New Roman" w:cs="Times New Roman"/>
          <w:sz w:val="24"/>
          <w:szCs w:val="24"/>
        </w:rPr>
        <w:t xml:space="preserve">also </w:t>
      </w:r>
      <w:r w:rsidRPr="00921D4A">
        <w:rPr>
          <w:rFonts w:ascii="Times New Roman" w:hAnsi="Times New Roman" w:cs="Times New Roman"/>
          <w:sz w:val="24"/>
          <w:szCs w:val="24"/>
        </w:rPr>
        <w:t>began debating whether to implement a $15</w:t>
      </w:r>
      <w:r w:rsidR="00EF65A3">
        <w:rPr>
          <w:rFonts w:ascii="Times New Roman" w:hAnsi="Times New Roman" w:cs="Times New Roman"/>
          <w:sz w:val="24"/>
          <w:szCs w:val="24"/>
        </w:rPr>
        <w:t xml:space="preserve"> </w:t>
      </w:r>
      <w:r w:rsidRPr="00921D4A">
        <w:rPr>
          <w:rFonts w:ascii="Times New Roman" w:hAnsi="Times New Roman" w:cs="Times New Roman"/>
          <w:sz w:val="24"/>
          <w:szCs w:val="24"/>
        </w:rPr>
        <w:t xml:space="preserve">MWP. </w:t>
      </w:r>
      <w:r w:rsidR="00AD56FF">
        <w:rPr>
          <w:rFonts w:ascii="Times New Roman" w:hAnsi="Times New Roman" w:cs="Times New Roman"/>
          <w:sz w:val="24"/>
          <w:szCs w:val="24"/>
        </w:rPr>
        <w:t>For context, i</w:t>
      </w:r>
      <w:r w:rsidR="00AD56FF" w:rsidRPr="00921D4A">
        <w:rPr>
          <w:rFonts w:ascii="Times New Roman" w:hAnsi="Times New Roman" w:cs="Times New Roman"/>
          <w:sz w:val="24"/>
          <w:szCs w:val="24"/>
        </w:rPr>
        <w:t xml:space="preserve">n </w:t>
      </w:r>
      <w:r w:rsidRPr="00921D4A">
        <w:rPr>
          <w:rFonts w:ascii="Times New Roman" w:hAnsi="Times New Roman" w:cs="Times New Roman"/>
          <w:sz w:val="24"/>
          <w:szCs w:val="24"/>
        </w:rPr>
        <w:t>2014 no city or state in the country had</w:t>
      </w:r>
      <w:r w:rsidR="00AD56FF">
        <w:rPr>
          <w:rFonts w:ascii="Times New Roman" w:hAnsi="Times New Roman" w:cs="Times New Roman"/>
          <w:sz w:val="24"/>
          <w:szCs w:val="24"/>
        </w:rPr>
        <w:t xml:space="preserve"> yet</w:t>
      </w:r>
      <w:r w:rsidRPr="00921D4A">
        <w:rPr>
          <w:rFonts w:ascii="Times New Roman" w:hAnsi="Times New Roman" w:cs="Times New Roman"/>
          <w:sz w:val="24"/>
          <w:szCs w:val="24"/>
        </w:rPr>
        <w:t xml:space="preserve"> legislated such a policy, </w:t>
      </w:r>
      <w:r w:rsidRPr="00921D4A">
        <w:rPr>
          <w:rFonts w:ascii="Times New Roman" w:hAnsi="Times New Roman" w:cs="Times New Roman"/>
          <w:sz w:val="24"/>
          <w:szCs w:val="24"/>
        </w:rPr>
        <w:lastRenderedPageBreak/>
        <w:t xml:space="preserve">and the </w:t>
      </w:r>
      <w:r w:rsidR="004A14A0">
        <w:rPr>
          <w:rFonts w:ascii="Times New Roman" w:hAnsi="Times New Roman" w:cs="Times New Roman"/>
          <w:sz w:val="24"/>
          <w:szCs w:val="24"/>
        </w:rPr>
        <w:t>proposed $15 MWP</w:t>
      </w:r>
      <w:r w:rsidRPr="00921D4A">
        <w:rPr>
          <w:rFonts w:ascii="Times New Roman" w:hAnsi="Times New Roman" w:cs="Times New Roman"/>
          <w:sz w:val="24"/>
          <w:szCs w:val="24"/>
        </w:rPr>
        <w:t xml:space="preserve"> w</w:t>
      </w:r>
      <w:r w:rsidR="00EF65A3">
        <w:rPr>
          <w:rFonts w:ascii="Times New Roman" w:hAnsi="Times New Roman" w:cs="Times New Roman"/>
          <w:sz w:val="24"/>
          <w:szCs w:val="24"/>
        </w:rPr>
        <w:t xml:space="preserve">ould have made </w:t>
      </w:r>
      <w:r w:rsidR="00FE121F">
        <w:rPr>
          <w:rFonts w:ascii="Times New Roman" w:hAnsi="Times New Roman" w:cs="Times New Roman"/>
          <w:sz w:val="24"/>
          <w:szCs w:val="24"/>
        </w:rPr>
        <w:t>DC</w:t>
      </w:r>
      <w:r w:rsidRPr="00921D4A">
        <w:rPr>
          <w:rFonts w:ascii="Times New Roman" w:hAnsi="Times New Roman" w:cs="Times New Roman"/>
          <w:sz w:val="24"/>
          <w:szCs w:val="24"/>
        </w:rPr>
        <w:t xml:space="preserve"> the first in the nation to </w:t>
      </w:r>
      <w:r w:rsidR="001C4B3A">
        <w:rPr>
          <w:rFonts w:ascii="Times New Roman" w:hAnsi="Times New Roman" w:cs="Times New Roman"/>
          <w:sz w:val="24"/>
          <w:szCs w:val="24"/>
        </w:rPr>
        <w:t>reach</w:t>
      </w:r>
      <w:r w:rsidR="001C4B3A" w:rsidRPr="00921D4A">
        <w:rPr>
          <w:rFonts w:ascii="Times New Roman" w:hAnsi="Times New Roman" w:cs="Times New Roman"/>
          <w:sz w:val="24"/>
          <w:szCs w:val="24"/>
        </w:rPr>
        <w:t xml:space="preserve"> </w:t>
      </w:r>
      <w:r w:rsidRPr="00921D4A">
        <w:rPr>
          <w:rFonts w:ascii="Times New Roman" w:hAnsi="Times New Roman" w:cs="Times New Roman"/>
          <w:sz w:val="24"/>
          <w:szCs w:val="24"/>
        </w:rPr>
        <w:t xml:space="preserve">the $15 </w:t>
      </w:r>
      <w:r w:rsidR="00BD5496">
        <w:rPr>
          <w:rFonts w:ascii="Times New Roman" w:hAnsi="Times New Roman" w:cs="Times New Roman"/>
          <w:sz w:val="24"/>
          <w:szCs w:val="24"/>
        </w:rPr>
        <w:t>wage floor</w:t>
      </w:r>
      <w:r w:rsidR="00BD5496" w:rsidRPr="00921D4A">
        <w:rPr>
          <w:rFonts w:ascii="Times New Roman" w:hAnsi="Times New Roman" w:cs="Times New Roman"/>
          <w:sz w:val="24"/>
          <w:szCs w:val="24"/>
        </w:rPr>
        <w:t xml:space="preserve"> </w:t>
      </w:r>
      <w:r w:rsidR="00967F8B">
        <w:rPr>
          <w:rFonts w:ascii="Times New Roman" w:hAnsi="Times New Roman" w:cs="Times New Roman"/>
          <w:sz w:val="24"/>
          <w:szCs w:val="24"/>
        </w:rPr>
        <w:t>by</w:t>
      </w:r>
      <w:r w:rsidR="00967F8B" w:rsidRPr="00921D4A">
        <w:rPr>
          <w:rFonts w:ascii="Times New Roman" w:hAnsi="Times New Roman" w:cs="Times New Roman"/>
          <w:sz w:val="24"/>
          <w:szCs w:val="24"/>
        </w:rPr>
        <w:t xml:space="preserve"> </w:t>
      </w:r>
      <w:r w:rsidRPr="00921D4A">
        <w:rPr>
          <w:rFonts w:ascii="Times New Roman" w:hAnsi="Times New Roman" w:cs="Times New Roman"/>
          <w:sz w:val="24"/>
          <w:szCs w:val="24"/>
        </w:rPr>
        <w:t xml:space="preserve">2020. </w:t>
      </w:r>
      <w:r w:rsidR="00EF65A3">
        <w:rPr>
          <w:rFonts w:ascii="Times New Roman" w:hAnsi="Times New Roman" w:cs="Times New Roman"/>
          <w:sz w:val="24"/>
          <w:szCs w:val="24"/>
        </w:rPr>
        <w:t xml:space="preserve"> </w:t>
      </w:r>
    </w:p>
    <w:p w14:paraId="20310A93" w14:textId="6FC72894" w:rsidR="000B58AF" w:rsidRPr="00921D4A" w:rsidRDefault="00B53611">
      <w:pPr>
        <w:spacing w:line="480" w:lineRule="auto"/>
        <w:ind w:firstLine="720"/>
        <w:rPr>
          <w:rFonts w:ascii="Times New Roman" w:hAnsi="Times New Roman" w:cs="Times New Roman"/>
          <w:sz w:val="24"/>
          <w:szCs w:val="24"/>
        </w:rPr>
      </w:pPr>
      <w:r>
        <w:rPr>
          <w:rFonts w:ascii="Times New Roman" w:hAnsi="Times New Roman" w:cs="Times New Roman"/>
          <w:sz w:val="24"/>
          <w:szCs w:val="24"/>
        </w:rPr>
        <w:t>S</w:t>
      </w:r>
      <w:r w:rsidR="000B58AF" w:rsidRPr="00921D4A">
        <w:rPr>
          <w:rFonts w:ascii="Times New Roman" w:hAnsi="Times New Roman" w:cs="Times New Roman"/>
          <w:sz w:val="24"/>
          <w:szCs w:val="24"/>
        </w:rPr>
        <w:t>everal members of the City Council were inclined to pass a $15 MWP</w:t>
      </w:r>
      <w:r w:rsidR="00920B05">
        <w:rPr>
          <w:rFonts w:ascii="Times New Roman" w:hAnsi="Times New Roman" w:cs="Times New Roman"/>
          <w:sz w:val="24"/>
          <w:szCs w:val="24"/>
        </w:rPr>
        <w:t xml:space="preserve"> into law</w:t>
      </w:r>
      <w:r w:rsidR="000B58AF" w:rsidRPr="00921D4A">
        <w:rPr>
          <w:rFonts w:ascii="Times New Roman" w:hAnsi="Times New Roman" w:cs="Times New Roman"/>
          <w:sz w:val="24"/>
          <w:szCs w:val="24"/>
        </w:rPr>
        <w:t xml:space="preserve">, </w:t>
      </w:r>
      <w:r>
        <w:rPr>
          <w:rFonts w:ascii="Times New Roman" w:hAnsi="Times New Roman" w:cs="Times New Roman"/>
          <w:sz w:val="24"/>
          <w:szCs w:val="24"/>
        </w:rPr>
        <w:t xml:space="preserve">but </w:t>
      </w:r>
      <w:r w:rsidR="006B2745">
        <w:rPr>
          <w:rFonts w:ascii="Times New Roman" w:hAnsi="Times New Roman" w:cs="Times New Roman"/>
          <w:sz w:val="24"/>
          <w:szCs w:val="24"/>
        </w:rPr>
        <w:t xml:space="preserve">key </w:t>
      </w:r>
      <w:r w:rsidR="000B58AF" w:rsidRPr="00921D4A">
        <w:rPr>
          <w:rFonts w:ascii="Times New Roman" w:hAnsi="Times New Roman" w:cs="Times New Roman"/>
          <w:sz w:val="24"/>
          <w:szCs w:val="24"/>
        </w:rPr>
        <w:t xml:space="preserve">questions first needed to be addressed. First, what would be the order of magnitude for the </w:t>
      </w:r>
      <w:r w:rsidR="00367BBB">
        <w:rPr>
          <w:rFonts w:ascii="Times New Roman" w:hAnsi="Times New Roman" w:cs="Times New Roman"/>
          <w:sz w:val="24"/>
          <w:szCs w:val="24"/>
        </w:rPr>
        <w:t>estimated</w:t>
      </w:r>
      <w:r w:rsidR="00367BBB" w:rsidRPr="00921D4A">
        <w:rPr>
          <w:rFonts w:ascii="Times New Roman" w:hAnsi="Times New Roman" w:cs="Times New Roman"/>
          <w:sz w:val="24"/>
          <w:szCs w:val="24"/>
        </w:rPr>
        <w:t xml:space="preserve"> </w:t>
      </w:r>
      <w:r w:rsidR="000B58AF" w:rsidRPr="00921D4A">
        <w:rPr>
          <w:rFonts w:ascii="Times New Roman" w:hAnsi="Times New Roman" w:cs="Times New Roman"/>
          <w:sz w:val="24"/>
          <w:szCs w:val="24"/>
        </w:rPr>
        <w:t>job losses under the new proposal?</w:t>
      </w:r>
      <w:r w:rsidR="006B2745">
        <w:rPr>
          <w:rFonts w:ascii="Times New Roman" w:hAnsi="Times New Roman" w:cs="Times New Roman"/>
          <w:sz w:val="24"/>
          <w:szCs w:val="24"/>
        </w:rPr>
        <w:t xml:space="preserve"> Second</w:t>
      </w:r>
      <w:r w:rsidR="000B58AF" w:rsidRPr="00921D4A">
        <w:rPr>
          <w:rFonts w:ascii="Times New Roman" w:hAnsi="Times New Roman" w:cs="Times New Roman"/>
          <w:sz w:val="24"/>
          <w:szCs w:val="24"/>
        </w:rPr>
        <w:t xml:space="preserve">, to what extent would this policy disadvantage city businesses relative to their </w:t>
      </w:r>
      <w:r w:rsidR="009C43A6">
        <w:rPr>
          <w:rFonts w:ascii="Times New Roman" w:hAnsi="Times New Roman" w:cs="Times New Roman"/>
          <w:sz w:val="24"/>
          <w:szCs w:val="24"/>
        </w:rPr>
        <w:t>competitors</w:t>
      </w:r>
      <w:r w:rsidR="009C43A6" w:rsidRPr="00921D4A">
        <w:rPr>
          <w:rFonts w:ascii="Times New Roman" w:hAnsi="Times New Roman" w:cs="Times New Roman"/>
          <w:sz w:val="24"/>
          <w:szCs w:val="24"/>
        </w:rPr>
        <w:t xml:space="preserve"> </w:t>
      </w:r>
      <w:r w:rsidR="000B58AF" w:rsidRPr="00921D4A">
        <w:rPr>
          <w:rFonts w:ascii="Times New Roman" w:hAnsi="Times New Roman" w:cs="Times New Roman"/>
          <w:sz w:val="24"/>
          <w:szCs w:val="24"/>
        </w:rPr>
        <w:t>in neighboring jurisdictions</w:t>
      </w:r>
      <w:r w:rsidR="00EF65A3">
        <w:rPr>
          <w:rFonts w:ascii="Times New Roman" w:hAnsi="Times New Roman" w:cs="Times New Roman"/>
          <w:sz w:val="24"/>
          <w:szCs w:val="24"/>
        </w:rPr>
        <w:t xml:space="preserve"> </w:t>
      </w:r>
      <w:r w:rsidR="000B58AF" w:rsidRPr="00921D4A">
        <w:rPr>
          <w:rFonts w:ascii="Times New Roman" w:hAnsi="Times New Roman" w:cs="Times New Roman"/>
          <w:sz w:val="24"/>
          <w:szCs w:val="24"/>
        </w:rPr>
        <w:t xml:space="preserve">of Maryland and Virginia? </w:t>
      </w:r>
      <w:r w:rsidR="006B2745">
        <w:rPr>
          <w:rFonts w:ascii="Times New Roman" w:hAnsi="Times New Roman" w:cs="Times New Roman"/>
          <w:sz w:val="24"/>
          <w:szCs w:val="24"/>
        </w:rPr>
        <w:t>Third</w:t>
      </w:r>
      <w:r w:rsidR="006B2745" w:rsidRPr="00921D4A">
        <w:rPr>
          <w:rFonts w:ascii="Times New Roman" w:hAnsi="Times New Roman" w:cs="Times New Roman"/>
          <w:sz w:val="24"/>
          <w:szCs w:val="24"/>
        </w:rPr>
        <w:t>, with the goal of assisting working low</w:t>
      </w:r>
      <w:r w:rsidR="006B2745">
        <w:rPr>
          <w:rFonts w:ascii="Times New Roman" w:hAnsi="Times New Roman" w:cs="Times New Roman"/>
          <w:sz w:val="24"/>
          <w:szCs w:val="24"/>
        </w:rPr>
        <w:t>-</w:t>
      </w:r>
      <w:r w:rsidR="006B2745" w:rsidRPr="00921D4A">
        <w:rPr>
          <w:rFonts w:ascii="Times New Roman" w:hAnsi="Times New Roman" w:cs="Times New Roman"/>
          <w:sz w:val="24"/>
          <w:szCs w:val="24"/>
        </w:rPr>
        <w:t>wage city residents, how would this policy affect the EITC</w:t>
      </w:r>
      <w:r w:rsidR="006B2745">
        <w:rPr>
          <w:rFonts w:ascii="Times New Roman" w:hAnsi="Times New Roman" w:cs="Times New Roman"/>
          <w:sz w:val="24"/>
          <w:szCs w:val="24"/>
        </w:rPr>
        <w:t>s</w:t>
      </w:r>
      <w:r w:rsidR="006B2745" w:rsidRPr="00921D4A">
        <w:rPr>
          <w:rFonts w:ascii="Times New Roman" w:hAnsi="Times New Roman" w:cs="Times New Roman"/>
          <w:sz w:val="24"/>
          <w:szCs w:val="24"/>
        </w:rPr>
        <w:t xml:space="preserve"> for these same workers? </w:t>
      </w:r>
    </w:p>
    <w:p w14:paraId="146F7682" w14:textId="1F40E751" w:rsidR="000B58AF" w:rsidRPr="00921D4A" w:rsidRDefault="000B58AF" w:rsidP="00921D4A">
      <w:pPr>
        <w:spacing w:line="480" w:lineRule="auto"/>
        <w:ind w:firstLine="720"/>
        <w:rPr>
          <w:rFonts w:ascii="Times New Roman" w:hAnsi="Times New Roman" w:cs="Times New Roman"/>
          <w:sz w:val="24"/>
          <w:szCs w:val="24"/>
        </w:rPr>
      </w:pPr>
      <w:r w:rsidRPr="00921D4A">
        <w:rPr>
          <w:rFonts w:ascii="Times New Roman" w:hAnsi="Times New Roman" w:cs="Times New Roman"/>
          <w:sz w:val="24"/>
          <w:szCs w:val="24"/>
        </w:rPr>
        <w:t>The</w:t>
      </w:r>
      <w:r w:rsidR="00967F8B">
        <w:rPr>
          <w:rFonts w:ascii="Times New Roman" w:hAnsi="Times New Roman" w:cs="Times New Roman"/>
          <w:sz w:val="24"/>
          <w:szCs w:val="24"/>
        </w:rPr>
        <w:t>se</w:t>
      </w:r>
      <w:r w:rsidRPr="00921D4A">
        <w:rPr>
          <w:rFonts w:ascii="Times New Roman" w:hAnsi="Times New Roman" w:cs="Times New Roman"/>
          <w:sz w:val="24"/>
          <w:szCs w:val="24"/>
        </w:rPr>
        <w:t xml:space="preserve"> </w:t>
      </w:r>
      <w:r w:rsidR="008E592D" w:rsidRPr="000B58AF">
        <w:rPr>
          <w:rFonts w:ascii="Times New Roman" w:hAnsi="Times New Roman" w:cs="Times New Roman"/>
          <w:sz w:val="24"/>
          <w:szCs w:val="24"/>
        </w:rPr>
        <w:t>questions</w:t>
      </w:r>
      <w:r w:rsidR="008E592D">
        <w:rPr>
          <w:rFonts w:ascii="Times New Roman" w:hAnsi="Times New Roman" w:cs="Times New Roman"/>
          <w:sz w:val="24"/>
          <w:szCs w:val="24"/>
        </w:rPr>
        <w:t xml:space="preserve"> </w:t>
      </w:r>
      <w:r w:rsidR="008E592D" w:rsidRPr="000B58AF">
        <w:rPr>
          <w:rFonts w:ascii="Times New Roman" w:hAnsi="Times New Roman" w:cs="Times New Roman"/>
          <w:sz w:val="24"/>
          <w:szCs w:val="24"/>
        </w:rPr>
        <w:t>underscore</w:t>
      </w:r>
      <w:r w:rsidRPr="00921D4A">
        <w:rPr>
          <w:rFonts w:ascii="Times New Roman" w:hAnsi="Times New Roman" w:cs="Times New Roman"/>
          <w:sz w:val="24"/>
          <w:szCs w:val="24"/>
        </w:rPr>
        <w:t xml:space="preserve"> the </w:t>
      </w:r>
      <w:r w:rsidR="003728ED">
        <w:rPr>
          <w:rFonts w:ascii="Times New Roman" w:hAnsi="Times New Roman" w:cs="Times New Roman"/>
          <w:sz w:val="24"/>
          <w:szCs w:val="24"/>
        </w:rPr>
        <w:t>concern</w:t>
      </w:r>
      <w:r w:rsidRPr="00921D4A">
        <w:rPr>
          <w:rFonts w:ascii="Times New Roman" w:hAnsi="Times New Roman" w:cs="Times New Roman"/>
          <w:sz w:val="24"/>
          <w:szCs w:val="24"/>
        </w:rPr>
        <w:t xml:space="preserve"> that</w:t>
      </w:r>
      <w:r w:rsidR="00967F8B">
        <w:rPr>
          <w:rFonts w:ascii="Times New Roman" w:hAnsi="Times New Roman" w:cs="Times New Roman"/>
          <w:sz w:val="24"/>
          <w:szCs w:val="24"/>
        </w:rPr>
        <w:t>, while well-intentioned,</w:t>
      </w:r>
      <w:r w:rsidRPr="00921D4A">
        <w:rPr>
          <w:rFonts w:ascii="Times New Roman" w:hAnsi="Times New Roman" w:cs="Times New Roman"/>
          <w:sz w:val="24"/>
          <w:szCs w:val="24"/>
        </w:rPr>
        <w:t xml:space="preserve"> the proposed $15 MWP </w:t>
      </w:r>
      <w:r w:rsidR="00967F8B">
        <w:rPr>
          <w:rFonts w:ascii="Times New Roman" w:hAnsi="Times New Roman" w:cs="Times New Roman"/>
          <w:sz w:val="24"/>
          <w:szCs w:val="24"/>
        </w:rPr>
        <w:t>represents</w:t>
      </w:r>
      <w:r w:rsidR="00967F8B" w:rsidRPr="00921D4A">
        <w:rPr>
          <w:rFonts w:ascii="Times New Roman" w:hAnsi="Times New Roman" w:cs="Times New Roman"/>
          <w:sz w:val="24"/>
          <w:szCs w:val="24"/>
        </w:rPr>
        <w:t xml:space="preserve"> </w:t>
      </w:r>
      <w:r w:rsidRPr="00921D4A">
        <w:rPr>
          <w:rFonts w:ascii="Times New Roman" w:hAnsi="Times New Roman" w:cs="Times New Roman"/>
          <w:sz w:val="24"/>
          <w:szCs w:val="24"/>
        </w:rPr>
        <w:t xml:space="preserve">a major business and labor policy change </w:t>
      </w:r>
      <w:r w:rsidR="00967F8B">
        <w:rPr>
          <w:rFonts w:ascii="Times New Roman" w:hAnsi="Times New Roman" w:cs="Times New Roman"/>
          <w:sz w:val="24"/>
          <w:szCs w:val="24"/>
        </w:rPr>
        <w:t xml:space="preserve">with the potential to </w:t>
      </w:r>
      <w:r w:rsidR="003C6194">
        <w:rPr>
          <w:rFonts w:ascii="Times New Roman" w:hAnsi="Times New Roman" w:cs="Times New Roman"/>
          <w:sz w:val="24"/>
          <w:szCs w:val="24"/>
        </w:rPr>
        <w:t xml:space="preserve">positively or </w:t>
      </w:r>
      <w:r w:rsidR="00967F8B">
        <w:rPr>
          <w:rFonts w:ascii="Times New Roman" w:hAnsi="Times New Roman" w:cs="Times New Roman"/>
          <w:sz w:val="24"/>
          <w:szCs w:val="24"/>
        </w:rPr>
        <w:t>negatively impact</w:t>
      </w:r>
      <w:r w:rsidRPr="00921D4A">
        <w:rPr>
          <w:rFonts w:ascii="Times New Roman" w:hAnsi="Times New Roman" w:cs="Times New Roman"/>
          <w:sz w:val="24"/>
          <w:szCs w:val="24"/>
        </w:rPr>
        <w:t xml:space="preserve"> a number of city industries, sectors, and markets. Nearly all previous minimum wage studies analyzed</w:t>
      </w:r>
      <w:r w:rsidR="003728ED">
        <w:rPr>
          <w:rFonts w:ascii="Times New Roman" w:hAnsi="Times New Roman" w:cs="Times New Roman"/>
          <w:sz w:val="24"/>
          <w:szCs w:val="24"/>
        </w:rPr>
        <w:t xml:space="preserve"> </w:t>
      </w:r>
      <w:r w:rsidRPr="00921D4A">
        <w:rPr>
          <w:rFonts w:ascii="Times New Roman" w:hAnsi="Times New Roman" w:cs="Times New Roman"/>
          <w:sz w:val="24"/>
          <w:szCs w:val="24"/>
        </w:rPr>
        <w:t>policies that increased minimum wages by a relatively small dollar amount</w:t>
      </w:r>
      <w:r w:rsidR="001C3878">
        <w:rPr>
          <w:rFonts w:ascii="Times New Roman" w:hAnsi="Times New Roman" w:cs="Times New Roman"/>
          <w:sz w:val="24"/>
          <w:szCs w:val="24"/>
        </w:rPr>
        <w:t>,</w:t>
      </w:r>
      <w:r w:rsidRPr="00921D4A">
        <w:rPr>
          <w:rFonts w:ascii="Times New Roman" w:hAnsi="Times New Roman" w:cs="Times New Roman"/>
          <w:sz w:val="24"/>
          <w:szCs w:val="24"/>
        </w:rPr>
        <w:t xml:space="preserve"> approximately $1</w:t>
      </w:r>
      <w:r w:rsidR="00AF266B">
        <w:rPr>
          <w:rFonts w:ascii="Times New Roman" w:hAnsi="Times New Roman" w:cs="Times New Roman"/>
          <w:sz w:val="24"/>
          <w:szCs w:val="24"/>
        </w:rPr>
        <w:t xml:space="preserve"> to</w:t>
      </w:r>
      <w:r w:rsidRPr="00921D4A">
        <w:rPr>
          <w:rFonts w:ascii="Times New Roman" w:hAnsi="Times New Roman" w:cs="Times New Roman"/>
          <w:sz w:val="24"/>
          <w:szCs w:val="24"/>
        </w:rPr>
        <w:t xml:space="preserve"> $2</w:t>
      </w:r>
      <w:r w:rsidR="001C3878">
        <w:rPr>
          <w:rFonts w:ascii="Times New Roman" w:hAnsi="Times New Roman" w:cs="Times New Roman"/>
          <w:sz w:val="24"/>
          <w:szCs w:val="24"/>
        </w:rPr>
        <w:t>. Th</w:t>
      </w:r>
      <w:r w:rsidR="00FE121F">
        <w:rPr>
          <w:rFonts w:ascii="Times New Roman" w:hAnsi="Times New Roman" w:cs="Times New Roman"/>
          <w:sz w:val="24"/>
          <w:szCs w:val="24"/>
        </w:rPr>
        <w:t>o</w:t>
      </w:r>
      <w:r w:rsidR="001C3878">
        <w:rPr>
          <w:rFonts w:ascii="Times New Roman" w:hAnsi="Times New Roman" w:cs="Times New Roman"/>
          <w:sz w:val="24"/>
          <w:szCs w:val="24"/>
        </w:rPr>
        <w:t xml:space="preserve">se studies also </w:t>
      </w:r>
      <w:r w:rsidRPr="00921D4A">
        <w:rPr>
          <w:rFonts w:ascii="Times New Roman" w:hAnsi="Times New Roman" w:cs="Times New Roman"/>
          <w:sz w:val="24"/>
          <w:szCs w:val="24"/>
        </w:rPr>
        <w:t xml:space="preserve">tended to </w:t>
      </w:r>
      <w:r w:rsidR="00967F8B">
        <w:rPr>
          <w:rFonts w:ascii="Times New Roman" w:hAnsi="Times New Roman" w:cs="Times New Roman"/>
          <w:sz w:val="24"/>
          <w:szCs w:val="24"/>
        </w:rPr>
        <w:t xml:space="preserve">conduct ex-poste evaluations on </w:t>
      </w:r>
      <w:r w:rsidRPr="00921D4A">
        <w:rPr>
          <w:rFonts w:ascii="Times New Roman" w:hAnsi="Times New Roman" w:cs="Times New Roman"/>
          <w:sz w:val="24"/>
          <w:szCs w:val="24"/>
        </w:rPr>
        <w:t xml:space="preserve">what </w:t>
      </w:r>
      <w:r w:rsidR="00967F8B">
        <w:rPr>
          <w:rFonts w:ascii="Times New Roman" w:hAnsi="Times New Roman" w:cs="Times New Roman"/>
          <w:sz w:val="24"/>
          <w:szCs w:val="24"/>
        </w:rPr>
        <w:t>occurred as a result of</w:t>
      </w:r>
      <w:r w:rsidR="00C07E53">
        <w:rPr>
          <w:rFonts w:ascii="Times New Roman" w:hAnsi="Times New Roman" w:cs="Times New Roman"/>
          <w:sz w:val="24"/>
          <w:szCs w:val="24"/>
        </w:rPr>
        <w:t xml:space="preserve"> minimum wage increases</w:t>
      </w:r>
      <w:r w:rsidRPr="00921D4A">
        <w:rPr>
          <w:rFonts w:ascii="Times New Roman" w:hAnsi="Times New Roman" w:cs="Times New Roman"/>
          <w:sz w:val="24"/>
          <w:szCs w:val="24"/>
        </w:rPr>
        <w:t xml:space="preserve">, </w:t>
      </w:r>
      <w:r w:rsidR="00967F8B">
        <w:rPr>
          <w:rFonts w:ascii="Times New Roman" w:hAnsi="Times New Roman" w:cs="Times New Roman"/>
          <w:sz w:val="24"/>
          <w:szCs w:val="24"/>
        </w:rPr>
        <w:t>versus</w:t>
      </w:r>
      <w:r w:rsidR="00967F8B" w:rsidRPr="00921D4A">
        <w:rPr>
          <w:rFonts w:ascii="Times New Roman" w:hAnsi="Times New Roman" w:cs="Times New Roman"/>
          <w:sz w:val="24"/>
          <w:szCs w:val="24"/>
        </w:rPr>
        <w:t xml:space="preserve"> </w:t>
      </w:r>
      <w:r w:rsidRPr="00921D4A">
        <w:rPr>
          <w:rFonts w:ascii="Times New Roman" w:hAnsi="Times New Roman" w:cs="Times New Roman"/>
          <w:sz w:val="24"/>
          <w:szCs w:val="24"/>
        </w:rPr>
        <w:t>what</w:t>
      </w:r>
      <w:r w:rsidRPr="007F3CAB">
        <w:rPr>
          <w:rFonts w:ascii="Times New Roman" w:hAnsi="Times New Roman" w:cs="Times New Roman"/>
          <w:i/>
          <w:sz w:val="24"/>
          <w:szCs w:val="24"/>
        </w:rPr>
        <w:t xml:space="preserve"> </w:t>
      </w:r>
      <w:r w:rsidR="00AF266B" w:rsidRPr="007F3CAB">
        <w:rPr>
          <w:rFonts w:ascii="Times New Roman" w:hAnsi="Times New Roman" w:cs="Times New Roman"/>
          <w:i/>
          <w:sz w:val="24"/>
          <w:szCs w:val="24"/>
        </w:rPr>
        <w:t>could</w:t>
      </w:r>
      <w:r w:rsidR="00AF266B" w:rsidRPr="00921D4A">
        <w:rPr>
          <w:rFonts w:ascii="Times New Roman" w:hAnsi="Times New Roman" w:cs="Times New Roman"/>
          <w:sz w:val="24"/>
          <w:szCs w:val="24"/>
        </w:rPr>
        <w:t xml:space="preserve"> </w:t>
      </w:r>
      <w:r w:rsidR="00AF266B">
        <w:rPr>
          <w:rFonts w:ascii="Times New Roman" w:hAnsi="Times New Roman" w:cs="Times New Roman"/>
          <w:sz w:val="24"/>
          <w:szCs w:val="24"/>
        </w:rPr>
        <w:t>occur</w:t>
      </w:r>
      <w:r w:rsidRPr="00921D4A">
        <w:rPr>
          <w:rFonts w:ascii="Times New Roman" w:hAnsi="Times New Roman" w:cs="Times New Roman"/>
          <w:sz w:val="24"/>
          <w:szCs w:val="24"/>
        </w:rPr>
        <w:t xml:space="preserve"> in the future</w:t>
      </w:r>
      <w:r w:rsidR="002755F4">
        <w:rPr>
          <w:rFonts w:ascii="Times New Roman" w:hAnsi="Times New Roman" w:cs="Times New Roman"/>
          <w:sz w:val="24"/>
          <w:szCs w:val="24"/>
        </w:rPr>
        <w:t>.</w:t>
      </w:r>
    </w:p>
    <w:p w14:paraId="1322092F" w14:textId="45276169" w:rsidR="000B58AF" w:rsidRPr="00921D4A" w:rsidRDefault="000B58AF" w:rsidP="00921D4A">
      <w:pPr>
        <w:spacing w:line="480" w:lineRule="auto"/>
        <w:ind w:firstLine="720"/>
        <w:rPr>
          <w:rFonts w:ascii="Times New Roman" w:hAnsi="Times New Roman" w:cs="Times New Roman"/>
          <w:sz w:val="24"/>
          <w:szCs w:val="24"/>
        </w:rPr>
      </w:pPr>
      <w:r w:rsidRPr="00921D4A">
        <w:rPr>
          <w:rFonts w:ascii="Times New Roman" w:hAnsi="Times New Roman" w:cs="Times New Roman"/>
          <w:sz w:val="24"/>
          <w:szCs w:val="24"/>
        </w:rPr>
        <w:t>Though</w:t>
      </w:r>
      <w:r w:rsidR="00C07E53">
        <w:rPr>
          <w:rFonts w:ascii="Times New Roman" w:hAnsi="Times New Roman" w:cs="Times New Roman"/>
          <w:sz w:val="24"/>
          <w:szCs w:val="24"/>
        </w:rPr>
        <w:t xml:space="preserve"> </w:t>
      </w:r>
      <w:r w:rsidRPr="00921D4A">
        <w:rPr>
          <w:rFonts w:ascii="Times New Roman" w:hAnsi="Times New Roman" w:cs="Times New Roman"/>
          <w:sz w:val="24"/>
          <w:szCs w:val="24"/>
        </w:rPr>
        <w:t xml:space="preserve">the District of Columbia was already increasing its minimum wage by $3.25 between years 2014 and 2016, administrative employment, wage, and tax data for the city was not </w:t>
      </w:r>
      <w:r w:rsidR="00FD051B">
        <w:rPr>
          <w:rFonts w:ascii="Times New Roman" w:hAnsi="Times New Roman" w:cs="Times New Roman"/>
          <w:sz w:val="24"/>
          <w:szCs w:val="24"/>
        </w:rPr>
        <w:t xml:space="preserve">yet </w:t>
      </w:r>
      <w:r w:rsidRPr="00921D4A">
        <w:rPr>
          <w:rFonts w:ascii="Times New Roman" w:hAnsi="Times New Roman" w:cs="Times New Roman"/>
          <w:sz w:val="24"/>
          <w:szCs w:val="24"/>
        </w:rPr>
        <w:t xml:space="preserve">available for analysis of the city’s </w:t>
      </w:r>
      <w:r w:rsidR="00C07E53">
        <w:rPr>
          <w:rFonts w:ascii="Times New Roman" w:hAnsi="Times New Roman" w:cs="Times New Roman"/>
          <w:sz w:val="24"/>
          <w:szCs w:val="24"/>
        </w:rPr>
        <w:t xml:space="preserve">existing </w:t>
      </w:r>
      <w:r w:rsidRPr="00921D4A">
        <w:rPr>
          <w:rFonts w:ascii="Times New Roman" w:hAnsi="Times New Roman" w:cs="Times New Roman"/>
          <w:sz w:val="24"/>
          <w:szCs w:val="24"/>
        </w:rPr>
        <w:t>$11.50 MWP</w:t>
      </w:r>
      <w:r w:rsidR="00866BB3">
        <w:rPr>
          <w:rFonts w:ascii="Times New Roman" w:hAnsi="Times New Roman" w:cs="Times New Roman"/>
          <w:sz w:val="24"/>
          <w:szCs w:val="24"/>
        </w:rPr>
        <w:t>, let alone an analysis of the impending $15 MWP</w:t>
      </w:r>
      <w:r w:rsidRPr="00921D4A">
        <w:rPr>
          <w:rFonts w:ascii="Times New Roman" w:hAnsi="Times New Roman" w:cs="Times New Roman"/>
          <w:sz w:val="24"/>
          <w:szCs w:val="24"/>
        </w:rPr>
        <w:t xml:space="preserve">.  </w:t>
      </w:r>
      <w:r w:rsidR="00967F8B">
        <w:rPr>
          <w:rFonts w:ascii="Times New Roman" w:hAnsi="Times New Roman" w:cs="Times New Roman"/>
          <w:sz w:val="24"/>
          <w:szCs w:val="24"/>
        </w:rPr>
        <w:t xml:space="preserve">Given </w:t>
      </w:r>
      <w:r w:rsidRPr="00921D4A">
        <w:rPr>
          <w:rFonts w:ascii="Times New Roman" w:hAnsi="Times New Roman" w:cs="Times New Roman"/>
          <w:sz w:val="24"/>
          <w:szCs w:val="24"/>
        </w:rPr>
        <w:t>th</w:t>
      </w:r>
      <w:r w:rsidR="00866BB3">
        <w:rPr>
          <w:rFonts w:ascii="Times New Roman" w:hAnsi="Times New Roman" w:cs="Times New Roman"/>
          <w:sz w:val="24"/>
          <w:szCs w:val="24"/>
        </w:rPr>
        <w:t>is</w:t>
      </w:r>
      <w:r w:rsidRPr="00921D4A">
        <w:rPr>
          <w:rFonts w:ascii="Times New Roman" w:hAnsi="Times New Roman" w:cs="Times New Roman"/>
          <w:sz w:val="24"/>
          <w:szCs w:val="24"/>
        </w:rPr>
        <w:t xml:space="preserve"> sizable change, </w:t>
      </w:r>
      <w:r w:rsidR="00967F8B">
        <w:rPr>
          <w:rFonts w:ascii="Times New Roman" w:hAnsi="Times New Roman" w:cs="Times New Roman"/>
          <w:sz w:val="24"/>
          <w:szCs w:val="24"/>
        </w:rPr>
        <w:t xml:space="preserve">as well as </w:t>
      </w:r>
      <w:r w:rsidRPr="00921D4A">
        <w:rPr>
          <w:rFonts w:ascii="Times New Roman" w:hAnsi="Times New Roman" w:cs="Times New Roman"/>
          <w:sz w:val="24"/>
          <w:szCs w:val="24"/>
        </w:rPr>
        <w:t>the 2020 implementation date</w:t>
      </w:r>
      <w:r w:rsidR="00866BB3">
        <w:rPr>
          <w:rFonts w:ascii="Times New Roman" w:hAnsi="Times New Roman" w:cs="Times New Roman"/>
          <w:sz w:val="24"/>
          <w:szCs w:val="24"/>
        </w:rPr>
        <w:t xml:space="preserve"> </w:t>
      </w:r>
      <w:r w:rsidRPr="00921D4A">
        <w:rPr>
          <w:rFonts w:ascii="Times New Roman" w:hAnsi="Times New Roman" w:cs="Times New Roman"/>
          <w:sz w:val="24"/>
          <w:szCs w:val="24"/>
        </w:rPr>
        <w:t xml:space="preserve">and the </w:t>
      </w:r>
      <w:r w:rsidR="00866BB3">
        <w:rPr>
          <w:rFonts w:ascii="Times New Roman" w:hAnsi="Times New Roman" w:cs="Times New Roman"/>
          <w:sz w:val="24"/>
          <w:szCs w:val="24"/>
        </w:rPr>
        <w:t>potential</w:t>
      </w:r>
      <w:r w:rsidR="00866BB3" w:rsidRPr="00921D4A">
        <w:rPr>
          <w:rFonts w:ascii="Times New Roman" w:hAnsi="Times New Roman" w:cs="Times New Roman"/>
          <w:sz w:val="24"/>
          <w:szCs w:val="24"/>
        </w:rPr>
        <w:t xml:space="preserve"> </w:t>
      </w:r>
      <w:r w:rsidRPr="00921D4A">
        <w:rPr>
          <w:rFonts w:ascii="Times New Roman" w:hAnsi="Times New Roman" w:cs="Times New Roman"/>
          <w:sz w:val="24"/>
          <w:szCs w:val="24"/>
        </w:rPr>
        <w:t>wide-rang</w:t>
      </w:r>
      <w:r w:rsidR="00866BB3">
        <w:rPr>
          <w:rFonts w:ascii="Times New Roman" w:hAnsi="Times New Roman" w:cs="Times New Roman"/>
          <w:sz w:val="24"/>
          <w:szCs w:val="24"/>
        </w:rPr>
        <w:t>e of</w:t>
      </w:r>
      <w:r w:rsidRPr="00921D4A">
        <w:rPr>
          <w:rFonts w:ascii="Times New Roman" w:hAnsi="Times New Roman" w:cs="Times New Roman"/>
          <w:sz w:val="24"/>
          <w:szCs w:val="24"/>
        </w:rPr>
        <w:t xml:space="preserve"> economic implications, </w:t>
      </w:r>
      <w:r w:rsidR="00967F8B">
        <w:rPr>
          <w:rFonts w:ascii="Times New Roman" w:hAnsi="Times New Roman" w:cs="Times New Roman"/>
          <w:sz w:val="24"/>
          <w:szCs w:val="24"/>
        </w:rPr>
        <w:t xml:space="preserve">we use </w:t>
      </w:r>
      <w:r w:rsidRPr="00921D4A">
        <w:rPr>
          <w:rFonts w:ascii="Times New Roman" w:hAnsi="Times New Roman" w:cs="Times New Roman"/>
          <w:sz w:val="24"/>
          <w:szCs w:val="24"/>
        </w:rPr>
        <w:t>a computable general equilibrium (CGE) model to estimat</w:t>
      </w:r>
      <w:r w:rsidR="00C07E53">
        <w:rPr>
          <w:rFonts w:ascii="Times New Roman" w:hAnsi="Times New Roman" w:cs="Times New Roman"/>
          <w:sz w:val="24"/>
          <w:szCs w:val="24"/>
        </w:rPr>
        <w:t>ing</w:t>
      </w:r>
      <w:r w:rsidRPr="00921D4A">
        <w:rPr>
          <w:rFonts w:ascii="Times New Roman" w:hAnsi="Times New Roman" w:cs="Times New Roman"/>
          <w:sz w:val="24"/>
          <w:szCs w:val="24"/>
        </w:rPr>
        <w:t xml:space="preserve"> the future short and long run </w:t>
      </w:r>
      <w:r w:rsidR="00967F8B">
        <w:rPr>
          <w:rFonts w:ascii="Times New Roman" w:hAnsi="Times New Roman" w:cs="Times New Roman"/>
          <w:sz w:val="24"/>
          <w:szCs w:val="24"/>
        </w:rPr>
        <w:t>responses</w:t>
      </w:r>
      <w:r w:rsidR="00967F8B" w:rsidRPr="00921D4A">
        <w:rPr>
          <w:rFonts w:ascii="Times New Roman" w:hAnsi="Times New Roman" w:cs="Times New Roman"/>
          <w:sz w:val="24"/>
          <w:szCs w:val="24"/>
        </w:rPr>
        <w:t xml:space="preserve"> </w:t>
      </w:r>
      <w:r w:rsidRPr="00921D4A">
        <w:rPr>
          <w:rFonts w:ascii="Times New Roman" w:hAnsi="Times New Roman" w:cs="Times New Roman"/>
          <w:sz w:val="24"/>
          <w:szCs w:val="24"/>
        </w:rPr>
        <w:t>of the $15 MWP.</w:t>
      </w:r>
    </w:p>
    <w:p w14:paraId="2EF7AB58" w14:textId="32DAE37D" w:rsidR="006E3C70" w:rsidRDefault="000B58AF" w:rsidP="00921D4A">
      <w:pPr>
        <w:spacing w:line="480" w:lineRule="auto"/>
        <w:ind w:firstLine="720"/>
        <w:rPr>
          <w:rFonts w:ascii="Times New Roman" w:hAnsi="Times New Roman" w:cs="Times New Roman"/>
          <w:sz w:val="24"/>
          <w:szCs w:val="24"/>
        </w:rPr>
      </w:pPr>
      <w:r w:rsidRPr="00921D4A">
        <w:rPr>
          <w:rFonts w:ascii="Times New Roman" w:hAnsi="Times New Roman" w:cs="Times New Roman"/>
          <w:sz w:val="24"/>
          <w:szCs w:val="24"/>
        </w:rPr>
        <w:lastRenderedPageBreak/>
        <w:t>CGE model</w:t>
      </w:r>
      <w:r w:rsidR="004A14A0">
        <w:rPr>
          <w:rFonts w:ascii="Times New Roman" w:hAnsi="Times New Roman" w:cs="Times New Roman"/>
          <w:sz w:val="24"/>
          <w:szCs w:val="24"/>
        </w:rPr>
        <w:t>s</w:t>
      </w:r>
      <w:r w:rsidR="00C07E53">
        <w:rPr>
          <w:rFonts w:ascii="Times New Roman" w:hAnsi="Times New Roman" w:cs="Times New Roman"/>
          <w:sz w:val="24"/>
          <w:szCs w:val="24"/>
        </w:rPr>
        <w:t xml:space="preserve"> </w:t>
      </w:r>
      <w:r w:rsidRPr="00921D4A">
        <w:rPr>
          <w:rFonts w:ascii="Times New Roman" w:hAnsi="Times New Roman" w:cs="Times New Roman"/>
          <w:sz w:val="24"/>
          <w:szCs w:val="24"/>
        </w:rPr>
        <w:t xml:space="preserve">reproduce the structure of </w:t>
      </w:r>
      <w:r w:rsidR="004A14A0">
        <w:rPr>
          <w:rFonts w:ascii="Times New Roman" w:hAnsi="Times New Roman" w:cs="Times New Roman"/>
          <w:sz w:val="24"/>
          <w:szCs w:val="24"/>
        </w:rPr>
        <w:t>an entire</w:t>
      </w:r>
      <w:r w:rsidRPr="00921D4A">
        <w:rPr>
          <w:rFonts w:ascii="Times New Roman" w:hAnsi="Times New Roman" w:cs="Times New Roman"/>
          <w:sz w:val="24"/>
          <w:szCs w:val="24"/>
        </w:rPr>
        <w:t xml:space="preserve"> economy via a system of mathematical equations. The </w:t>
      </w:r>
      <w:r w:rsidR="00F1644D">
        <w:rPr>
          <w:rFonts w:ascii="Times New Roman" w:hAnsi="Times New Roman" w:cs="Times New Roman"/>
          <w:sz w:val="24"/>
          <w:szCs w:val="24"/>
        </w:rPr>
        <w:t>objective</w:t>
      </w:r>
      <w:r w:rsidRPr="00921D4A">
        <w:rPr>
          <w:rFonts w:ascii="Times New Roman" w:hAnsi="Times New Roman" w:cs="Times New Roman"/>
          <w:sz w:val="24"/>
          <w:szCs w:val="24"/>
        </w:rPr>
        <w:t xml:space="preserve"> of the model</w:t>
      </w:r>
      <w:r w:rsidR="00F1644D">
        <w:rPr>
          <w:rFonts w:ascii="Times New Roman" w:hAnsi="Times New Roman" w:cs="Times New Roman"/>
          <w:sz w:val="24"/>
          <w:szCs w:val="24"/>
        </w:rPr>
        <w:t xml:space="preserve">’s construction </w:t>
      </w:r>
      <w:r w:rsidRPr="00921D4A">
        <w:rPr>
          <w:rFonts w:ascii="Times New Roman" w:hAnsi="Times New Roman" w:cs="Times New Roman"/>
          <w:sz w:val="24"/>
          <w:szCs w:val="24"/>
        </w:rPr>
        <w:t xml:space="preserve">is to </w:t>
      </w:r>
      <w:r w:rsidR="002A471D">
        <w:rPr>
          <w:rFonts w:ascii="Times New Roman" w:hAnsi="Times New Roman" w:cs="Times New Roman"/>
          <w:sz w:val="24"/>
          <w:szCs w:val="24"/>
        </w:rPr>
        <w:t xml:space="preserve">portray and </w:t>
      </w:r>
      <w:r w:rsidRPr="00921D4A">
        <w:rPr>
          <w:rFonts w:ascii="Times New Roman" w:hAnsi="Times New Roman" w:cs="Times New Roman"/>
          <w:sz w:val="24"/>
          <w:szCs w:val="24"/>
        </w:rPr>
        <w:t>characterize the nature of all existing economic</w:t>
      </w:r>
      <w:r w:rsidR="00C07E53">
        <w:rPr>
          <w:rFonts w:ascii="Times New Roman" w:hAnsi="Times New Roman" w:cs="Times New Roman"/>
          <w:sz w:val="24"/>
          <w:szCs w:val="24"/>
        </w:rPr>
        <w:t xml:space="preserve"> </w:t>
      </w:r>
      <w:r w:rsidRPr="00921D4A">
        <w:rPr>
          <w:rFonts w:ascii="Times New Roman" w:hAnsi="Times New Roman" w:cs="Times New Roman"/>
          <w:sz w:val="24"/>
          <w:szCs w:val="24"/>
        </w:rPr>
        <w:t>transactions and interrelationships in a realistic manner</w:t>
      </w:r>
      <w:r w:rsidR="006E3C70">
        <w:rPr>
          <w:rFonts w:ascii="Times New Roman" w:hAnsi="Times New Roman" w:cs="Times New Roman"/>
          <w:sz w:val="24"/>
          <w:szCs w:val="24"/>
        </w:rPr>
        <w:t>,</w:t>
      </w:r>
      <w:r w:rsidR="00C07E53">
        <w:rPr>
          <w:rFonts w:ascii="Times New Roman" w:hAnsi="Times New Roman" w:cs="Times New Roman"/>
          <w:sz w:val="24"/>
          <w:szCs w:val="24"/>
        </w:rPr>
        <w:t xml:space="preserve"> </w:t>
      </w:r>
      <w:r w:rsidRPr="00921D4A">
        <w:rPr>
          <w:rFonts w:ascii="Times New Roman" w:hAnsi="Times New Roman" w:cs="Times New Roman"/>
          <w:sz w:val="24"/>
          <w:szCs w:val="24"/>
        </w:rPr>
        <w:t xml:space="preserve">using </w:t>
      </w:r>
      <w:r w:rsidR="00C07E53">
        <w:rPr>
          <w:rFonts w:ascii="Times New Roman" w:hAnsi="Times New Roman" w:cs="Times New Roman"/>
          <w:sz w:val="24"/>
          <w:szCs w:val="24"/>
        </w:rPr>
        <w:t xml:space="preserve">detailed </w:t>
      </w:r>
      <w:r w:rsidRPr="00921D4A">
        <w:rPr>
          <w:rFonts w:ascii="Times New Roman" w:hAnsi="Times New Roman" w:cs="Times New Roman"/>
          <w:sz w:val="24"/>
          <w:szCs w:val="24"/>
        </w:rPr>
        <w:t xml:space="preserve">economic data. All the </w:t>
      </w:r>
      <w:r w:rsidR="00C07E53">
        <w:rPr>
          <w:rFonts w:ascii="Times New Roman" w:hAnsi="Times New Roman" w:cs="Times New Roman"/>
          <w:sz w:val="24"/>
          <w:szCs w:val="24"/>
        </w:rPr>
        <w:t xml:space="preserve">model </w:t>
      </w:r>
      <w:r w:rsidRPr="00921D4A">
        <w:rPr>
          <w:rFonts w:ascii="Times New Roman" w:hAnsi="Times New Roman" w:cs="Times New Roman"/>
          <w:sz w:val="24"/>
          <w:szCs w:val="24"/>
        </w:rPr>
        <w:t xml:space="preserve">equations are derived directly from economic theory and are solved simultaneously to find economy-wide </w:t>
      </w:r>
      <w:r w:rsidR="006E3C70" w:rsidRPr="00921D4A">
        <w:rPr>
          <w:rFonts w:ascii="Times New Roman" w:hAnsi="Times New Roman" w:cs="Times New Roman"/>
          <w:sz w:val="24"/>
          <w:szCs w:val="24"/>
        </w:rPr>
        <w:t>equilibri</w:t>
      </w:r>
      <w:r w:rsidR="006E3C70">
        <w:rPr>
          <w:rFonts w:ascii="Times New Roman" w:hAnsi="Times New Roman" w:cs="Times New Roman"/>
          <w:sz w:val="24"/>
          <w:szCs w:val="24"/>
        </w:rPr>
        <w:t>a</w:t>
      </w:r>
      <w:r w:rsidR="006E3C70" w:rsidRPr="00921D4A">
        <w:rPr>
          <w:rFonts w:ascii="Times New Roman" w:hAnsi="Times New Roman" w:cs="Times New Roman"/>
          <w:sz w:val="24"/>
          <w:szCs w:val="24"/>
        </w:rPr>
        <w:t xml:space="preserve"> </w:t>
      </w:r>
      <w:r w:rsidRPr="00921D4A">
        <w:rPr>
          <w:rFonts w:ascii="Times New Roman" w:hAnsi="Times New Roman" w:cs="Times New Roman"/>
          <w:sz w:val="24"/>
          <w:szCs w:val="24"/>
        </w:rPr>
        <w:t xml:space="preserve">in which, </w:t>
      </w:r>
      <w:r w:rsidR="002A471D">
        <w:rPr>
          <w:rFonts w:ascii="Times New Roman" w:hAnsi="Times New Roman" w:cs="Times New Roman"/>
          <w:sz w:val="24"/>
          <w:szCs w:val="24"/>
        </w:rPr>
        <w:t>for</w:t>
      </w:r>
      <w:r w:rsidRPr="00921D4A">
        <w:rPr>
          <w:rFonts w:ascii="Times New Roman" w:hAnsi="Times New Roman" w:cs="Times New Roman"/>
          <w:sz w:val="24"/>
          <w:szCs w:val="24"/>
        </w:rPr>
        <w:t xml:space="preserve"> some set o</w:t>
      </w:r>
      <w:r w:rsidR="002A471D">
        <w:rPr>
          <w:rFonts w:ascii="Times New Roman" w:hAnsi="Times New Roman" w:cs="Times New Roman"/>
          <w:sz w:val="24"/>
          <w:szCs w:val="24"/>
        </w:rPr>
        <w:t>f</w:t>
      </w:r>
      <w:r w:rsidRPr="00921D4A">
        <w:rPr>
          <w:rFonts w:ascii="Times New Roman" w:hAnsi="Times New Roman" w:cs="Times New Roman"/>
          <w:sz w:val="24"/>
          <w:szCs w:val="24"/>
        </w:rPr>
        <w:t xml:space="preserve"> prices, the quantities of supply and demand are equal in every market. The underlying economic data </w:t>
      </w:r>
      <w:r w:rsidR="00B53611">
        <w:rPr>
          <w:rFonts w:ascii="Times New Roman" w:hAnsi="Times New Roman" w:cs="Times New Roman"/>
          <w:sz w:val="24"/>
          <w:szCs w:val="24"/>
        </w:rPr>
        <w:t>details</w:t>
      </w:r>
      <w:r w:rsidRPr="00921D4A">
        <w:rPr>
          <w:rFonts w:ascii="Times New Roman" w:hAnsi="Times New Roman" w:cs="Times New Roman"/>
          <w:sz w:val="24"/>
          <w:szCs w:val="24"/>
        </w:rPr>
        <w:t xml:space="preserve"> the entire circular flow of income and spending in the economy during the last full year in which data is available. The data</w:t>
      </w:r>
      <w:r w:rsidR="00FA686D">
        <w:rPr>
          <w:rFonts w:ascii="Times New Roman" w:hAnsi="Times New Roman" w:cs="Times New Roman"/>
          <w:sz w:val="24"/>
          <w:szCs w:val="24"/>
        </w:rPr>
        <w:t>, described in greater detail below,</w:t>
      </w:r>
      <w:r w:rsidRPr="00921D4A">
        <w:rPr>
          <w:rFonts w:ascii="Times New Roman" w:hAnsi="Times New Roman" w:cs="Times New Roman"/>
          <w:sz w:val="24"/>
          <w:szCs w:val="24"/>
        </w:rPr>
        <w:t xml:space="preserve"> provides values of all </w:t>
      </w:r>
      <w:r w:rsidR="005E205C">
        <w:rPr>
          <w:rFonts w:ascii="Times New Roman" w:hAnsi="Times New Roman" w:cs="Times New Roman"/>
          <w:sz w:val="24"/>
          <w:szCs w:val="24"/>
        </w:rPr>
        <w:t>exogenous</w:t>
      </w:r>
      <w:r w:rsidRPr="00921D4A">
        <w:rPr>
          <w:rFonts w:ascii="Times New Roman" w:hAnsi="Times New Roman" w:cs="Times New Roman"/>
          <w:sz w:val="24"/>
          <w:szCs w:val="24"/>
        </w:rPr>
        <w:t xml:space="preserve"> variables, parameters and the initial equilibrium values of all endogenous variables.  The model also relies on elasticity parameters which describe the producer and consumer responses to changes in prices and income (</w:t>
      </w:r>
      <w:proofErr w:type="spellStart"/>
      <w:r w:rsidRPr="00921D4A">
        <w:rPr>
          <w:rFonts w:ascii="Times New Roman" w:hAnsi="Times New Roman" w:cs="Times New Roman"/>
          <w:sz w:val="24"/>
          <w:szCs w:val="24"/>
        </w:rPr>
        <w:t>Burfisher</w:t>
      </w:r>
      <w:proofErr w:type="spellEnd"/>
      <w:r w:rsidRPr="00921D4A">
        <w:rPr>
          <w:rFonts w:ascii="Times New Roman" w:hAnsi="Times New Roman" w:cs="Times New Roman"/>
          <w:sz w:val="24"/>
          <w:szCs w:val="24"/>
        </w:rPr>
        <w:t xml:space="preserve">, 2016). </w:t>
      </w:r>
    </w:p>
    <w:p w14:paraId="1BC70D25" w14:textId="44F4AD25" w:rsidR="000B58AF" w:rsidRPr="00921D4A" w:rsidRDefault="000B58AF" w:rsidP="00921D4A">
      <w:pPr>
        <w:spacing w:line="480" w:lineRule="auto"/>
        <w:ind w:firstLine="720"/>
        <w:rPr>
          <w:rFonts w:ascii="Times New Roman" w:hAnsi="Times New Roman" w:cs="Times New Roman"/>
          <w:sz w:val="24"/>
          <w:szCs w:val="24"/>
        </w:rPr>
      </w:pPr>
      <w:r w:rsidRPr="00921D4A">
        <w:rPr>
          <w:rFonts w:ascii="Times New Roman" w:hAnsi="Times New Roman" w:cs="Times New Roman"/>
          <w:sz w:val="24"/>
          <w:szCs w:val="24"/>
        </w:rPr>
        <w:t xml:space="preserve">CGE models are most useful when the </w:t>
      </w:r>
      <w:r w:rsidR="00F1644D">
        <w:rPr>
          <w:rFonts w:ascii="Times New Roman" w:hAnsi="Times New Roman" w:cs="Times New Roman"/>
          <w:sz w:val="24"/>
          <w:szCs w:val="24"/>
        </w:rPr>
        <w:t>goal</w:t>
      </w:r>
      <w:r w:rsidR="00F1644D" w:rsidRPr="00921D4A">
        <w:rPr>
          <w:rFonts w:ascii="Times New Roman" w:hAnsi="Times New Roman" w:cs="Times New Roman"/>
          <w:sz w:val="24"/>
          <w:szCs w:val="24"/>
        </w:rPr>
        <w:t xml:space="preserve"> </w:t>
      </w:r>
      <w:r w:rsidRPr="00921D4A">
        <w:rPr>
          <w:rFonts w:ascii="Times New Roman" w:hAnsi="Times New Roman" w:cs="Times New Roman"/>
          <w:sz w:val="24"/>
          <w:szCs w:val="24"/>
        </w:rPr>
        <w:t xml:space="preserve">is to systematically analyze the numerous </w:t>
      </w:r>
      <w:r w:rsidR="002A471D">
        <w:rPr>
          <w:rFonts w:ascii="Times New Roman" w:hAnsi="Times New Roman" w:cs="Times New Roman"/>
          <w:sz w:val="24"/>
          <w:szCs w:val="24"/>
        </w:rPr>
        <w:t xml:space="preserve">economic </w:t>
      </w:r>
      <w:r w:rsidRPr="00921D4A">
        <w:rPr>
          <w:rFonts w:ascii="Times New Roman" w:hAnsi="Times New Roman" w:cs="Times New Roman"/>
          <w:sz w:val="24"/>
          <w:szCs w:val="24"/>
        </w:rPr>
        <w:t xml:space="preserve">effects of </w:t>
      </w:r>
      <w:r w:rsidR="00A16855">
        <w:rPr>
          <w:rFonts w:ascii="Times New Roman" w:hAnsi="Times New Roman" w:cs="Times New Roman"/>
          <w:sz w:val="24"/>
          <w:szCs w:val="24"/>
        </w:rPr>
        <w:t>substantive</w:t>
      </w:r>
      <w:r w:rsidR="00A16855" w:rsidRPr="00921D4A">
        <w:rPr>
          <w:rFonts w:ascii="Times New Roman" w:hAnsi="Times New Roman" w:cs="Times New Roman"/>
          <w:sz w:val="24"/>
          <w:szCs w:val="24"/>
        </w:rPr>
        <w:t xml:space="preserve"> </w:t>
      </w:r>
      <w:r w:rsidRPr="00921D4A">
        <w:rPr>
          <w:rFonts w:ascii="Times New Roman" w:hAnsi="Times New Roman" w:cs="Times New Roman"/>
          <w:sz w:val="24"/>
          <w:szCs w:val="24"/>
        </w:rPr>
        <w:t xml:space="preserve">policy changes or economic shocks in a theoretically consistent way. </w:t>
      </w:r>
      <w:r w:rsidR="006E3C70">
        <w:rPr>
          <w:rFonts w:ascii="Times New Roman" w:hAnsi="Times New Roman" w:cs="Times New Roman"/>
          <w:sz w:val="24"/>
          <w:szCs w:val="24"/>
        </w:rPr>
        <w:t>This is especially true</w:t>
      </w:r>
      <w:r w:rsidR="006E3C70" w:rsidRPr="00921D4A">
        <w:rPr>
          <w:rFonts w:ascii="Times New Roman" w:hAnsi="Times New Roman" w:cs="Times New Roman"/>
          <w:sz w:val="24"/>
          <w:szCs w:val="24"/>
        </w:rPr>
        <w:t xml:space="preserve"> </w:t>
      </w:r>
      <w:r w:rsidRPr="00921D4A">
        <w:rPr>
          <w:rFonts w:ascii="Times New Roman" w:hAnsi="Times New Roman" w:cs="Times New Roman"/>
          <w:sz w:val="24"/>
          <w:szCs w:val="24"/>
        </w:rPr>
        <w:t xml:space="preserve">when policy changes are </w:t>
      </w:r>
      <w:r w:rsidR="004A14A0">
        <w:rPr>
          <w:rFonts w:ascii="Times New Roman" w:hAnsi="Times New Roman" w:cs="Times New Roman"/>
          <w:sz w:val="24"/>
          <w:szCs w:val="24"/>
        </w:rPr>
        <w:t xml:space="preserve">large, </w:t>
      </w:r>
      <w:r w:rsidRPr="00921D4A">
        <w:rPr>
          <w:rFonts w:ascii="Times New Roman" w:hAnsi="Times New Roman" w:cs="Times New Roman"/>
          <w:sz w:val="24"/>
          <w:szCs w:val="24"/>
        </w:rPr>
        <w:t>complex, materializ</w:t>
      </w:r>
      <w:r w:rsidR="006E3C70">
        <w:rPr>
          <w:rFonts w:ascii="Times New Roman" w:hAnsi="Times New Roman" w:cs="Times New Roman"/>
          <w:sz w:val="24"/>
          <w:szCs w:val="24"/>
        </w:rPr>
        <w:t>ing</w:t>
      </w:r>
      <w:r w:rsidRPr="00921D4A">
        <w:rPr>
          <w:rFonts w:ascii="Times New Roman" w:hAnsi="Times New Roman" w:cs="Times New Roman"/>
          <w:sz w:val="24"/>
          <w:szCs w:val="24"/>
        </w:rPr>
        <w:t xml:space="preserve"> through different transmission channels, and </w:t>
      </w:r>
      <w:r w:rsidR="002A471D">
        <w:rPr>
          <w:rFonts w:ascii="Times New Roman" w:hAnsi="Times New Roman" w:cs="Times New Roman"/>
          <w:sz w:val="24"/>
          <w:szCs w:val="24"/>
        </w:rPr>
        <w:t xml:space="preserve">are expected to </w:t>
      </w:r>
      <w:r w:rsidR="006E3C70">
        <w:rPr>
          <w:rFonts w:ascii="Times New Roman" w:hAnsi="Times New Roman" w:cs="Times New Roman"/>
          <w:sz w:val="24"/>
          <w:szCs w:val="24"/>
        </w:rPr>
        <w:t>be implemented</w:t>
      </w:r>
      <w:r w:rsidR="006E3C70" w:rsidRPr="00921D4A">
        <w:rPr>
          <w:rFonts w:ascii="Times New Roman" w:hAnsi="Times New Roman" w:cs="Times New Roman"/>
          <w:sz w:val="24"/>
          <w:szCs w:val="24"/>
        </w:rPr>
        <w:t xml:space="preserve"> </w:t>
      </w:r>
      <w:r w:rsidRPr="00921D4A">
        <w:rPr>
          <w:rFonts w:ascii="Times New Roman" w:hAnsi="Times New Roman" w:cs="Times New Roman"/>
          <w:sz w:val="24"/>
          <w:szCs w:val="24"/>
        </w:rPr>
        <w:t xml:space="preserve">gradually over time. </w:t>
      </w:r>
      <w:r w:rsidR="00AB0E4E">
        <w:rPr>
          <w:rFonts w:ascii="Times New Roman" w:hAnsi="Times New Roman" w:cs="Times New Roman"/>
          <w:sz w:val="24"/>
          <w:szCs w:val="24"/>
        </w:rPr>
        <w:t xml:space="preserve">The </w:t>
      </w:r>
      <w:r w:rsidR="00AB0E4E" w:rsidRPr="005E205C">
        <w:rPr>
          <w:rFonts w:ascii="Times New Roman" w:hAnsi="Times New Roman" w:cs="Times New Roman"/>
          <w:sz w:val="24"/>
          <w:szCs w:val="24"/>
        </w:rPr>
        <w:t xml:space="preserve">models are </w:t>
      </w:r>
      <w:r w:rsidR="00AB0E4E">
        <w:rPr>
          <w:rFonts w:ascii="Times New Roman" w:hAnsi="Times New Roman" w:cs="Times New Roman"/>
          <w:sz w:val="24"/>
          <w:szCs w:val="24"/>
        </w:rPr>
        <w:t xml:space="preserve">far from ideal </w:t>
      </w:r>
      <w:r w:rsidR="00AB0E4E" w:rsidRPr="005E205C">
        <w:rPr>
          <w:rFonts w:ascii="Times New Roman" w:hAnsi="Times New Roman" w:cs="Times New Roman"/>
          <w:sz w:val="24"/>
          <w:szCs w:val="24"/>
        </w:rPr>
        <w:t xml:space="preserve">for forecasting specific point estimates </w:t>
      </w:r>
      <w:r w:rsidR="006E3C70">
        <w:rPr>
          <w:rFonts w:ascii="Times New Roman" w:hAnsi="Times New Roman" w:cs="Times New Roman"/>
          <w:sz w:val="24"/>
          <w:szCs w:val="24"/>
        </w:rPr>
        <w:t>over</w:t>
      </w:r>
      <w:r w:rsidR="006E3C70" w:rsidRPr="005E205C">
        <w:rPr>
          <w:rFonts w:ascii="Times New Roman" w:hAnsi="Times New Roman" w:cs="Times New Roman"/>
          <w:sz w:val="24"/>
          <w:szCs w:val="24"/>
        </w:rPr>
        <w:t xml:space="preserve"> </w:t>
      </w:r>
      <w:r w:rsidR="00AB0E4E">
        <w:rPr>
          <w:rFonts w:ascii="Times New Roman" w:hAnsi="Times New Roman" w:cs="Times New Roman"/>
          <w:sz w:val="24"/>
          <w:szCs w:val="24"/>
        </w:rPr>
        <w:t xml:space="preserve">one or two </w:t>
      </w:r>
      <w:r w:rsidR="00AB0E4E" w:rsidRPr="005E205C">
        <w:rPr>
          <w:rFonts w:ascii="Times New Roman" w:hAnsi="Times New Roman" w:cs="Times New Roman"/>
          <w:sz w:val="24"/>
          <w:szCs w:val="24"/>
        </w:rPr>
        <w:t>select economic variables</w:t>
      </w:r>
      <w:r w:rsidR="00AB0E4E">
        <w:rPr>
          <w:rFonts w:ascii="Times New Roman" w:hAnsi="Times New Roman" w:cs="Times New Roman"/>
          <w:sz w:val="24"/>
          <w:szCs w:val="24"/>
        </w:rPr>
        <w:t xml:space="preserve">. </w:t>
      </w:r>
      <w:r w:rsidR="00FD051B">
        <w:rPr>
          <w:rFonts w:ascii="Times New Roman" w:hAnsi="Times New Roman" w:cs="Times New Roman"/>
          <w:sz w:val="24"/>
          <w:szCs w:val="24"/>
        </w:rPr>
        <w:t>Rather</w:t>
      </w:r>
      <w:r w:rsidR="00AB0E4E">
        <w:rPr>
          <w:rFonts w:ascii="Times New Roman" w:hAnsi="Times New Roman" w:cs="Times New Roman"/>
          <w:sz w:val="24"/>
          <w:szCs w:val="24"/>
        </w:rPr>
        <w:t>, a</w:t>
      </w:r>
      <w:r w:rsidR="00B53611">
        <w:rPr>
          <w:rFonts w:ascii="Times New Roman" w:hAnsi="Times New Roman" w:cs="Times New Roman"/>
          <w:sz w:val="24"/>
          <w:szCs w:val="24"/>
        </w:rPr>
        <w:t xml:space="preserve"> CGE model allows for the </w:t>
      </w:r>
      <w:r w:rsidR="00DB5F19" w:rsidRPr="00257A0F">
        <w:rPr>
          <w:rFonts w:ascii="Times New Roman" w:hAnsi="Times New Roman" w:cs="Times New Roman"/>
          <w:sz w:val="24"/>
          <w:szCs w:val="24"/>
        </w:rPr>
        <w:t>examin</w:t>
      </w:r>
      <w:r w:rsidR="00B53611">
        <w:rPr>
          <w:rFonts w:ascii="Times New Roman" w:hAnsi="Times New Roman" w:cs="Times New Roman"/>
          <w:sz w:val="24"/>
          <w:szCs w:val="24"/>
        </w:rPr>
        <w:t>ation of</w:t>
      </w:r>
      <w:r w:rsidR="00DB5F19" w:rsidRPr="00257A0F">
        <w:rPr>
          <w:rFonts w:ascii="Times New Roman" w:hAnsi="Times New Roman" w:cs="Times New Roman"/>
          <w:sz w:val="24"/>
          <w:szCs w:val="24"/>
        </w:rPr>
        <w:t xml:space="preserve"> specific effect</w:t>
      </w:r>
      <w:r w:rsidR="00DB5F19">
        <w:rPr>
          <w:rFonts w:ascii="Times New Roman" w:hAnsi="Times New Roman" w:cs="Times New Roman"/>
          <w:sz w:val="24"/>
          <w:szCs w:val="24"/>
        </w:rPr>
        <w:t>s</w:t>
      </w:r>
      <w:r w:rsidR="00DB5F19" w:rsidRPr="00257A0F">
        <w:rPr>
          <w:rFonts w:ascii="Times New Roman" w:hAnsi="Times New Roman" w:cs="Times New Roman"/>
          <w:sz w:val="24"/>
          <w:szCs w:val="24"/>
        </w:rPr>
        <w:t xml:space="preserve"> </w:t>
      </w:r>
      <w:r w:rsidR="00B53611">
        <w:rPr>
          <w:rFonts w:ascii="Times New Roman" w:hAnsi="Times New Roman" w:cs="Times New Roman"/>
          <w:sz w:val="24"/>
          <w:szCs w:val="24"/>
        </w:rPr>
        <w:t xml:space="preserve">of interest </w:t>
      </w:r>
      <w:r w:rsidR="00DB5F19" w:rsidRPr="00257A0F">
        <w:rPr>
          <w:rFonts w:ascii="Times New Roman" w:hAnsi="Times New Roman" w:cs="Times New Roman"/>
          <w:sz w:val="24"/>
          <w:szCs w:val="24"/>
        </w:rPr>
        <w:t>in the context of a</w:t>
      </w:r>
      <w:r w:rsidR="005C39DC">
        <w:rPr>
          <w:rFonts w:ascii="Times New Roman" w:hAnsi="Times New Roman" w:cs="Times New Roman"/>
          <w:sz w:val="24"/>
          <w:szCs w:val="24"/>
        </w:rPr>
        <w:t>n array of</w:t>
      </w:r>
      <w:r w:rsidR="00DB5F19" w:rsidRPr="00257A0F">
        <w:rPr>
          <w:rFonts w:ascii="Times New Roman" w:hAnsi="Times New Roman" w:cs="Times New Roman"/>
          <w:sz w:val="24"/>
          <w:szCs w:val="24"/>
        </w:rPr>
        <w:t xml:space="preserve"> other estimated effects.</w:t>
      </w:r>
      <w:r w:rsidR="00DB5F19">
        <w:rPr>
          <w:rFonts w:ascii="Times New Roman" w:hAnsi="Times New Roman" w:cs="Times New Roman"/>
          <w:sz w:val="24"/>
          <w:szCs w:val="24"/>
        </w:rPr>
        <w:t xml:space="preserve"> </w:t>
      </w:r>
      <w:r w:rsidRPr="00921D4A">
        <w:rPr>
          <w:rFonts w:ascii="Times New Roman" w:hAnsi="Times New Roman" w:cs="Times New Roman"/>
          <w:sz w:val="24"/>
          <w:szCs w:val="24"/>
        </w:rPr>
        <w:t>Additionally, these models</w:t>
      </w:r>
      <w:r w:rsidR="00DB5F19">
        <w:rPr>
          <w:rFonts w:ascii="Times New Roman" w:hAnsi="Times New Roman" w:cs="Times New Roman"/>
          <w:sz w:val="24"/>
          <w:szCs w:val="24"/>
        </w:rPr>
        <w:t xml:space="preserve"> have the ability</w:t>
      </w:r>
      <w:r w:rsidRPr="00921D4A">
        <w:rPr>
          <w:rFonts w:ascii="Times New Roman" w:hAnsi="Times New Roman" w:cs="Times New Roman"/>
          <w:sz w:val="24"/>
          <w:szCs w:val="24"/>
        </w:rPr>
        <w:t xml:space="preserve"> </w:t>
      </w:r>
      <w:r w:rsidR="00DB5F19">
        <w:rPr>
          <w:rFonts w:ascii="Times New Roman" w:hAnsi="Times New Roman" w:cs="Times New Roman"/>
          <w:sz w:val="24"/>
          <w:szCs w:val="24"/>
        </w:rPr>
        <w:t xml:space="preserve">to </w:t>
      </w:r>
      <w:r w:rsidR="006E3C70">
        <w:rPr>
          <w:rFonts w:ascii="Times New Roman" w:hAnsi="Times New Roman" w:cs="Times New Roman"/>
          <w:sz w:val="24"/>
          <w:szCs w:val="24"/>
        </w:rPr>
        <w:t xml:space="preserve">relatively </w:t>
      </w:r>
      <w:r w:rsidR="00E30948">
        <w:rPr>
          <w:rFonts w:ascii="Times New Roman" w:hAnsi="Times New Roman" w:cs="Times New Roman"/>
          <w:sz w:val="24"/>
          <w:szCs w:val="24"/>
        </w:rPr>
        <w:t xml:space="preserve">precisely </w:t>
      </w:r>
      <w:r w:rsidR="00E30948" w:rsidRPr="00257A0F">
        <w:rPr>
          <w:rFonts w:ascii="Times New Roman" w:hAnsi="Times New Roman" w:cs="Times New Roman"/>
          <w:sz w:val="24"/>
          <w:szCs w:val="24"/>
        </w:rPr>
        <w:t>identif</w:t>
      </w:r>
      <w:r w:rsidR="00E30948">
        <w:rPr>
          <w:rFonts w:ascii="Times New Roman" w:hAnsi="Times New Roman" w:cs="Times New Roman"/>
          <w:sz w:val="24"/>
          <w:szCs w:val="24"/>
        </w:rPr>
        <w:t xml:space="preserve">y the </w:t>
      </w:r>
      <w:r w:rsidR="006E3C70">
        <w:rPr>
          <w:rFonts w:ascii="Times New Roman" w:hAnsi="Times New Roman" w:cs="Times New Roman"/>
          <w:sz w:val="24"/>
          <w:szCs w:val="24"/>
        </w:rPr>
        <w:t>winners</w:t>
      </w:r>
      <w:r w:rsidR="006E3C70" w:rsidRPr="00257A0F">
        <w:rPr>
          <w:rFonts w:ascii="Times New Roman" w:hAnsi="Times New Roman" w:cs="Times New Roman"/>
          <w:sz w:val="24"/>
          <w:szCs w:val="24"/>
        </w:rPr>
        <w:t xml:space="preserve"> </w:t>
      </w:r>
      <w:r w:rsidR="00E30948" w:rsidRPr="00257A0F">
        <w:rPr>
          <w:rFonts w:ascii="Times New Roman" w:hAnsi="Times New Roman" w:cs="Times New Roman"/>
          <w:sz w:val="24"/>
          <w:szCs w:val="24"/>
        </w:rPr>
        <w:t xml:space="preserve">and losers </w:t>
      </w:r>
      <w:r w:rsidR="00E30948">
        <w:rPr>
          <w:rFonts w:ascii="Times New Roman" w:hAnsi="Times New Roman" w:cs="Times New Roman"/>
          <w:sz w:val="24"/>
          <w:szCs w:val="24"/>
        </w:rPr>
        <w:t>of</w:t>
      </w:r>
      <w:r w:rsidR="00E30948" w:rsidRPr="00257A0F">
        <w:rPr>
          <w:rFonts w:ascii="Times New Roman" w:hAnsi="Times New Roman" w:cs="Times New Roman"/>
          <w:sz w:val="24"/>
          <w:szCs w:val="24"/>
        </w:rPr>
        <w:t xml:space="preserve"> a policy change or economic shock</w:t>
      </w:r>
      <w:r w:rsidRPr="00921D4A">
        <w:rPr>
          <w:rFonts w:ascii="Times New Roman" w:hAnsi="Times New Roman" w:cs="Times New Roman"/>
          <w:sz w:val="24"/>
          <w:szCs w:val="24"/>
        </w:rPr>
        <w:t>.</w:t>
      </w:r>
      <w:r w:rsidR="004A14A0">
        <w:rPr>
          <w:rFonts w:ascii="Times New Roman" w:hAnsi="Times New Roman" w:cs="Times New Roman"/>
          <w:sz w:val="24"/>
          <w:szCs w:val="24"/>
        </w:rPr>
        <w:t xml:space="preserve"> </w:t>
      </w:r>
    </w:p>
    <w:p w14:paraId="3E4FF957" w14:textId="3078245C" w:rsidR="000B58AF" w:rsidRDefault="002A471D" w:rsidP="00921D4A">
      <w:pPr>
        <w:spacing w:line="480" w:lineRule="auto"/>
        <w:ind w:firstLine="720"/>
        <w:rPr>
          <w:rFonts w:ascii="Times New Roman" w:hAnsi="Times New Roman" w:cs="Times New Roman"/>
          <w:sz w:val="24"/>
          <w:szCs w:val="24"/>
        </w:rPr>
      </w:pPr>
      <w:r>
        <w:rPr>
          <w:rFonts w:ascii="Times New Roman" w:hAnsi="Times New Roman" w:cs="Times New Roman"/>
          <w:sz w:val="24"/>
          <w:szCs w:val="24"/>
        </w:rPr>
        <w:t>Some CGE models</w:t>
      </w:r>
      <w:r w:rsidR="0043263F">
        <w:rPr>
          <w:rFonts w:ascii="Times New Roman" w:hAnsi="Times New Roman" w:cs="Times New Roman"/>
          <w:sz w:val="24"/>
          <w:szCs w:val="24"/>
        </w:rPr>
        <w:t xml:space="preserve"> </w:t>
      </w:r>
      <w:r w:rsidR="00AE1FAB">
        <w:rPr>
          <w:rFonts w:ascii="Times New Roman" w:hAnsi="Times New Roman" w:cs="Times New Roman"/>
          <w:sz w:val="24"/>
          <w:szCs w:val="24"/>
        </w:rPr>
        <w:t xml:space="preserve">solve </w:t>
      </w:r>
      <w:r w:rsidR="00AE1FAB" w:rsidRPr="0043263F">
        <w:rPr>
          <w:rFonts w:ascii="Times New Roman" w:hAnsi="Times New Roman" w:cs="Times New Roman"/>
          <w:sz w:val="24"/>
          <w:szCs w:val="24"/>
        </w:rPr>
        <w:t xml:space="preserve">for one </w:t>
      </w:r>
      <w:r w:rsidR="005C39DC" w:rsidRPr="0043263F">
        <w:rPr>
          <w:rFonts w:ascii="Times New Roman" w:hAnsi="Times New Roman" w:cs="Times New Roman"/>
          <w:sz w:val="24"/>
          <w:szCs w:val="24"/>
        </w:rPr>
        <w:t xml:space="preserve">time </w:t>
      </w:r>
      <w:r w:rsidR="00AE1FAB" w:rsidRPr="0043263F">
        <w:rPr>
          <w:rFonts w:ascii="Times New Roman" w:hAnsi="Times New Roman" w:cs="Times New Roman"/>
          <w:sz w:val="24"/>
          <w:szCs w:val="24"/>
        </w:rPr>
        <w:t>period and</w:t>
      </w:r>
      <w:r w:rsidR="00AE1FAB">
        <w:rPr>
          <w:rFonts w:ascii="Times New Roman" w:hAnsi="Times New Roman" w:cs="Times New Roman"/>
          <w:sz w:val="24"/>
          <w:szCs w:val="24"/>
        </w:rPr>
        <w:t xml:space="preserve"> assume behavior depends only on the present</w:t>
      </w:r>
      <w:r w:rsidR="00E30948">
        <w:rPr>
          <w:rFonts w:ascii="Times New Roman" w:hAnsi="Times New Roman" w:cs="Times New Roman"/>
          <w:sz w:val="24"/>
          <w:szCs w:val="24"/>
        </w:rPr>
        <w:t xml:space="preserve"> </w:t>
      </w:r>
      <w:r w:rsidR="00AE1FAB">
        <w:rPr>
          <w:rFonts w:ascii="Times New Roman" w:hAnsi="Times New Roman" w:cs="Times New Roman"/>
          <w:sz w:val="24"/>
          <w:szCs w:val="24"/>
        </w:rPr>
        <w:t>and the past</w:t>
      </w:r>
      <w:r w:rsidR="00E30948">
        <w:rPr>
          <w:rFonts w:ascii="Times New Roman" w:hAnsi="Times New Roman" w:cs="Times New Roman"/>
          <w:sz w:val="24"/>
          <w:szCs w:val="24"/>
        </w:rPr>
        <w:t>. For these models</w:t>
      </w:r>
      <w:r w:rsidR="003A4BA7">
        <w:rPr>
          <w:rFonts w:ascii="Times New Roman" w:hAnsi="Times New Roman" w:cs="Times New Roman"/>
          <w:sz w:val="24"/>
          <w:szCs w:val="24"/>
        </w:rPr>
        <w:t xml:space="preserve">, the adjustment process is not explicitly represented in </w:t>
      </w:r>
      <w:r w:rsidR="00E30948">
        <w:rPr>
          <w:rFonts w:ascii="Times New Roman" w:hAnsi="Times New Roman" w:cs="Times New Roman"/>
          <w:sz w:val="24"/>
          <w:szCs w:val="24"/>
        </w:rPr>
        <w:t>the</w:t>
      </w:r>
      <w:r w:rsidR="003A4BA7">
        <w:rPr>
          <w:rFonts w:ascii="Times New Roman" w:hAnsi="Times New Roman" w:cs="Times New Roman"/>
          <w:sz w:val="24"/>
          <w:szCs w:val="24"/>
        </w:rPr>
        <w:t xml:space="preserve"> model. However, o</w:t>
      </w:r>
      <w:r w:rsidR="00AE1FAB">
        <w:rPr>
          <w:rFonts w:ascii="Times New Roman" w:hAnsi="Times New Roman" w:cs="Times New Roman"/>
          <w:sz w:val="24"/>
          <w:szCs w:val="24"/>
        </w:rPr>
        <w:t xml:space="preserve">ther models </w:t>
      </w:r>
      <w:r w:rsidR="00AE1FAB" w:rsidRPr="0043263F">
        <w:rPr>
          <w:rFonts w:ascii="Times New Roman" w:hAnsi="Times New Roman" w:cs="Times New Roman"/>
          <w:sz w:val="24"/>
          <w:szCs w:val="24"/>
        </w:rPr>
        <w:t>attempt to incorporate</w:t>
      </w:r>
      <w:r w:rsidR="00E30948" w:rsidRPr="0043263F">
        <w:rPr>
          <w:rFonts w:ascii="Times New Roman" w:hAnsi="Times New Roman" w:cs="Times New Roman"/>
          <w:sz w:val="24"/>
          <w:szCs w:val="24"/>
        </w:rPr>
        <w:t xml:space="preserve"> </w:t>
      </w:r>
      <w:r w:rsidR="003A4BA7" w:rsidRPr="0043263F">
        <w:rPr>
          <w:rFonts w:ascii="Times New Roman" w:hAnsi="Times New Roman" w:cs="Times New Roman"/>
          <w:sz w:val="24"/>
          <w:szCs w:val="24"/>
        </w:rPr>
        <w:t xml:space="preserve">reciprocal causation or </w:t>
      </w:r>
      <w:r w:rsidR="00E30948" w:rsidRPr="0043263F">
        <w:rPr>
          <w:rFonts w:ascii="Times New Roman" w:hAnsi="Times New Roman" w:cs="Times New Roman"/>
          <w:sz w:val="24"/>
          <w:szCs w:val="24"/>
        </w:rPr>
        <w:t xml:space="preserve">behavioral </w:t>
      </w:r>
      <w:r w:rsidR="003A4BA7" w:rsidRPr="0043263F">
        <w:rPr>
          <w:rFonts w:ascii="Times New Roman" w:hAnsi="Times New Roman" w:cs="Times New Roman"/>
          <w:sz w:val="24"/>
          <w:szCs w:val="24"/>
        </w:rPr>
        <w:lastRenderedPageBreak/>
        <w:t>feedback loops</w:t>
      </w:r>
      <w:r w:rsidR="00E30948" w:rsidRPr="0043263F">
        <w:rPr>
          <w:rFonts w:ascii="Times New Roman" w:hAnsi="Times New Roman" w:cs="Times New Roman"/>
          <w:sz w:val="24"/>
          <w:szCs w:val="24"/>
        </w:rPr>
        <w:t xml:space="preserve"> </w:t>
      </w:r>
      <w:r w:rsidR="00AE1FAB" w:rsidRPr="0043263F">
        <w:rPr>
          <w:rFonts w:ascii="Times New Roman" w:hAnsi="Times New Roman" w:cs="Times New Roman"/>
          <w:sz w:val="24"/>
          <w:szCs w:val="24"/>
        </w:rPr>
        <w:t>of economic agents that derive from a</w:t>
      </w:r>
      <w:r w:rsidR="003A4BA7" w:rsidRPr="0043263F">
        <w:rPr>
          <w:rFonts w:ascii="Times New Roman" w:hAnsi="Times New Roman" w:cs="Times New Roman"/>
          <w:sz w:val="24"/>
          <w:szCs w:val="24"/>
        </w:rPr>
        <w:t xml:space="preserve">n adjustment process and the </w:t>
      </w:r>
      <w:r w:rsidR="00AE1FAB" w:rsidRPr="0043263F">
        <w:rPr>
          <w:rFonts w:ascii="Times New Roman" w:hAnsi="Times New Roman" w:cs="Times New Roman"/>
          <w:sz w:val="24"/>
          <w:szCs w:val="24"/>
        </w:rPr>
        <w:t>future state of the economy</w:t>
      </w:r>
      <w:r w:rsidR="00E30948" w:rsidRPr="0043263F">
        <w:rPr>
          <w:rFonts w:ascii="Times New Roman" w:hAnsi="Times New Roman" w:cs="Times New Roman"/>
          <w:sz w:val="24"/>
          <w:szCs w:val="24"/>
        </w:rPr>
        <w:t xml:space="preserve"> </w:t>
      </w:r>
      <w:r w:rsidR="003A4BA7" w:rsidRPr="0043263F">
        <w:rPr>
          <w:rFonts w:ascii="Times New Roman" w:hAnsi="Times New Roman" w:cs="Times New Roman"/>
          <w:sz w:val="24"/>
          <w:szCs w:val="24"/>
        </w:rPr>
        <w:t>itself</w:t>
      </w:r>
      <w:r w:rsidR="00BC1155" w:rsidRPr="0043263F">
        <w:rPr>
          <w:rFonts w:ascii="Times New Roman" w:hAnsi="Times New Roman" w:cs="Times New Roman"/>
          <w:sz w:val="24"/>
          <w:szCs w:val="24"/>
        </w:rPr>
        <w:t xml:space="preserve">. </w:t>
      </w:r>
      <w:r w:rsidR="00AE1FAB" w:rsidRPr="0043263F">
        <w:rPr>
          <w:rFonts w:ascii="Times New Roman" w:hAnsi="Times New Roman" w:cs="Times New Roman"/>
          <w:sz w:val="24"/>
          <w:szCs w:val="24"/>
        </w:rPr>
        <w:t>This class of CGE models, dynamic</w:t>
      </w:r>
      <w:r w:rsidR="00E30948" w:rsidRPr="0043263F">
        <w:rPr>
          <w:rFonts w:ascii="Times New Roman" w:hAnsi="Times New Roman" w:cs="Times New Roman"/>
          <w:sz w:val="24"/>
          <w:szCs w:val="24"/>
        </w:rPr>
        <w:t xml:space="preserve"> </w:t>
      </w:r>
      <w:r w:rsidR="00AE1FAB" w:rsidRPr="0043263F">
        <w:rPr>
          <w:rFonts w:ascii="Times New Roman" w:hAnsi="Times New Roman" w:cs="Times New Roman"/>
          <w:sz w:val="24"/>
          <w:szCs w:val="24"/>
        </w:rPr>
        <w:t xml:space="preserve">general equilibrium models, </w:t>
      </w:r>
      <w:r w:rsidR="003A4BA7" w:rsidRPr="0043263F">
        <w:rPr>
          <w:rFonts w:ascii="Times New Roman" w:hAnsi="Times New Roman" w:cs="Times New Roman"/>
          <w:sz w:val="24"/>
          <w:szCs w:val="24"/>
        </w:rPr>
        <w:t>trace</w:t>
      </w:r>
      <w:r w:rsidR="00073846" w:rsidRPr="0043263F">
        <w:rPr>
          <w:rFonts w:ascii="Times New Roman" w:hAnsi="Times New Roman" w:cs="Times New Roman"/>
          <w:sz w:val="24"/>
          <w:szCs w:val="24"/>
        </w:rPr>
        <w:t>s</w:t>
      </w:r>
      <w:r w:rsidR="003A4BA7" w:rsidRPr="0043263F">
        <w:rPr>
          <w:rFonts w:ascii="Times New Roman" w:hAnsi="Times New Roman" w:cs="Times New Roman"/>
          <w:sz w:val="24"/>
          <w:szCs w:val="24"/>
        </w:rPr>
        <w:t xml:space="preserve"> each </w:t>
      </w:r>
      <w:r w:rsidR="00E30948" w:rsidRPr="0043263F">
        <w:rPr>
          <w:rFonts w:ascii="Times New Roman" w:hAnsi="Times New Roman" w:cs="Times New Roman"/>
          <w:sz w:val="24"/>
          <w:szCs w:val="24"/>
        </w:rPr>
        <w:t xml:space="preserve">economic </w:t>
      </w:r>
      <w:r w:rsidR="003A4BA7" w:rsidRPr="0043263F">
        <w:rPr>
          <w:rFonts w:ascii="Times New Roman" w:hAnsi="Times New Roman" w:cs="Times New Roman"/>
          <w:sz w:val="24"/>
          <w:szCs w:val="24"/>
        </w:rPr>
        <w:t xml:space="preserve">variable through time, </w:t>
      </w:r>
      <w:r w:rsidR="00716ED0" w:rsidRPr="0043263F">
        <w:rPr>
          <w:rFonts w:ascii="Times New Roman" w:hAnsi="Times New Roman" w:cs="Times New Roman"/>
          <w:sz w:val="24"/>
          <w:szCs w:val="24"/>
        </w:rPr>
        <w:t>distinguish</w:t>
      </w:r>
      <w:r w:rsidR="00716ED0">
        <w:rPr>
          <w:rFonts w:ascii="Times New Roman" w:hAnsi="Times New Roman" w:cs="Times New Roman"/>
          <w:sz w:val="24"/>
          <w:szCs w:val="24"/>
        </w:rPr>
        <w:t>ing</w:t>
      </w:r>
      <w:r w:rsidR="00716ED0" w:rsidRPr="0043263F">
        <w:rPr>
          <w:rFonts w:ascii="Times New Roman" w:hAnsi="Times New Roman" w:cs="Times New Roman"/>
          <w:sz w:val="24"/>
          <w:szCs w:val="24"/>
        </w:rPr>
        <w:t xml:space="preserve"> </w:t>
      </w:r>
      <w:r w:rsidR="003A4BA7" w:rsidRPr="0043263F">
        <w:rPr>
          <w:rFonts w:ascii="Times New Roman" w:hAnsi="Times New Roman" w:cs="Times New Roman"/>
          <w:sz w:val="24"/>
          <w:szCs w:val="24"/>
        </w:rPr>
        <w:t>between</w:t>
      </w:r>
      <w:r w:rsidR="003A4BA7">
        <w:rPr>
          <w:rFonts w:ascii="Times New Roman" w:hAnsi="Times New Roman" w:cs="Times New Roman"/>
          <w:sz w:val="24"/>
          <w:szCs w:val="24"/>
        </w:rPr>
        <w:t xml:space="preserve"> short-run equilibrium and long-run equilibrium</w:t>
      </w:r>
      <w:r w:rsidR="00716ED0">
        <w:rPr>
          <w:rFonts w:ascii="Times New Roman" w:hAnsi="Times New Roman" w:cs="Times New Roman"/>
          <w:sz w:val="24"/>
          <w:szCs w:val="24"/>
        </w:rPr>
        <w:t>,</w:t>
      </w:r>
      <w:r w:rsidR="00BC1155">
        <w:rPr>
          <w:rFonts w:ascii="Times New Roman" w:hAnsi="Times New Roman" w:cs="Times New Roman"/>
          <w:sz w:val="24"/>
          <w:szCs w:val="24"/>
        </w:rPr>
        <w:t xml:space="preserve"> and </w:t>
      </w:r>
      <w:r w:rsidR="00716ED0">
        <w:rPr>
          <w:rFonts w:ascii="Times New Roman" w:hAnsi="Times New Roman" w:cs="Times New Roman"/>
          <w:sz w:val="24"/>
          <w:szCs w:val="24"/>
        </w:rPr>
        <w:t xml:space="preserve">solving </w:t>
      </w:r>
      <w:r w:rsidR="00BC1155">
        <w:rPr>
          <w:rFonts w:ascii="Times New Roman" w:hAnsi="Times New Roman" w:cs="Times New Roman"/>
          <w:sz w:val="24"/>
          <w:szCs w:val="24"/>
        </w:rPr>
        <w:t>for future time periods simultaneously.</w:t>
      </w:r>
    </w:p>
    <w:p w14:paraId="235968F4" w14:textId="2EFC44E8" w:rsidR="00EF3597" w:rsidRDefault="00AB0E4E" w:rsidP="00921D4A">
      <w:pPr>
        <w:spacing w:line="480" w:lineRule="auto"/>
        <w:ind w:firstLine="720"/>
        <w:rPr>
          <w:rFonts w:ascii="Times New Roman" w:hAnsi="Times New Roman" w:cs="Times New Roman"/>
          <w:sz w:val="24"/>
          <w:szCs w:val="24"/>
        </w:rPr>
      </w:pPr>
      <w:r>
        <w:rPr>
          <w:rFonts w:ascii="Times New Roman" w:hAnsi="Times New Roman" w:cs="Times New Roman"/>
          <w:sz w:val="24"/>
          <w:szCs w:val="24"/>
        </w:rPr>
        <w:t>D</w:t>
      </w:r>
      <w:r w:rsidR="000B58AF" w:rsidRPr="00921D4A">
        <w:rPr>
          <w:rFonts w:ascii="Times New Roman" w:hAnsi="Times New Roman" w:cs="Times New Roman"/>
          <w:sz w:val="24"/>
          <w:szCs w:val="24"/>
        </w:rPr>
        <w:t xml:space="preserve">espite the </w:t>
      </w:r>
      <w:r w:rsidR="00610133">
        <w:rPr>
          <w:rFonts w:ascii="Times New Roman" w:hAnsi="Times New Roman" w:cs="Times New Roman"/>
          <w:sz w:val="24"/>
          <w:szCs w:val="24"/>
        </w:rPr>
        <w:t xml:space="preserve">wide use </w:t>
      </w:r>
      <w:r w:rsidR="000B58AF" w:rsidRPr="00921D4A">
        <w:rPr>
          <w:rFonts w:ascii="Times New Roman" w:hAnsi="Times New Roman" w:cs="Times New Roman"/>
          <w:sz w:val="24"/>
          <w:szCs w:val="24"/>
        </w:rPr>
        <w:t>of CGE models</w:t>
      </w:r>
      <w:r w:rsidR="00610133">
        <w:rPr>
          <w:rFonts w:ascii="Times New Roman" w:hAnsi="Times New Roman" w:cs="Times New Roman"/>
          <w:sz w:val="24"/>
          <w:szCs w:val="24"/>
        </w:rPr>
        <w:t xml:space="preserve"> across the public and private sector</w:t>
      </w:r>
      <w:r w:rsidR="00B74FF3">
        <w:rPr>
          <w:rFonts w:ascii="Times New Roman" w:hAnsi="Times New Roman" w:cs="Times New Roman"/>
          <w:sz w:val="24"/>
          <w:szCs w:val="24"/>
        </w:rPr>
        <w:t xml:space="preserve"> to help inform policy analysis and decision-making</w:t>
      </w:r>
      <w:r w:rsidR="000B58AF" w:rsidRPr="00921D4A">
        <w:rPr>
          <w:rFonts w:ascii="Times New Roman" w:hAnsi="Times New Roman" w:cs="Times New Roman"/>
          <w:sz w:val="24"/>
          <w:szCs w:val="24"/>
        </w:rPr>
        <w:t xml:space="preserve">, </w:t>
      </w:r>
      <w:r w:rsidR="006B2745">
        <w:rPr>
          <w:rFonts w:ascii="Times New Roman" w:hAnsi="Times New Roman" w:cs="Times New Roman"/>
          <w:sz w:val="24"/>
          <w:szCs w:val="24"/>
        </w:rPr>
        <w:t>these are often used by governmental public policy units</w:t>
      </w:r>
      <w:r w:rsidR="00B74FF3">
        <w:rPr>
          <w:rFonts w:ascii="Times New Roman" w:hAnsi="Times New Roman" w:cs="Times New Roman"/>
          <w:sz w:val="24"/>
          <w:szCs w:val="24"/>
        </w:rPr>
        <w:t xml:space="preserve">. Additionally, </w:t>
      </w:r>
      <w:r w:rsidR="00EA26EB">
        <w:rPr>
          <w:rFonts w:ascii="Times New Roman" w:hAnsi="Times New Roman" w:cs="Times New Roman"/>
          <w:sz w:val="24"/>
          <w:szCs w:val="24"/>
        </w:rPr>
        <w:t xml:space="preserve">model </w:t>
      </w:r>
      <w:r w:rsidR="000B58AF" w:rsidRPr="00921D4A">
        <w:rPr>
          <w:rFonts w:ascii="Times New Roman" w:hAnsi="Times New Roman" w:cs="Times New Roman"/>
          <w:sz w:val="24"/>
          <w:szCs w:val="24"/>
        </w:rPr>
        <w:t xml:space="preserve">results </w:t>
      </w:r>
      <w:r>
        <w:rPr>
          <w:rFonts w:ascii="Times New Roman" w:hAnsi="Times New Roman" w:cs="Times New Roman"/>
          <w:sz w:val="24"/>
          <w:szCs w:val="24"/>
        </w:rPr>
        <w:t xml:space="preserve">often </w:t>
      </w:r>
      <w:r w:rsidR="000B58AF" w:rsidRPr="00921D4A">
        <w:rPr>
          <w:rFonts w:ascii="Times New Roman" w:hAnsi="Times New Roman" w:cs="Times New Roman"/>
          <w:sz w:val="24"/>
          <w:szCs w:val="24"/>
        </w:rPr>
        <w:t xml:space="preserve">cannot be </w:t>
      </w:r>
      <w:r w:rsidR="00E30948">
        <w:rPr>
          <w:rFonts w:ascii="Times New Roman" w:hAnsi="Times New Roman" w:cs="Times New Roman"/>
          <w:sz w:val="24"/>
          <w:szCs w:val="24"/>
        </w:rPr>
        <w:t>precisely</w:t>
      </w:r>
      <w:r w:rsidR="005E205C">
        <w:rPr>
          <w:rFonts w:ascii="Times New Roman" w:hAnsi="Times New Roman" w:cs="Times New Roman"/>
          <w:sz w:val="24"/>
          <w:szCs w:val="24"/>
        </w:rPr>
        <w:t xml:space="preserve"> </w:t>
      </w:r>
      <w:r w:rsidR="00E30948">
        <w:rPr>
          <w:rFonts w:ascii="Times New Roman" w:hAnsi="Times New Roman" w:cs="Times New Roman"/>
          <w:sz w:val="24"/>
          <w:szCs w:val="24"/>
        </w:rPr>
        <w:t xml:space="preserve">and clearly </w:t>
      </w:r>
      <w:r w:rsidR="000B58AF" w:rsidRPr="00921D4A">
        <w:rPr>
          <w:rFonts w:ascii="Times New Roman" w:hAnsi="Times New Roman" w:cs="Times New Roman"/>
          <w:sz w:val="24"/>
          <w:szCs w:val="24"/>
        </w:rPr>
        <w:t xml:space="preserve">traced to </w:t>
      </w:r>
      <w:r>
        <w:rPr>
          <w:rFonts w:ascii="Times New Roman" w:hAnsi="Times New Roman" w:cs="Times New Roman"/>
          <w:sz w:val="24"/>
          <w:szCs w:val="24"/>
        </w:rPr>
        <w:t>unique</w:t>
      </w:r>
      <w:r w:rsidR="000B58AF" w:rsidRPr="00921D4A">
        <w:rPr>
          <w:rFonts w:ascii="Times New Roman" w:hAnsi="Times New Roman" w:cs="Times New Roman"/>
          <w:sz w:val="24"/>
          <w:szCs w:val="24"/>
        </w:rPr>
        <w:t xml:space="preserve"> features of their data base</w:t>
      </w:r>
      <w:r w:rsidR="00610133">
        <w:rPr>
          <w:rFonts w:ascii="Times New Roman" w:hAnsi="Times New Roman" w:cs="Times New Roman"/>
          <w:sz w:val="24"/>
          <w:szCs w:val="24"/>
        </w:rPr>
        <w:t>s</w:t>
      </w:r>
      <w:r w:rsidR="000B58AF" w:rsidRPr="00921D4A">
        <w:rPr>
          <w:rFonts w:ascii="Times New Roman" w:hAnsi="Times New Roman" w:cs="Times New Roman"/>
          <w:sz w:val="24"/>
          <w:szCs w:val="24"/>
        </w:rPr>
        <w:t>, input parameters, or algebraic structure (Wing 2003).</w:t>
      </w:r>
      <w:r w:rsidR="00610133">
        <w:rPr>
          <w:rFonts w:ascii="Times New Roman" w:hAnsi="Times New Roman" w:cs="Times New Roman"/>
          <w:sz w:val="24"/>
          <w:szCs w:val="24"/>
        </w:rPr>
        <w:t xml:space="preserve"> </w:t>
      </w:r>
      <w:r w:rsidR="002B0BC6">
        <w:rPr>
          <w:rFonts w:ascii="Times New Roman" w:hAnsi="Times New Roman" w:cs="Times New Roman"/>
          <w:sz w:val="24"/>
          <w:szCs w:val="24"/>
        </w:rPr>
        <w:t xml:space="preserve">While these models do come with some built-in rigidity, </w:t>
      </w:r>
      <w:r w:rsidR="000B58AF" w:rsidRPr="00921D4A">
        <w:rPr>
          <w:rFonts w:ascii="Times New Roman" w:hAnsi="Times New Roman" w:cs="Times New Roman"/>
          <w:sz w:val="24"/>
          <w:szCs w:val="24"/>
        </w:rPr>
        <w:t>the</w:t>
      </w:r>
      <w:r w:rsidR="00610133">
        <w:rPr>
          <w:rFonts w:ascii="Times New Roman" w:hAnsi="Times New Roman" w:cs="Times New Roman"/>
          <w:sz w:val="24"/>
          <w:szCs w:val="24"/>
        </w:rPr>
        <w:t>se</w:t>
      </w:r>
      <w:r w:rsidR="000B58AF" w:rsidRPr="00921D4A">
        <w:rPr>
          <w:rFonts w:ascii="Times New Roman" w:hAnsi="Times New Roman" w:cs="Times New Roman"/>
          <w:sz w:val="24"/>
          <w:szCs w:val="24"/>
        </w:rPr>
        <w:t xml:space="preserve"> </w:t>
      </w:r>
      <w:r w:rsidR="007D3F73">
        <w:rPr>
          <w:rFonts w:ascii="Times New Roman" w:hAnsi="Times New Roman" w:cs="Times New Roman"/>
          <w:sz w:val="24"/>
          <w:szCs w:val="24"/>
        </w:rPr>
        <w:t xml:space="preserve">models </w:t>
      </w:r>
      <w:r w:rsidR="00EA26EB">
        <w:rPr>
          <w:rFonts w:ascii="Times New Roman" w:hAnsi="Times New Roman" w:cs="Times New Roman"/>
          <w:sz w:val="24"/>
          <w:szCs w:val="24"/>
        </w:rPr>
        <w:t xml:space="preserve">are </w:t>
      </w:r>
      <w:r w:rsidR="002B0BC6">
        <w:rPr>
          <w:rFonts w:ascii="Times New Roman" w:hAnsi="Times New Roman" w:cs="Times New Roman"/>
          <w:sz w:val="24"/>
          <w:szCs w:val="24"/>
        </w:rPr>
        <w:t xml:space="preserve">not </w:t>
      </w:r>
      <w:r w:rsidR="007D3F73">
        <w:rPr>
          <w:rFonts w:ascii="Times New Roman" w:hAnsi="Times New Roman" w:cs="Times New Roman"/>
          <w:sz w:val="24"/>
          <w:szCs w:val="24"/>
        </w:rPr>
        <w:t>“black box</w:t>
      </w:r>
      <w:r w:rsidR="002B0BC6">
        <w:rPr>
          <w:rFonts w:ascii="Times New Roman" w:hAnsi="Times New Roman" w:cs="Times New Roman"/>
          <w:sz w:val="24"/>
          <w:szCs w:val="24"/>
        </w:rPr>
        <w:t>es</w:t>
      </w:r>
      <w:r w:rsidR="007D3F73">
        <w:rPr>
          <w:rFonts w:ascii="Times New Roman" w:hAnsi="Times New Roman" w:cs="Times New Roman"/>
          <w:sz w:val="24"/>
          <w:szCs w:val="24"/>
        </w:rPr>
        <w:t xml:space="preserve">” from which </w:t>
      </w:r>
      <w:r w:rsidR="000B58AF" w:rsidRPr="00921D4A">
        <w:rPr>
          <w:rFonts w:ascii="Times New Roman" w:hAnsi="Times New Roman" w:cs="Times New Roman"/>
          <w:sz w:val="24"/>
          <w:szCs w:val="24"/>
        </w:rPr>
        <w:t>results are disconnected</w:t>
      </w:r>
      <w:r w:rsidR="007D3F73">
        <w:rPr>
          <w:rFonts w:ascii="Times New Roman" w:hAnsi="Times New Roman" w:cs="Times New Roman"/>
          <w:sz w:val="24"/>
          <w:szCs w:val="24"/>
        </w:rPr>
        <w:t xml:space="preserve"> </w:t>
      </w:r>
      <w:r w:rsidR="000B58AF" w:rsidRPr="00921D4A">
        <w:rPr>
          <w:rFonts w:ascii="Times New Roman" w:hAnsi="Times New Roman" w:cs="Times New Roman"/>
          <w:sz w:val="24"/>
          <w:szCs w:val="24"/>
        </w:rPr>
        <w:t>to a significant degree from the underlying data and/or from the governing theoretical framework</w:t>
      </w:r>
      <w:r w:rsidRPr="00921D4A">
        <w:rPr>
          <w:rFonts w:ascii="Times New Roman" w:hAnsi="Times New Roman" w:cs="Times New Roman"/>
          <w:sz w:val="24"/>
          <w:szCs w:val="24"/>
          <w:vertAlign w:val="superscript"/>
        </w:rPr>
        <w:footnoteReference w:id="1"/>
      </w:r>
      <w:r w:rsidR="000B58AF" w:rsidRPr="00921D4A">
        <w:rPr>
          <w:rFonts w:ascii="Times New Roman" w:hAnsi="Times New Roman" w:cs="Times New Roman"/>
          <w:sz w:val="24"/>
          <w:szCs w:val="24"/>
        </w:rPr>
        <w:t xml:space="preserve">. </w:t>
      </w:r>
      <w:r w:rsidR="003441BB">
        <w:rPr>
          <w:rFonts w:ascii="Times New Roman" w:hAnsi="Times New Roman" w:cs="Times New Roman"/>
          <w:sz w:val="24"/>
          <w:szCs w:val="24"/>
        </w:rPr>
        <w:t>Ultimately, t</w:t>
      </w:r>
      <w:r w:rsidR="007D3F73">
        <w:rPr>
          <w:rFonts w:ascii="Times New Roman" w:hAnsi="Times New Roman" w:cs="Times New Roman"/>
          <w:sz w:val="24"/>
          <w:szCs w:val="24"/>
        </w:rPr>
        <w:t xml:space="preserve">he </w:t>
      </w:r>
      <w:r w:rsidR="000B58AF" w:rsidRPr="00921D4A">
        <w:rPr>
          <w:rFonts w:ascii="Times New Roman" w:hAnsi="Times New Roman" w:cs="Times New Roman"/>
          <w:sz w:val="24"/>
          <w:szCs w:val="24"/>
        </w:rPr>
        <w:t>models are premised on the circular flow of the economy</w:t>
      </w:r>
      <w:r w:rsidR="003441BB">
        <w:rPr>
          <w:rFonts w:ascii="Times New Roman" w:hAnsi="Times New Roman" w:cs="Times New Roman"/>
          <w:sz w:val="24"/>
          <w:szCs w:val="24"/>
        </w:rPr>
        <w:t xml:space="preserve">, with pre-programmed </w:t>
      </w:r>
      <w:proofErr w:type="spellStart"/>
      <w:r w:rsidR="003441BB">
        <w:rPr>
          <w:rFonts w:ascii="Times New Roman" w:hAnsi="Times New Roman" w:cs="Times New Roman"/>
          <w:sz w:val="24"/>
          <w:szCs w:val="24"/>
        </w:rPr>
        <w:t>elasticities</w:t>
      </w:r>
      <w:proofErr w:type="spellEnd"/>
      <w:r w:rsidR="003441BB">
        <w:rPr>
          <w:rFonts w:ascii="Times New Roman" w:hAnsi="Times New Roman" w:cs="Times New Roman"/>
          <w:sz w:val="24"/>
          <w:szCs w:val="24"/>
        </w:rPr>
        <w:t>,</w:t>
      </w:r>
      <w:r w:rsidR="000B58AF" w:rsidRPr="00921D4A">
        <w:rPr>
          <w:rFonts w:ascii="Times New Roman" w:hAnsi="Times New Roman" w:cs="Times New Roman"/>
          <w:sz w:val="24"/>
          <w:szCs w:val="24"/>
        </w:rPr>
        <w:t xml:space="preserve"> and </w:t>
      </w:r>
      <w:r w:rsidR="007D3F73">
        <w:rPr>
          <w:rFonts w:ascii="Times New Roman" w:hAnsi="Times New Roman" w:cs="Times New Roman"/>
          <w:sz w:val="24"/>
          <w:szCs w:val="24"/>
        </w:rPr>
        <w:t xml:space="preserve">are </w:t>
      </w:r>
      <w:r w:rsidR="000B58AF" w:rsidRPr="00921D4A">
        <w:rPr>
          <w:rFonts w:ascii="Times New Roman" w:hAnsi="Times New Roman" w:cs="Times New Roman"/>
          <w:sz w:val="24"/>
          <w:szCs w:val="24"/>
        </w:rPr>
        <w:t>based on the logic and rules of social accounting matrices</w:t>
      </w:r>
      <w:r w:rsidR="007D3F73">
        <w:rPr>
          <w:rFonts w:ascii="Times New Roman" w:hAnsi="Times New Roman" w:cs="Times New Roman"/>
          <w:sz w:val="24"/>
          <w:szCs w:val="24"/>
        </w:rPr>
        <w:t xml:space="preserve">. </w:t>
      </w:r>
    </w:p>
    <w:p w14:paraId="20C79F0B" w14:textId="6C9F7892" w:rsidR="000B58AF" w:rsidRDefault="007D3F73">
      <w:pPr>
        <w:spacing w:line="480" w:lineRule="auto"/>
        <w:ind w:firstLine="720"/>
        <w:rPr>
          <w:rFonts w:ascii="Times New Roman" w:hAnsi="Times New Roman" w:cs="Times New Roman"/>
          <w:sz w:val="24"/>
          <w:szCs w:val="24"/>
        </w:rPr>
      </w:pPr>
      <w:r>
        <w:rPr>
          <w:rFonts w:ascii="Times New Roman" w:hAnsi="Times New Roman" w:cs="Times New Roman"/>
          <w:sz w:val="24"/>
          <w:szCs w:val="24"/>
        </w:rPr>
        <w:t>Consequently</w:t>
      </w:r>
      <w:r w:rsidR="000B58AF" w:rsidRPr="00921D4A">
        <w:rPr>
          <w:rFonts w:ascii="Times New Roman" w:hAnsi="Times New Roman" w:cs="Times New Roman"/>
          <w:sz w:val="24"/>
          <w:szCs w:val="24"/>
        </w:rPr>
        <w:t xml:space="preserve">, </w:t>
      </w:r>
      <w:r>
        <w:rPr>
          <w:rFonts w:ascii="Times New Roman" w:hAnsi="Times New Roman" w:cs="Times New Roman"/>
          <w:sz w:val="24"/>
          <w:szCs w:val="24"/>
        </w:rPr>
        <w:t xml:space="preserve">empirical </w:t>
      </w:r>
      <w:r w:rsidR="000B58AF" w:rsidRPr="00921D4A">
        <w:rPr>
          <w:rFonts w:ascii="Times New Roman" w:hAnsi="Times New Roman" w:cs="Times New Roman"/>
          <w:sz w:val="24"/>
          <w:szCs w:val="24"/>
        </w:rPr>
        <w:t xml:space="preserve">results </w:t>
      </w:r>
      <w:r w:rsidR="003441BB">
        <w:rPr>
          <w:rFonts w:ascii="Times New Roman" w:hAnsi="Times New Roman" w:cs="Times New Roman"/>
          <w:sz w:val="24"/>
          <w:szCs w:val="24"/>
        </w:rPr>
        <w:t>derived from CGE models are</w:t>
      </w:r>
      <w:r w:rsidR="000B58AF" w:rsidRPr="00921D4A">
        <w:rPr>
          <w:rFonts w:ascii="Times New Roman" w:hAnsi="Times New Roman" w:cs="Times New Roman"/>
          <w:sz w:val="24"/>
          <w:szCs w:val="24"/>
        </w:rPr>
        <w:t xml:space="preserve"> useful</w:t>
      </w:r>
      <w:r w:rsidR="003441BB">
        <w:rPr>
          <w:rFonts w:ascii="Times New Roman" w:hAnsi="Times New Roman" w:cs="Times New Roman"/>
          <w:sz w:val="24"/>
          <w:szCs w:val="24"/>
        </w:rPr>
        <w:t xml:space="preserve"> as one tool towards conducting economic policy analysis.</w:t>
      </w:r>
      <w:r w:rsidR="000B58AF" w:rsidRPr="007D52EC">
        <w:rPr>
          <w:rFonts w:ascii="Times New Roman" w:hAnsi="Times New Roman" w:cs="Times New Roman"/>
          <w:sz w:val="24"/>
          <w:szCs w:val="24"/>
          <w:vertAlign w:val="superscript"/>
        </w:rPr>
        <w:footnoteReference w:id="2"/>
      </w:r>
      <w:r w:rsidR="000B58AF" w:rsidRPr="00921D4A">
        <w:rPr>
          <w:rFonts w:ascii="Times New Roman" w:hAnsi="Times New Roman" w:cs="Times New Roman"/>
          <w:sz w:val="24"/>
          <w:szCs w:val="24"/>
        </w:rPr>
        <w:t xml:space="preserve"> </w:t>
      </w:r>
      <w:r w:rsidR="00EF3597">
        <w:rPr>
          <w:rFonts w:ascii="Times New Roman" w:hAnsi="Times New Roman" w:cs="Times New Roman"/>
          <w:sz w:val="24"/>
          <w:szCs w:val="24"/>
        </w:rPr>
        <w:t>These</w:t>
      </w:r>
      <w:r w:rsidR="00E26CDB">
        <w:rPr>
          <w:rFonts w:ascii="Times New Roman" w:hAnsi="Times New Roman" w:cs="Times New Roman"/>
          <w:sz w:val="24"/>
          <w:szCs w:val="24"/>
        </w:rPr>
        <w:t xml:space="preserve"> </w:t>
      </w:r>
      <w:r w:rsidR="000B58AF" w:rsidRPr="00921D4A">
        <w:rPr>
          <w:rFonts w:ascii="Times New Roman" w:hAnsi="Times New Roman" w:cs="Times New Roman"/>
          <w:sz w:val="24"/>
          <w:szCs w:val="24"/>
        </w:rPr>
        <w:t>CGE models, like other economic models, are not without weaknesses and imperfections</w:t>
      </w:r>
      <w:r w:rsidR="00466CDC">
        <w:rPr>
          <w:rFonts w:ascii="Times New Roman" w:hAnsi="Times New Roman" w:cs="Times New Roman"/>
          <w:sz w:val="24"/>
          <w:szCs w:val="24"/>
        </w:rPr>
        <w:t xml:space="preserve">, </w:t>
      </w:r>
      <w:r w:rsidR="00EF3597">
        <w:rPr>
          <w:rFonts w:ascii="Times New Roman" w:hAnsi="Times New Roman" w:cs="Times New Roman"/>
          <w:sz w:val="24"/>
          <w:szCs w:val="24"/>
        </w:rPr>
        <w:t xml:space="preserve">such that </w:t>
      </w:r>
      <w:r w:rsidR="00466CDC">
        <w:rPr>
          <w:rFonts w:ascii="Times New Roman" w:hAnsi="Times New Roman" w:cs="Times New Roman"/>
          <w:sz w:val="24"/>
          <w:szCs w:val="24"/>
        </w:rPr>
        <w:t>the</w:t>
      </w:r>
      <w:r w:rsidR="00DD6E3F">
        <w:rPr>
          <w:rFonts w:ascii="Times New Roman" w:hAnsi="Times New Roman" w:cs="Times New Roman"/>
          <w:sz w:val="24"/>
          <w:szCs w:val="24"/>
        </w:rPr>
        <w:t>y</w:t>
      </w:r>
      <w:r w:rsidR="00466CDC">
        <w:rPr>
          <w:rFonts w:ascii="Times New Roman" w:hAnsi="Times New Roman" w:cs="Times New Roman"/>
          <w:sz w:val="24"/>
          <w:szCs w:val="24"/>
        </w:rPr>
        <w:t xml:space="preserve"> </w:t>
      </w:r>
      <w:r w:rsidR="00EF3597">
        <w:rPr>
          <w:rFonts w:ascii="Times New Roman" w:hAnsi="Times New Roman" w:cs="Times New Roman"/>
          <w:sz w:val="24"/>
          <w:szCs w:val="24"/>
        </w:rPr>
        <w:t>can</w:t>
      </w:r>
      <w:r w:rsidR="00466CDC">
        <w:rPr>
          <w:rFonts w:ascii="Times New Roman" w:hAnsi="Times New Roman" w:cs="Times New Roman"/>
          <w:sz w:val="24"/>
          <w:szCs w:val="24"/>
        </w:rPr>
        <w:t xml:space="preserve"> </w:t>
      </w:r>
      <w:r w:rsidR="00EF3597">
        <w:rPr>
          <w:rFonts w:ascii="Times New Roman" w:hAnsi="Times New Roman" w:cs="Times New Roman"/>
          <w:sz w:val="24"/>
          <w:szCs w:val="24"/>
        </w:rPr>
        <w:t xml:space="preserve">complement </w:t>
      </w:r>
      <w:r w:rsidR="00466CDC">
        <w:rPr>
          <w:rFonts w:ascii="Times New Roman" w:hAnsi="Times New Roman" w:cs="Times New Roman"/>
          <w:sz w:val="24"/>
          <w:szCs w:val="24"/>
        </w:rPr>
        <w:t>other economic models</w:t>
      </w:r>
      <w:r w:rsidR="00EF3597">
        <w:rPr>
          <w:rFonts w:ascii="Times New Roman" w:hAnsi="Times New Roman" w:cs="Times New Roman"/>
          <w:sz w:val="24"/>
          <w:szCs w:val="24"/>
        </w:rPr>
        <w:t xml:space="preserve"> and sources of information</w:t>
      </w:r>
      <w:r w:rsidR="00466CDC">
        <w:rPr>
          <w:rFonts w:ascii="Times New Roman" w:hAnsi="Times New Roman" w:cs="Times New Roman"/>
          <w:sz w:val="24"/>
          <w:szCs w:val="24"/>
        </w:rPr>
        <w:t xml:space="preserve">. </w:t>
      </w:r>
      <w:r w:rsidR="00EF3597">
        <w:rPr>
          <w:rFonts w:ascii="Times New Roman" w:hAnsi="Times New Roman" w:cs="Times New Roman"/>
          <w:sz w:val="24"/>
          <w:szCs w:val="24"/>
        </w:rPr>
        <w:t>Relative to a partial-equilibrium model, CGE models can</w:t>
      </w:r>
      <w:r w:rsidR="00BC1155">
        <w:rPr>
          <w:rFonts w:ascii="Times New Roman" w:hAnsi="Times New Roman" w:cs="Times New Roman"/>
          <w:sz w:val="24"/>
          <w:szCs w:val="24"/>
        </w:rPr>
        <w:t xml:space="preserve"> </w:t>
      </w:r>
      <w:r w:rsidR="000B58AF" w:rsidRPr="00921D4A">
        <w:rPr>
          <w:rFonts w:ascii="Times New Roman" w:hAnsi="Times New Roman" w:cs="Times New Roman"/>
          <w:sz w:val="24"/>
          <w:szCs w:val="24"/>
        </w:rPr>
        <w:t>identify,</w:t>
      </w:r>
      <w:r w:rsidR="00466CDC">
        <w:rPr>
          <w:rFonts w:ascii="Times New Roman" w:hAnsi="Times New Roman" w:cs="Times New Roman"/>
          <w:sz w:val="24"/>
          <w:szCs w:val="24"/>
        </w:rPr>
        <w:t xml:space="preserve"> </w:t>
      </w:r>
      <w:r w:rsidR="00BC1155" w:rsidRPr="0036068B">
        <w:rPr>
          <w:rFonts w:ascii="Times New Roman" w:hAnsi="Times New Roman" w:cs="Times New Roman"/>
          <w:sz w:val="24"/>
          <w:szCs w:val="24"/>
        </w:rPr>
        <w:lastRenderedPageBreak/>
        <w:t>quantify</w:t>
      </w:r>
      <w:r w:rsidR="00466CDC">
        <w:rPr>
          <w:rFonts w:ascii="Times New Roman" w:hAnsi="Times New Roman" w:cs="Times New Roman"/>
          <w:sz w:val="24"/>
          <w:szCs w:val="24"/>
        </w:rPr>
        <w:t xml:space="preserve"> </w:t>
      </w:r>
      <w:r w:rsidR="00BC1155">
        <w:rPr>
          <w:rFonts w:ascii="Times New Roman" w:hAnsi="Times New Roman" w:cs="Times New Roman"/>
          <w:sz w:val="24"/>
          <w:szCs w:val="24"/>
        </w:rPr>
        <w:t xml:space="preserve">and </w:t>
      </w:r>
      <w:r w:rsidR="000B58AF" w:rsidRPr="00921D4A">
        <w:rPr>
          <w:rFonts w:ascii="Times New Roman" w:hAnsi="Times New Roman" w:cs="Times New Roman"/>
          <w:sz w:val="24"/>
          <w:szCs w:val="24"/>
        </w:rPr>
        <w:t xml:space="preserve">assess </w:t>
      </w:r>
      <w:r w:rsidR="00EF3597">
        <w:rPr>
          <w:rFonts w:ascii="Times New Roman" w:hAnsi="Times New Roman" w:cs="Times New Roman"/>
          <w:sz w:val="24"/>
          <w:szCs w:val="24"/>
        </w:rPr>
        <w:t xml:space="preserve">economy-wide </w:t>
      </w:r>
      <w:r w:rsidR="000B58AF" w:rsidRPr="00921D4A">
        <w:rPr>
          <w:rFonts w:ascii="Times New Roman" w:hAnsi="Times New Roman" w:cs="Times New Roman"/>
          <w:sz w:val="24"/>
          <w:szCs w:val="24"/>
        </w:rPr>
        <w:t xml:space="preserve">economic </w:t>
      </w:r>
      <w:r w:rsidR="00EF3597">
        <w:rPr>
          <w:rFonts w:ascii="Times New Roman" w:hAnsi="Times New Roman" w:cs="Times New Roman"/>
          <w:sz w:val="24"/>
          <w:szCs w:val="24"/>
        </w:rPr>
        <w:t xml:space="preserve">responses—major and minor—to </w:t>
      </w:r>
      <w:r w:rsidR="000B58AF" w:rsidRPr="00921D4A">
        <w:rPr>
          <w:rFonts w:ascii="Times New Roman" w:hAnsi="Times New Roman" w:cs="Times New Roman"/>
          <w:sz w:val="24"/>
          <w:szCs w:val="24"/>
        </w:rPr>
        <w:t>a particularly large shock</w:t>
      </w:r>
      <w:r w:rsidR="00BC1155">
        <w:rPr>
          <w:rFonts w:ascii="Times New Roman" w:hAnsi="Times New Roman" w:cs="Times New Roman"/>
          <w:sz w:val="24"/>
          <w:szCs w:val="24"/>
        </w:rPr>
        <w:t xml:space="preserve"> or policy change. </w:t>
      </w:r>
      <w:r w:rsidR="00EF3597">
        <w:rPr>
          <w:rFonts w:ascii="Times New Roman" w:hAnsi="Times New Roman" w:cs="Times New Roman"/>
          <w:sz w:val="24"/>
          <w:szCs w:val="24"/>
        </w:rPr>
        <w:t>On the other hand, p</w:t>
      </w:r>
      <w:r w:rsidR="000B58AF" w:rsidRPr="00921D4A">
        <w:rPr>
          <w:rFonts w:ascii="Times New Roman" w:hAnsi="Times New Roman" w:cs="Times New Roman"/>
          <w:sz w:val="24"/>
          <w:szCs w:val="24"/>
        </w:rPr>
        <w:t>artial equilibrium models assume</w:t>
      </w:r>
      <w:r w:rsidR="002E3E58">
        <w:rPr>
          <w:rFonts w:ascii="Times New Roman" w:hAnsi="Times New Roman" w:cs="Times New Roman"/>
          <w:sz w:val="24"/>
          <w:szCs w:val="24"/>
        </w:rPr>
        <w:t>,</w:t>
      </w:r>
      <w:r w:rsidR="000B58AF" w:rsidRPr="00921D4A">
        <w:rPr>
          <w:rFonts w:ascii="Times New Roman" w:hAnsi="Times New Roman" w:cs="Times New Roman"/>
          <w:sz w:val="24"/>
          <w:szCs w:val="24"/>
        </w:rPr>
        <w:t xml:space="preserve"> beyond the two or more markets under investigation</w:t>
      </w:r>
      <w:r w:rsidR="002E3E58">
        <w:rPr>
          <w:rFonts w:ascii="Times New Roman" w:hAnsi="Times New Roman" w:cs="Times New Roman"/>
          <w:sz w:val="24"/>
          <w:szCs w:val="24"/>
        </w:rPr>
        <w:t>,</w:t>
      </w:r>
      <w:r w:rsidR="000B58AF" w:rsidRPr="00921D4A">
        <w:rPr>
          <w:rFonts w:ascii="Times New Roman" w:hAnsi="Times New Roman" w:cs="Times New Roman"/>
          <w:sz w:val="24"/>
          <w:szCs w:val="24"/>
        </w:rPr>
        <w:t xml:space="preserve"> </w:t>
      </w:r>
      <w:r w:rsidR="00466CDC">
        <w:rPr>
          <w:rFonts w:ascii="Times New Roman" w:hAnsi="Times New Roman" w:cs="Times New Roman"/>
          <w:sz w:val="24"/>
          <w:szCs w:val="24"/>
        </w:rPr>
        <w:t xml:space="preserve">all other </w:t>
      </w:r>
      <w:r w:rsidR="000B58AF" w:rsidRPr="00921D4A">
        <w:rPr>
          <w:rFonts w:ascii="Times New Roman" w:hAnsi="Times New Roman" w:cs="Times New Roman"/>
          <w:sz w:val="24"/>
          <w:szCs w:val="24"/>
        </w:rPr>
        <w:t>income</w:t>
      </w:r>
      <w:r w:rsidR="00073846">
        <w:rPr>
          <w:rFonts w:ascii="Times New Roman" w:hAnsi="Times New Roman" w:cs="Times New Roman"/>
          <w:sz w:val="24"/>
          <w:szCs w:val="24"/>
        </w:rPr>
        <w:t>s</w:t>
      </w:r>
      <w:r w:rsidR="000B58AF" w:rsidRPr="00921D4A">
        <w:rPr>
          <w:rFonts w:ascii="Times New Roman" w:hAnsi="Times New Roman" w:cs="Times New Roman"/>
          <w:sz w:val="24"/>
          <w:szCs w:val="24"/>
        </w:rPr>
        <w:t xml:space="preserve"> and prices in the rest of the economy are fixed.</w:t>
      </w:r>
      <w:r w:rsidR="00AB0E4E">
        <w:rPr>
          <w:rFonts w:ascii="Times New Roman" w:hAnsi="Times New Roman" w:cs="Times New Roman"/>
          <w:sz w:val="24"/>
          <w:szCs w:val="24"/>
        </w:rPr>
        <w:t xml:space="preserve"> </w:t>
      </w:r>
      <w:r w:rsidR="00610133">
        <w:rPr>
          <w:rFonts w:ascii="Times New Roman" w:hAnsi="Times New Roman" w:cs="Times New Roman"/>
          <w:sz w:val="24"/>
          <w:szCs w:val="24"/>
        </w:rPr>
        <w:t>Realistical</w:t>
      </w:r>
      <w:r w:rsidR="006B2745">
        <w:rPr>
          <w:rFonts w:ascii="Times New Roman" w:hAnsi="Times New Roman" w:cs="Times New Roman"/>
          <w:sz w:val="24"/>
          <w:szCs w:val="24"/>
        </w:rPr>
        <w:t>ly, such factors change jointly, thus making CGE well-suited for this analysis.</w:t>
      </w:r>
    </w:p>
    <w:p w14:paraId="53C604C9" w14:textId="77777777" w:rsidR="000B58AF" w:rsidRPr="00ED5ABB" w:rsidRDefault="000B58AF" w:rsidP="00921D4A">
      <w:pPr>
        <w:pStyle w:val="ListParagraph"/>
        <w:numPr>
          <w:ilvl w:val="0"/>
          <w:numId w:val="8"/>
        </w:numPr>
        <w:rPr>
          <w:rFonts w:ascii="Times New Roman" w:hAnsi="Times New Roman" w:cs="Times New Roman"/>
          <w:b/>
          <w:sz w:val="24"/>
          <w:szCs w:val="24"/>
        </w:rPr>
      </w:pPr>
      <w:r w:rsidRPr="00ED5ABB">
        <w:rPr>
          <w:rFonts w:ascii="Times New Roman" w:hAnsi="Times New Roman" w:cs="Times New Roman"/>
          <w:b/>
          <w:sz w:val="24"/>
          <w:szCs w:val="24"/>
        </w:rPr>
        <w:t>Data &amp; Methodology</w:t>
      </w:r>
    </w:p>
    <w:p w14:paraId="6EB27120" w14:textId="77777777" w:rsidR="000B58AF" w:rsidRPr="00AA108E" w:rsidRDefault="000B58AF" w:rsidP="00921D4A">
      <w:pPr>
        <w:spacing w:line="480" w:lineRule="auto"/>
        <w:rPr>
          <w:rFonts w:ascii="Times New Roman" w:hAnsi="Times New Roman" w:cs="Times New Roman"/>
          <w:i/>
          <w:sz w:val="24"/>
          <w:szCs w:val="24"/>
        </w:rPr>
      </w:pPr>
      <w:r w:rsidRPr="00AA108E">
        <w:rPr>
          <w:rFonts w:ascii="Times New Roman" w:hAnsi="Times New Roman" w:cs="Times New Roman"/>
          <w:i/>
          <w:sz w:val="24"/>
          <w:szCs w:val="24"/>
        </w:rPr>
        <w:t>Employment Data</w:t>
      </w:r>
    </w:p>
    <w:p w14:paraId="4EAADE39" w14:textId="106703B6" w:rsidR="00F764B1" w:rsidRPr="00625903" w:rsidRDefault="00FE121F" w:rsidP="007F3CAB">
      <w:pPr>
        <w:spacing w:line="480" w:lineRule="auto"/>
        <w:rPr>
          <w:rFonts w:ascii="Times New Roman" w:hAnsi="Times New Roman" w:cs="Times New Roman"/>
          <w:sz w:val="24"/>
          <w:szCs w:val="24"/>
        </w:rPr>
      </w:pPr>
      <w:r>
        <w:rPr>
          <w:rFonts w:ascii="Times New Roman" w:hAnsi="Times New Roman" w:cs="Times New Roman"/>
          <w:sz w:val="24"/>
          <w:szCs w:val="24"/>
        </w:rPr>
        <w:t xml:space="preserve">To </w:t>
      </w:r>
      <w:r w:rsidRPr="00625903">
        <w:rPr>
          <w:rFonts w:ascii="Times New Roman" w:hAnsi="Times New Roman" w:cs="Times New Roman"/>
          <w:sz w:val="24"/>
          <w:szCs w:val="24"/>
        </w:rPr>
        <w:t xml:space="preserve">estimate the </w:t>
      </w:r>
      <w:r>
        <w:rPr>
          <w:rFonts w:ascii="Times New Roman" w:hAnsi="Times New Roman" w:cs="Times New Roman"/>
          <w:sz w:val="24"/>
          <w:szCs w:val="24"/>
        </w:rPr>
        <w:t xml:space="preserve">number and </w:t>
      </w:r>
      <w:r w:rsidRPr="00625903">
        <w:rPr>
          <w:rFonts w:ascii="Times New Roman" w:hAnsi="Times New Roman" w:cs="Times New Roman"/>
          <w:sz w:val="24"/>
          <w:szCs w:val="24"/>
        </w:rPr>
        <w:t>distribution</w:t>
      </w:r>
      <w:r w:rsidR="0006261B">
        <w:rPr>
          <w:rFonts w:ascii="Times New Roman" w:hAnsi="Times New Roman" w:cs="Times New Roman"/>
          <w:sz w:val="24"/>
          <w:szCs w:val="24"/>
        </w:rPr>
        <w:t>, by industry,</w:t>
      </w:r>
      <w:r w:rsidRPr="00625903">
        <w:rPr>
          <w:rFonts w:ascii="Times New Roman" w:hAnsi="Times New Roman" w:cs="Times New Roman"/>
          <w:sz w:val="24"/>
          <w:szCs w:val="24"/>
        </w:rPr>
        <w:t xml:space="preserve"> of </w:t>
      </w:r>
      <w:r>
        <w:rPr>
          <w:rFonts w:ascii="Times New Roman" w:hAnsi="Times New Roman" w:cs="Times New Roman"/>
          <w:sz w:val="24"/>
          <w:szCs w:val="24"/>
        </w:rPr>
        <w:t>low</w:t>
      </w:r>
      <w:r w:rsidRPr="00625903">
        <w:rPr>
          <w:rFonts w:ascii="Times New Roman" w:hAnsi="Times New Roman" w:cs="Times New Roman"/>
          <w:sz w:val="24"/>
          <w:szCs w:val="24"/>
        </w:rPr>
        <w:t xml:space="preserve"> wage </w:t>
      </w:r>
      <w:r>
        <w:rPr>
          <w:rFonts w:ascii="Times New Roman" w:hAnsi="Times New Roman" w:cs="Times New Roman"/>
          <w:sz w:val="24"/>
          <w:szCs w:val="24"/>
        </w:rPr>
        <w:t xml:space="preserve">jobs </w:t>
      </w:r>
      <w:r w:rsidR="0006261B">
        <w:rPr>
          <w:rFonts w:ascii="Times New Roman" w:hAnsi="Times New Roman" w:cs="Times New Roman"/>
          <w:sz w:val="24"/>
          <w:szCs w:val="24"/>
        </w:rPr>
        <w:t xml:space="preserve">impacted </w:t>
      </w:r>
      <w:r>
        <w:rPr>
          <w:rFonts w:ascii="Times New Roman" w:hAnsi="Times New Roman" w:cs="Times New Roman"/>
          <w:sz w:val="24"/>
          <w:szCs w:val="24"/>
        </w:rPr>
        <w:t xml:space="preserve">by the $15 MWP, we begin by </w:t>
      </w:r>
      <w:r w:rsidR="00596C82">
        <w:rPr>
          <w:rFonts w:ascii="Times New Roman" w:hAnsi="Times New Roman" w:cs="Times New Roman"/>
          <w:sz w:val="24"/>
          <w:szCs w:val="24"/>
        </w:rPr>
        <w:t>us</w:t>
      </w:r>
      <w:r>
        <w:rPr>
          <w:rFonts w:ascii="Times New Roman" w:hAnsi="Times New Roman" w:cs="Times New Roman"/>
          <w:sz w:val="24"/>
          <w:szCs w:val="24"/>
        </w:rPr>
        <w:t>ing</w:t>
      </w:r>
      <w:r w:rsidR="00596C82">
        <w:rPr>
          <w:rFonts w:ascii="Times New Roman" w:hAnsi="Times New Roman" w:cs="Times New Roman"/>
          <w:sz w:val="24"/>
          <w:szCs w:val="24"/>
        </w:rPr>
        <w:t xml:space="preserve"> </w:t>
      </w:r>
      <w:r w:rsidR="0006261B">
        <w:rPr>
          <w:rFonts w:ascii="Times New Roman" w:hAnsi="Times New Roman" w:cs="Times New Roman"/>
          <w:sz w:val="24"/>
          <w:szCs w:val="24"/>
        </w:rPr>
        <w:t>Bureau of Labor Statistics (BLS)</w:t>
      </w:r>
      <w:r w:rsidR="0006261B" w:rsidRPr="00625903">
        <w:rPr>
          <w:rFonts w:ascii="Times New Roman" w:hAnsi="Times New Roman" w:cs="Times New Roman"/>
          <w:sz w:val="24"/>
          <w:szCs w:val="24"/>
        </w:rPr>
        <w:t xml:space="preserve"> </w:t>
      </w:r>
      <w:r w:rsidR="00F764B1">
        <w:rPr>
          <w:rFonts w:ascii="Times New Roman" w:hAnsi="Times New Roman" w:cs="Times New Roman"/>
          <w:sz w:val="24"/>
          <w:szCs w:val="24"/>
        </w:rPr>
        <w:t xml:space="preserve">Occupational Employment Statistics (OES) </w:t>
      </w:r>
      <w:r w:rsidR="00F764B1" w:rsidRPr="00625903">
        <w:rPr>
          <w:rFonts w:ascii="Times New Roman" w:hAnsi="Times New Roman" w:cs="Times New Roman"/>
          <w:sz w:val="24"/>
          <w:szCs w:val="24"/>
        </w:rPr>
        <w:t xml:space="preserve">survey data </w:t>
      </w:r>
      <w:r w:rsidR="00F764B1">
        <w:rPr>
          <w:rFonts w:ascii="Times New Roman" w:hAnsi="Times New Roman" w:cs="Times New Roman"/>
          <w:sz w:val="24"/>
          <w:szCs w:val="24"/>
        </w:rPr>
        <w:t>and</w:t>
      </w:r>
      <w:r w:rsidR="00F764B1" w:rsidRPr="00625903">
        <w:rPr>
          <w:rFonts w:ascii="Times New Roman" w:hAnsi="Times New Roman" w:cs="Times New Roman"/>
          <w:sz w:val="24"/>
          <w:szCs w:val="24"/>
        </w:rPr>
        <w:t xml:space="preserve"> the U.S. Census Bureau’s American Community Survey (ACS)</w:t>
      </w:r>
      <w:r w:rsidR="00E26CDB">
        <w:rPr>
          <w:rFonts w:ascii="Times New Roman" w:hAnsi="Times New Roman" w:cs="Times New Roman"/>
          <w:sz w:val="24"/>
          <w:szCs w:val="24"/>
        </w:rPr>
        <w:t>.</w:t>
      </w:r>
      <w:r w:rsidR="00596C82">
        <w:rPr>
          <w:rFonts w:ascii="Times New Roman" w:hAnsi="Times New Roman" w:cs="Times New Roman"/>
          <w:sz w:val="24"/>
          <w:szCs w:val="24"/>
        </w:rPr>
        <w:t xml:space="preserve"> </w:t>
      </w:r>
      <w:r w:rsidR="00F764B1" w:rsidRPr="00625903">
        <w:rPr>
          <w:rFonts w:ascii="Times New Roman" w:hAnsi="Times New Roman" w:cs="Times New Roman"/>
          <w:sz w:val="24"/>
          <w:szCs w:val="24"/>
        </w:rPr>
        <w:t xml:space="preserve">The </w:t>
      </w:r>
      <w:r w:rsidR="00F764B1" w:rsidRPr="00625903">
        <w:rPr>
          <w:rFonts w:ascii="Times New Roman" w:hAnsi="Times New Roman" w:cs="Times New Roman"/>
          <w:bCs/>
          <w:sz w:val="24"/>
          <w:szCs w:val="24"/>
        </w:rPr>
        <w:t>OES</w:t>
      </w:r>
      <w:r w:rsidR="00F764B1" w:rsidRPr="00625903">
        <w:rPr>
          <w:rFonts w:ascii="Times New Roman" w:hAnsi="Times New Roman" w:cs="Times New Roman"/>
          <w:sz w:val="24"/>
          <w:szCs w:val="24"/>
        </w:rPr>
        <w:t> program produces employment and wage estimates (hourly and annual) for over 800 occupations</w:t>
      </w:r>
      <w:r w:rsidR="00F764B1">
        <w:rPr>
          <w:rFonts w:ascii="Times New Roman" w:hAnsi="Times New Roman" w:cs="Times New Roman"/>
          <w:sz w:val="24"/>
          <w:szCs w:val="24"/>
        </w:rPr>
        <w:t xml:space="preserve"> at both the </w:t>
      </w:r>
      <w:r w:rsidR="00F764B1" w:rsidRPr="00625903">
        <w:rPr>
          <w:rFonts w:ascii="Times New Roman" w:hAnsi="Times New Roman" w:cs="Times New Roman"/>
          <w:sz w:val="24"/>
          <w:szCs w:val="24"/>
        </w:rPr>
        <w:t xml:space="preserve">national and metropolitan </w:t>
      </w:r>
      <w:r w:rsidR="00F764B1">
        <w:rPr>
          <w:rFonts w:ascii="Times New Roman" w:hAnsi="Times New Roman" w:cs="Times New Roman"/>
          <w:sz w:val="24"/>
          <w:szCs w:val="24"/>
        </w:rPr>
        <w:t>level</w:t>
      </w:r>
      <w:r w:rsidR="006F6017">
        <w:rPr>
          <w:rFonts w:ascii="Times New Roman" w:hAnsi="Times New Roman" w:cs="Times New Roman"/>
          <w:sz w:val="24"/>
          <w:szCs w:val="24"/>
        </w:rPr>
        <w:t>,</w:t>
      </w:r>
      <w:r w:rsidR="00596C82">
        <w:rPr>
          <w:rStyle w:val="FootnoteReference"/>
          <w:rFonts w:ascii="Times New Roman" w:hAnsi="Times New Roman" w:cs="Times New Roman"/>
          <w:sz w:val="24"/>
          <w:szCs w:val="24"/>
        </w:rPr>
        <w:footnoteReference w:id="3"/>
      </w:r>
      <w:r w:rsidR="00F764B1" w:rsidRPr="00625903">
        <w:rPr>
          <w:rFonts w:ascii="Times New Roman" w:hAnsi="Times New Roman" w:cs="Times New Roman"/>
          <w:sz w:val="24"/>
          <w:szCs w:val="24"/>
        </w:rPr>
        <w:t xml:space="preserve"> </w:t>
      </w:r>
      <w:r w:rsidR="006F6017">
        <w:rPr>
          <w:rFonts w:ascii="Times New Roman" w:hAnsi="Times New Roman" w:cs="Times New Roman"/>
          <w:sz w:val="24"/>
          <w:szCs w:val="24"/>
        </w:rPr>
        <w:t xml:space="preserve">while the </w:t>
      </w:r>
      <w:r>
        <w:rPr>
          <w:rFonts w:ascii="Times New Roman" w:hAnsi="Times New Roman" w:cs="Times New Roman"/>
          <w:sz w:val="24"/>
          <w:szCs w:val="24"/>
        </w:rPr>
        <w:t xml:space="preserve">ACS provides information on place of work and state of residency. </w:t>
      </w:r>
    </w:p>
    <w:p w14:paraId="0C1C0574" w14:textId="32E99C42" w:rsidR="00F764B1" w:rsidRDefault="00596C82" w:rsidP="00F764B1">
      <w:pPr>
        <w:spacing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F764B1" w:rsidRPr="00625903">
        <w:rPr>
          <w:rFonts w:ascii="Times New Roman" w:hAnsi="Times New Roman" w:cs="Times New Roman"/>
          <w:sz w:val="24"/>
          <w:szCs w:val="24"/>
        </w:rPr>
        <w:t>e identify</w:t>
      </w:r>
      <w:r w:rsidR="006F6017">
        <w:rPr>
          <w:rFonts w:ascii="Times New Roman" w:hAnsi="Times New Roman" w:cs="Times New Roman"/>
          <w:sz w:val="24"/>
          <w:szCs w:val="24"/>
        </w:rPr>
        <w:t>, within</w:t>
      </w:r>
      <w:r w:rsidR="00F764B1" w:rsidRPr="00625903">
        <w:rPr>
          <w:rFonts w:ascii="Times New Roman" w:hAnsi="Times New Roman" w:cs="Times New Roman"/>
          <w:sz w:val="24"/>
          <w:szCs w:val="24"/>
        </w:rPr>
        <w:t xml:space="preserve"> </w:t>
      </w:r>
      <w:r w:rsidR="006F6017">
        <w:rPr>
          <w:rFonts w:ascii="Times New Roman" w:hAnsi="Times New Roman" w:cs="Times New Roman"/>
          <w:sz w:val="24"/>
          <w:szCs w:val="24"/>
        </w:rPr>
        <w:t>the roughly</w:t>
      </w:r>
      <w:r w:rsidR="00F764B1" w:rsidRPr="00625903">
        <w:rPr>
          <w:rFonts w:ascii="Times New Roman" w:hAnsi="Times New Roman" w:cs="Times New Roman"/>
          <w:sz w:val="24"/>
          <w:szCs w:val="24"/>
        </w:rPr>
        <w:t xml:space="preserve"> 800</w:t>
      </w:r>
      <w:r w:rsidR="006F6017">
        <w:rPr>
          <w:rFonts w:ascii="Times New Roman" w:hAnsi="Times New Roman" w:cs="Times New Roman"/>
          <w:sz w:val="24"/>
          <w:szCs w:val="24"/>
        </w:rPr>
        <w:t xml:space="preserve"> work</w:t>
      </w:r>
      <w:r w:rsidR="00F764B1" w:rsidRPr="00625903">
        <w:rPr>
          <w:rFonts w:ascii="Times New Roman" w:hAnsi="Times New Roman" w:cs="Times New Roman"/>
          <w:sz w:val="24"/>
          <w:szCs w:val="24"/>
        </w:rPr>
        <w:t xml:space="preserve"> occupations </w:t>
      </w:r>
      <w:r w:rsidR="006F6017">
        <w:rPr>
          <w:rFonts w:ascii="Times New Roman" w:hAnsi="Times New Roman" w:cs="Times New Roman"/>
          <w:sz w:val="24"/>
          <w:szCs w:val="24"/>
        </w:rPr>
        <w:t xml:space="preserve">in the District, </w:t>
      </w:r>
      <w:r w:rsidR="00F764B1" w:rsidRPr="00625903">
        <w:rPr>
          <w:rFonts w:ascii="Times New Roman" w:hAnsi="Times New Roman" w:cs="Times New Roman"/>
          <w:sz w:val="24"/>
          <w:szCs w:val="24"/>
        </w:rPr>
        <w:t xml:space="preserve">the number of </w:t>
      </w:r>
      <w:r w:rsidR="00DA52CC">
        <w:rPr>
          <w:rFonts w:ascii="Times New Roman" w:hAnsi="Times New Roman" w:cs="Times New Roman"/>
          <w:sz w:val="24"/>
          <w:szCs w:val="24"/>
        </w:rPr>
        <w:t>jobs</w:t>
      </w:r>
      <w:r w:rsidR="00F764B1" w:rsidRPr="00625903">
        <w:rPr>
          <w:rFonts w:ascii="Times New Roman" w:hAnsi="Times New Roman" w:cs="Times New Roman"/>
          <w:sz w:val="24"/>
          <w:szCs w:val="24"/>
        </w:rPr>
        <w:t xml:space="preserve"> </w:t>
      </w:r>
      <w:r w:rsidR="007978D1">
        <w:rPr>
          <w:rFonts w:ascii="Times New Roman" w:hAnsi="Times New Roman" w:cs="Times New Roman"/>
          <w:sz w:val="24"/>
          <w:szCs w:val="24"/>
        </w:rPr>
        <w:t>that</w:t>
      </w:r>
      <w:r w:rsidR="007978D1" w:rsidRPr="00625903">
        <w:rPr>
          <w:rFonts w:ascii="Times New Roman" w:hAnsi="Times New Roman" w:cs="Times New Roman"/>
          <w:sz w:val="24"/>
          <w:szCs w:val="24"/>
        </w:rPr>
        <w:t xml:space="preserve"> </w:t>
      </w:r>
      <w:r w:rsidR="00F764B1" w:rsidRPr="00625903">
        <w:rPr>
          <w:rFonts w:ascii="Times New Roman" w:hAnsi="Times New Roman" w:cs="Times New Roman"/>
          <w:sz w:val="24"/>
          <w:szCs w:val="24"/>
        </w:rPr>
        <w:t xml:space="preserve">are </w:t>
      </w:r>
      <w:r w:rsidR="00F764B1">
        <w:rPr>
          <w:rFonts w:ascii="Times New Roman" w:hAnsi="Times New Roman" w:cs="Times New Roman"/>
          <w:sz w:val="24"/>
          <w:szCs w:val="24"/>
        </w:rPr>
        <w:t xml:space="preserve">likely </w:t>
      </w:r>
      <w:r w:rsidR="006F6017">
        <w:rPr>
          <w:rFonts w:ascii="Times New Roman" w:hAnsi="Times New Roman" w:cs="Times New Roman"/>
          <w:sz w:val="24"/>
          <w:szCs w:val="24"/>
        </w:rPr>
        <w:t>impacted</w:t>
      </w:r>
      <w:r w:rsidR="00F764B1" w:rsidRPr="00625903">
        <w:rPr>
          <w:rFonts w:ascii="Times New Roman" w:hAnsi="Times New Roman" w:cs="Times New Roman"/>
          <w:sz w:val="24"/>
          <w:szCs w:val="24"/>
        </w:rPr>
        <w:t xml:space="preserve"> from raising the minimum wage to $15 an hour. </w:t>
      </w:r>
      <w:r w:rsidR="00434FF9">
        <w:rPr>
          <w:rFonts w:ascii="Times New Roman" w:hAnsi="Times New Roman" w:cs="Times New Roman"/>
          <w:sz w:val="24"/>
          <w:szCs w:val="24"/>
        </w:rPr>
        <w:t>We estimate that</w:t>
      </w:r>
      <w:r w:rsidR="006F6017">
        <w:rPr>
          <w:rFonts w:ascii="Times New Roman" w:hAnsi="Times New Roman" w:cs="Times New Roman"/>
          <w:sz w:val="24"/>
          <w:szCs w:val="24"/>
        </w:rPr>
        <w:t xml:space="preserve">, in 2014, </w:t>
      </w:r>
      <w:r w:rsidR="00F764B1" w:rsidRPr="00625903">
        <w:rPr>
          <w:rFonts w:ascii="Times New Roman" w:hAnsi="Times New Roman" w:cs="Times New Roman"/>
          <w:sz w:val="24"/>
          <w:szCs w:val="24"/>
        </w:rPr>
        <w:t>127,299 jobs in DC</w:t>
      </w:r>
      <w:r w:rsidR="006F6017">
        <w:rPr>
          <w:rFonts w:ascii="Times New Roman" w:hAnsi="Times New Roman" w:cs="Times New Roman"/>
          <w:sz w:val="24"/>
          <w:szCs w:val="24"/>
        </w:rPr>
        <w:t xml:space="preserve"> </w:t>
      </w:r>
      <w:r w:rsidR="00F764B1" w:rsidRPr="00625903">
        <w:rPr>
          <w:rFonts w:ascii="Times New Roman" w:hAnsi="Times New Roman" w:cs="Times New Roman"/>
          <w:sz w:val="24"/>
          <w:szCs w:val="24"/>
        </w:rPr>
        <w:t>pay $1</w:t>
      </w:r>
      <w:r w:rsidR="00C11EC0">
        <w:rPr>
          <w:rFonts w:ascii="Times New Roman" w:hAnsi="Times New Roman" w:cs="Times New Roman"/>
          <w:sz w:val="24"/>
          <w:szCs w:val="24"/>
        </w:rPr>
        <w:t>5</w:t>
      </w:r>
      <w:r w:rsidR="00F764B1" w:rsidRPr="00625903">
        <w:rPr>
          <w:rFonts w:ascii="Times New Roman" w:hAnsi="Times New Roman" w:cs="Times New Roman"/>
          <w:sz w:val="24"/>
          <w:szCs w:val="24"/>
        </w:rPr>
        <w:t xml:space="preserve"> per hour or less, accounting for about 18.8 percent of the District’s overall employment base.</w:t>
      </w:r>
      <w:r w:rsidR="00232BB6" w:rsidRPr="00B624CD">
        <w:rPr>
          <w:rStyle w:val="FootnoteReference"/>
          <w:rFonts w:ascii="Times New Roman" w:hAnsi="Times New Roman" w:cs="Times New Roman"/>
          <w:sz w:val="24"/>
          <w:szCs w:val="24"/>
        </w:rPr>
        <w:footnoteReference w:id="4"/>
      </w:r>
    </w:p>
    <w:p w14:paraId="2A09F754" w14:textId="342FBED7" w:rsidR="00F764B1" w:rsidRDefault="00434FF9">
      <w:pPr>
        <w:spacing w:line="480" w:lineRule="auto"/>
        <w:ind w:firstLine="720"/>
        <w:rPr>
          <w:rFonts w:ascii="Times New Roman" w:hAnsi="Times New Roman" w:cs="Times New Roman"/>
          <w:sz w:val="24"/>
          <w:szCs w:val="24"/>
        </w:rPr>
      </w:pPr>
      <w:r>
        <w:rPr>
          <w:rFonts w:ascii="Times New Roman" w:hAnsi="Times New Roman" w:cs="Times New Roman"/>
          <w:sz w:val="24"/>
          <w:szCs w:val="24"/>
        </w:rPr>
        <w:t>S</w:t>
      </w:r>
      <w:r w:rsidR="00F764B1" w:rsidRPr="00625903">
        <w:rPr>
          <w:rFonts w:ascii="Times New Roman" w:hAnsi="Times New Roman" w:cs="Times New Roman"/>
          <w:sz w:val="24"/>
          <w:szCs w:val="24"/>
        </w:rPr>
        <w:t xml:space="preserve">tudies have shown that employers typically increase the wages of workers </w:t>
      </w:r>
      <w:r w:rsidR="00F764B1">
        <w:rPr>
          <w:rFonts w:ascii="Times New Roman" w:hAnsi="Times New Roman" w:cs="Times New Roman"/>
          <w:sz w:val="24"/>
          <w:szCs w:val="24"/>
        </w:rPr>
        <w:t xml:space="preserve">earning </w:t>
      </w:r>
      <w:r w:rsidR="00F764B1" w:rsidRPr="00625903">
        <w:rPr>
          <w:rFonts w:ascii="Times New Roman" w:hAnsi="Times New Roman" w:cs="Times New Roman"/>
          <w:sz w:val="24"/>
          <w:szCs w:val="24"/>
        </w:rPr>
        <w:t xml:space="preserve">slightly above </w:t>
      </w:r>
      <w:r w:rsidR="00190159">
        <w:rPr>
          <w:rFonts w:ascii="Times New Roman" w:hAnsi="Times New Roman" w:cs="Times New Roman"/>
          <w:sz w:val="24"/>
          <w:szCs w:val="24"/>
        </w:rPr>
        <w:t>a</w:t>
      </w:r>
      <w:r w:rsidR="00190159" w:rsidRPr="00625903">
        <w:rPr>
          <w:rFonts w:ascii="Times New Roman" w:hAnsi="Times New Roman" w:cs="Times New Roman"/>
          <w:sz w:val="24"/>
          <w:szCs w:val="24"/>
        </w:rPr>
        <w:t xml:space="preserve"> </w:t>
      </w:r>
      <w:r w:rsidR="00F764B1" w:rsidRPr="00625903">
        <w:rPr>
          <w:rFonts w:ascii="Times New Roman" w:hAnsi="Times New Roman" w:cs="Times New Roman"/>
          <w:sz w:val="24"/>
          <w:szCs w:val="24"/>
        </w:rPr>
        <w:t>new</w:t>
      </w:r>
      <w:r w:rsidR="00190159">
        <w:rPr>
          <w:rFonts w:ascii="Times New Roman" w:hAnsi="Times New Roman" w:cs="Times New Roman"/>
          <w:sz w:val="24"/>
          <w:szCs w:val="24"/>
        </w:rPr>
        <w:t xml:space="preserve">, higher </w:t>
      </w:r>
      <w:r w:rsidR="00F764B1" w:rsidRPr="00625903">
        <w:rPr>
          <w:rFonts w:ascii="Times New Roman" w:hAnsi="Times New Roman" w:cs="Times New Roman"/>
          <w:sz w:val="24"/>
          <w:szCs w:val="24"/>
        </w:rPr>
        <w:t>minimum wage to reduce wage compression</w:t>
      </w:r>
      <w:r w:rsidR="00B73453">
        <w:rPr>
          <w:rFonts w:ascii="Times New Roman" w:hAnsi="Times New Roman" w:cs="Times New Roman"/>
          <w:sz w:val="24"/>
          <w:szCs w:val="24"/>
        </w:rPr>
        <w:t xml:space="preserve"> </w:t>
      </w:r>
      <w:r w:rsidR="00BC7AC8" w:rsidRPr="00625903">
        <w:rPr>
          <w:rFonts w:ascii="Times New Roman" w:hAnsi="Times New Roman" w:cs="Times New Roman"/>
          <w:sz w:val="24"/>
          <w:szCs w:val="24"/>
        </w:rPr>
        <w:t>(</w:t>
      </w:r>
      <w:proofErr w:type="spellStart"/>
      <w:r w:rsidR="00BC7AC8" w:rsidRPr="00625903">
        <w:rPr>
          <w:rFonts w:ascii="Times New Roman" w:hAnsi="Times New Roman" w:cs="Times New Roman"/>
          <w:sz w:val="24"/>
          <w:szCs w:val="24"/>
        </w:rPr>
        <w:t>Lopresti</w:t>
      </w:r>
      <w:proofErr w:type="spellEnd"/>
      <w:r w:rsidR="00BC7AC8" w:rsidRPr="00625903">
        <w:rPr>
          <w:rFonts w:ascii="Times New Roman" w:hAnsi="Times New Roman" w:cs="Times New Roman"/>
          <w:sz w:val="24"/>
          <w:szCs w:val="24"/>
        </w:rPr>
        <w:t xml:space="preserve"> et. al 2015; </w:t>
      </w:r>
      <w:proofErr w:type="spellStart"/>
      <w:r w:rsidR="00BC7AC8" w:rsidRPr="00625903">
        <w:rPr>
          <w:rFonts w:ascii="Times New Roman" w:hAnsi="Times New Roman" w:cs="Times New Roman"/>
          <w:sz w:val="24"/>
          <w:szCs w:val="24"/>
        </w:rPr>
        <w:lastRenderedPageBreak/>
        <w:t>Dube</w:t>
      </w:r>
      <w:proofErr w:type="spellEnd"/>
      <w:r w:rsidR="00BC7AC8" w:rsidRPr="00625903">
        <w:rPr>
          <w:rFonts w:ascii="Times New Roman" w:hAnsi="Times New Roman" w:cs="Times New Roman"/>
          <w:sz w:val="24"/>
          <w:szCs w:val="24"/>
        </w:rPr>
        <w:t xml:space="preserve"> 2013)</w:t>
      </w:r>
      <w:r w:rsidR="00F764B1">
        <w:rPr>
          <w:rFonts w:ascii="Times New Roman" w:hAnsi="Times New Roman" w:cs="Times New Roman"/>
          <w:sz w:val="24"/>
          <w:szCs w:val="24"/>
        </w:rPr>
        <w:t>. W</w:t>
      </w:r>
      <w:r w:rsidR="00F764B1" w:rsidRPr="00625903">
        <w:rPr>
          <w:rFonts w:ascii="Times New Roman" w:hAnsi="Times New Roman" w:cs="Times New Roman"/>
          <w:sz w:val="24"/>
          <w:szCs w:val="24"/>
        </w:rPr>
        <w:t>e therefore include jobs with wage</w:t>
      </w:r>
      <w:r w:rsidR="00190159">
        <w:rPr>
          <w:rFonts w:ascii="Times New Roman" w:hAnsi="Times New Roman" w:cs="Times New Roman"/>
          <w:sz w:val="24"/>
          <w:szCs w:val="24"/>
        </w:rPr>
        <w:t>s</w:t>
      </w:r>
      <w:r w:rsidR="00F764B1" w:rsidRPr="00625903">
        <w:rPr>
          <w:rFonts w:ascii="Times New Roman" w:hAnsi="Times New Roman" w:cs="Times New Roman"/>
          <w:sz w:val="24"/>
          <w:szCs w:val="24"/>
        </w:rPr>
        <w:t xml:space="preserve"> slightly above the </w:t>
      </w:r>
      <w:r w:rsidR="00190159">
        <w:rPr>
          <w:rFonts w:ascii="Times New Roman" w:hAnsi="Times New Roman" w:cs="Times New Roman"/>
          <w:sz w:val="24"/>
          <w:szCs w:val="24"/>
        </w:rPr>
        <w:t xml:space="preserve">new $15 </w:t>
      </w:r>
      <w:r w:rsidR="00F764B1" w:rsidRPr="00625903">
        <w:rPr>
          <w:rFonts w:ascii="Times New Roman" w:hAnsi="Times New Roman" w:cs="Times New Roman"/>
          <w:sz w:val="24"/>
          <w:szCs w:val="24"/>
        </w:rPr>
        <w:t xml:space="preserve">minimum </w:t>
      </w:r>
      <w:r w:rsidR="004B3FD7">
        <w:rPr>
          <w:rFonts w:ascii="Times New Roman" w:hAnsi="Times New Roman" w:cs="Times New Roman"/>
          <w:sz w:val="24"/>
          <w:szCs w:val="24"/>
        </w:rPr>
        <w:t xml:space="preserve">hourly </w:t>
      </w:r>
      <w:r w:rsidR="00F764B1" w:rsidRPr="00625903">
        <w:rPr>
          <w:rFonts w:ascii="Times New Roman" w:hAnsi="Times New Roman" w:cs="Times New Roman"/>
          <w:sz w:val="24"/>
          <w:szCs w:val="24"/>
        </w:rPr>
        <w:t xml:space="preserve">wage </w:t>
      </w:r>
      <w:r w:rsidR="004B3FD7">
        <w:rPr>
          <w:rFonts w:ascii="Times New Roman" w:hAnsi="Times New Roman" w:cs="Times New Roman"/>
          <w:sz w:val="24"/>
          <w:szCs w:val="24"/>
        </w:rPr>
        <w:t xml:space="preserve">rate </w:t>
      </w:r>
      <w:r w:rsidR="00F764B1" w:rsidRPr="00625903">
        <w:rPr>
          <w:rFonts w:ascii="Times New Roman" w:hAnsi="Times New Roman" w:cs="Times New Roman"/>
          <w:sz w:val="24"/>
          <w:szCs w:val="24"/>
        </w:rPr>
        <w:t xml:space="preserve">to allow for these “spillover effects” of minimum wage </w:t>
      </w:r>
      <w:r w:rsidR="006F6017">
        <w:rPr>
          <w:rFonts w:ascii="Times New Roman" w:hAnsi="Times New Roman" w:cs="Times New Roman"/>
          <w:sz w:val="24"/>
          <w:szCs w:val="24"/>
        </w:rPr>
        <w:t>hikes</w:t>
      </w:r>
      <w:r w:rsidR="00F764B1" w:rsidRPr="00625903">
        <w:rPr>
          <w:rFonts w:ascii="Times New Roman" w:hAnsi="Times New Roman" w:cs="Times New Roman"/>
          <w:sz w:val="24"/>
          <w:szCs w:val="24"/>
        </w:rPr>
        <w:t xml:space="preserve">. We allow for a $3 spillover effect, </w:t>
      </w:r>
      <w:r w:rsidR="00C11EC0">
        <w:rPr>
          <w:rFonts w:ascii="Times New Roman" w:hAnsi="Times New Roman" w:cs="Times New Roman"/>
          <w:sz w:val="24"/>
          <w:szCs w:val="24"/>
        </w:rPr>
        <w:t xml:space="preserve">which </w:t>
      </w:r>
      <w:r w:rsidR="00B73453">
        <w:rPr>
          <w:rFonts w:ascii="Times New Roman" w:hAnsi="Times New Roman" w:cs="Times New Roman"/>
          <w:sz w:val="24"/>
          <w:szCs w:val="24"/>
        </w:rPr>
        <w:t xml:space="preserve">arguably </w:t>
      </w:r>
      <w:r w:rsidR="00F764B1">
        <w:rPr>
          <w:rFonts w:ascii="Times New Roman" w:hAnsi="Times New Roman" w:cs="Times New Roman"/>
          <w:sz w:val="24"/>
          <w:szCs w:val="24"/>
        </w:rPr>
        <w:t xml:space="preserve">helps </w:t>
      </w:r>
      <w:r w:rsidR="00DB36C4">
        <w:rPr>
          <w:rFonts w:ascii="Times New Roman" w:hAnsi="Times New Roman" w:cs="Times New Roman"/>
          <w:sz w:val="24"/>
          <w:szCs w:val="24"/>
        </w:rPr>
        <w:t>maintain</w:t>
      </w:r>
      <w:r w:rsidR="00B73453">
        <w:rPr>
          <w:rFonts w:ascii="Times New Roman" w:hAnsi="Times New Roman" w:cs="Times New Roman"/>
          <w:sz w:val="24"/>
          <w:szCs w:val="24"/>
        </w:rPr>
        <w:t xml:space="preserve"> </w:t>
      </w:r>
      <w:r w:rsidR="00F764B1" w:rsidRPr="00625903">
        <w:rPr>
          <w:rFonts w:ascii="Times New Roman" w:hAnsi="Times New Roman" w:cs="Times New Roman"/>
          <w:sz w:val="24"/>
          <w:szCs w:val="24"/>
        </w:rPr>
        <w:t>within-firm wage differentials commensurate with differences in</w:t>
      </w:r>
      <w:r>
        <w:rPr>
          <w:rFonts w:ascii="Times New Roman" w:hAnsi="Times New Roman" w:cs="Times New Roman"/>
          <w:sz w:val="24"/>
          <w:szCs w:val="24"/>
        </w:rPr>
        <w:t xml:space="preserve"> factors such as </w:t>
      </w:r>
      <w:r w:rsidR="00F764B1" w:rsidRPr="00625903">
        <w:rPr>
          <w:rFonts w:ascii="Times New Roman" w:hAnsi="Times New Roman" w:cs="Times New Roman"/>
          <w:sz w:val="24"/>
          <w:szCs w:val="24"/>
        </w:rPr>
        <w:t>experience</w:t>
      </w:r>
      <w:r>
        <w:rPr>
          <w:rFonts w:ascii="Times New Roman" w:hAnsi="Times New Roman" w:cs="Times New Roman"/>
          <w:sz w:val="24"/>
          <w:szCs w:val="24"/>
        </w:rPr>
        <w:t>,</w:t>
      </w:r>
      <w:r w:rsidR="00F764B1" w:rsidRPr="00625903">
        <w:rPr>
          <w:rFonts w:ascii="Times New Roman" w:hAnsi="Times New Roman" w:cs="Times New Roman"/>
          <w:sz w:val="24"/>
          <w:szCs w:val="24"/>
        </w:rPr>
        <w:t xml:space="preserve"> seniority, educational attainment, and productivity. </w:t>
      </w:r>
      <w:r w:rsidR="000D66B8" w:rsidRPr="00625903">
        <w:rPr>
          <w:rFonts w:ascii="Times New Roman" w:hAnsi="Times New Roman" w:cs="Times New Roman"/>
          <w:sz w:val="24"/>
          <w:szCs w:val="24"/>
        </w:rPr>
        <w:t xml:space="preserve">The distribution of </w:t>
      </w:r>
      <w:r w:rsidR="000D66B8">
        <w:rPr>
          <w:rFonts w:ascii="Times New Roman" w:hAnsi="Times New Roman" w:cs="Times New Roman"/>
          <w:sz w:val="24"/>
          <w:szCs w:val="24"/>
        </w:rPr>
        <w:t xml:space="preserve">the 167,419 city jobs </w:t>
      </w:r>
      <w:r w:rsidR="006F6017">
        <w:rPr>
          <w:rFonts w:ascii="Times New Roman" w:hAnsi="Times New Roman" w:cs="Times New Roman"/>
          <w:sz w:val="24"/>
          <w:szCs w:val="24"/>
        </w:rPr>
        <w:t xml:space="preserve">impacted </w:t>
      </w:r>
      <w:r w:rsidR="000D66B8">
        <w:rPr>
          <w:rFonts w:ascii="Times New Roman" w:hAnsi="Times New Roman" w:cs="Times New Roman"/>
          <w:sz w:val="24"/>
          <w:szCs w:val="24"/>
        </w:rPr>
        <w:t xml:space="preserve">by the $15 MWP </w:t>
      </w:r>
      <w:r w:rsidR="006F6017">
        <w:rPr>
          <w:rFonts w:ascii="Times New Roman" w:hAnsi="Times New Roman" w:cs="Times New Roman"/>
          <w:sz w:val="24"/>
          <w:szCs w:val="24"/>
        </w:rPr>
        <w:t xml:space="preserve">are shown in Table 1, </w:t>
      </w:r>
      <w:r w:rsidR="000D66B8">
        <w:rPr>
          <w:rFonts w:ascii="Times New Roman" w:hAnsi="Times New Roman" w:cs="Times New Roman"/>
          <w:sz w:val="24"/>
          <w:szCs w:val="24"/>
        </w:rPr>
        <w:t xml:space="preserve">according to </w:t>
      </w:r>
      <w:r w:rsidR="000D66B8" w:rsidRPr="00625903">
        <w:rPr>
          <w:rFonts w:ascii="Times New Roman" w:hAnsi="Times New Roman" w:cs="Times New Roman"/>
          <w:sz w:val="24"/>
          <w:szCs w:val="24"/>
        </w:rPr>
        <w:t xml:space="preserve">their 2-digit </w:t>
      </w:r>
      <w:r w:rsidR="000D66B8" w:rsidRPr="00695725">
        <w:rPr>
          <w:rFonts w:ascii="Times New Roman" w:hAnsi="Times New Roman" w:cs="Times New Roman"/>
          <w:sz w:val="24"/>
          <w:szCs w:val="24"/>
        </w:rPr>
        <w:t>Standard Occupational Classification (SOC) occupations</w:t>
      </w:r>
      <w:r w:rsidR="000D66B8" w:rsidRPr="00625903">
        <w:rPr>
          <w:rFonts w:ascii="Times New Roman" w:hAnsi="Times New Roman" w:cs="Times New Roman"/>
          <w:sz w:val="24"/>
          <w:szCs w:val="24"/>
        </w:rPr>
        <w:t>.</w:t>
      </w:r>
      <w:r w:rsidR="000D66B8">
        <w:rPr>
          <w:rStyle w:val="FootnoteReference"/>
          <w:rFonts w:ascii="Times New Roman" w:hAnsi="Times New Roman" w:cs="Times New Roman"/>
          <w:sz w:val="24"/>
          <w:szCs w:val="24"/>
        </w:rPr>
        <w:footnoteReference w:id="5"/>
      </w:r>
    </w:p>
    <w:p w14:paraId="0643E307" w14:textId="77777777" w:rsidR="000B58AF" w:rsidRPr="00AA108E" w:rsidRDefault="005C733D" w:rsidP="00921D4A">
      <w:pPr>
        <w:spacing w:line="480" w:lineRule="auto"/>
        <w:rPr>
          <w:rFonts w:ascii="Times New Roman" w:hAnsi="Times New Roman" w:cs="Times New Roman"/>
          <w:sz w:val="24"/>
          <w:szCs w:val="24"/>
        </w:rPr>
      </w:pPr>
      <w:r w:rsidRPr="00AA108E">
        <w:rPr>
          <w:rFonts w:ascii="Times New Roman" w:hAnsi="Times New Roman" w:cs="Times New Roman"/>
          <w:i/>
          <w:sz w:val="24"/>
          <w:szCs w:val="24"/>
        </w:rPr>
        <w:t>Wage and Salary Data by Industry</w:t>
      </w:r>
    </w:p>
    <w:p w14:paraId="7569404F" w14:textId="5B868223" w:rsidR="005B56FD" w:rsidRDefault="009C6EAF" w:rsidP="005B56FD">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Since the data </w:t>
      </w:r>
      <w:r w:rsidR="00F21165">
        <w:rPr>
          <w:rFonts w:ascii="Times New Roman" w:hAnsi="Times New Roman" w:cs="Times New Roman"/>
          <w:sz w:val="24"/>
          <w:szCs w:val="24"/>
        </w:rPr>
        <w:t xml:space="preserve">used </w:t>
      </w:r>
      <w:r w:rsidR="005E6DC2">
        <w:rPr>
          <w:rFonts w:ascii="Times New Roman" w:hAnsi="Times New Roman" w:cs="Times New Roman"/>
          <w:sz w:val="24"/>
          <w:szCs w:val="24"/>
        </w:rPr>
        <w:t xml:space="preserve">within the CGE model </w:t>
      </w:r>
      <w:r>
        <w:rPr>
          <w:rFonts w:ascii="Times New Roman" w:hAnsi="Times New Roman" w:cs="Times New Roman"/>
          <w:sz w:val="24"/>
          <w:szCs w:val="24"/>
        </w:rPr>
        <w:t xml:space="preserve">is </w:t>
      </w:r>
      <w:r w:rsidR="005E6DC2">
        <w:rPr>
          <w:rFonts w:ascii="Times New Roman" w:hAnsi="Times New Roman" w:cs="Times New Roman"/>
          <w:sz w:val="24"/>
          <w:szCs w:val="24"/>
        </w:rPr>
        <w:t xml:space="preserve">at the </w:t>
      </w:r>
      <w:r>
        <w:rPr>
          <w:rFonts w:ascii="Times New Roman" w:hAnsi="Times New Roman" w:cs="Times New Roman"/>
          <w:sz w:val="24"/>
          <w:szCs w:val="24"/>
        </w:rPr>
        <w:t>industr</w:t>
      </w:r>
      <w:r w:rsidR="005E6DC2">
        <w:rPr>
          <w:rFonts w:ascii="Times New Roman" w:hAnsi="Times New Roman" w:cs="Times New Roman"/>
          <w:sz w:val="24"/>
          <w:szCs w:val="24"/>
        </w:rPr>
        <w:t>y level,</w:t>
      </w:r>
      <w:r>
        <w:rPr>
          <w:rFonts w:ascii="Times New Roman" w:hAnsi="Times New Roman" w:cs="Times New Roman"/>
          <w:sz w:val="24"/>
          <w:szCs w:val="24"/>
        </w:rPr>
        <w:t xml:space="preserve"> and not occupation, t</w:t>
      </w:r>
      <w:r w:rsidR="005B56FD" w:rsidRPr="00B624CD">
        <w:rPr>
          <w:rFonts w:ascii="Times New Roman" w:hAnsi="Times New Roman" w:cs="Times New Roman"/>
          <w:sz w:val="24"/>
          <w:szCs w:val="24"/>
        </w:rPr>
        <w:t xml:space="preserve">he </w:t>
      </w:r>
      <w:r w:rsidR="005B56FD">
        <w:rPr>
          <w:rFonts w:ascii="Times New Roman" w:hAnsi="Times New Roman" w:cs="Times New Roman"/>
          <w:sz w:val="24"/>
          <w:szCs w:val="24"/>
        </w:rPr>
        <w:t xml:space="preserve">occupational </w:t>
      </w:r>
      <w:r w:rsidR="005B56FD" w:rsidRPr="00B624CD">
        <w:rPr>
          <w:rFonts w:ascii="Times New Roman" w:hAnsi="Times New Roman" w:cs="Times New Roman"/>
          <w:sz w:val="24"/>
          <w:szCs w:val="24"/>
        </w:rPr>
        <w:t xml:space="preserve">impacts </w:t>
      </w:r>
      <w:r w:rsidR="005B56FD">
        <w:rPr>
          <w:rFonts w:ascii="Times New Roman" w:hAnsi="Times New Roman" w:cs="Times New Roman"/>
          <w:sz w:val="24"/>
          <w:szCs w:val="24"/>
        </w:rPr>
        <w:t xml:space="preserve">from Table </w:t>
      </w:r>
      <w:r w:rsidR="00190159">
        <w:rPr>
          <w:rFonts w:ascii="Times New Roman" w:hAnsi="Times New Roman" w:cs="Times New Roman"/>
          <w:sz w:val="24"/>
          <w:szCs w:val="24"/>
        </w:rPr>
        <w:t xml:space="preserve">1 </w:t>
      </w:r>
      <w:r w:rsidR="005E6DC2">
        <w:rPr>
          <w:rFonts w:ascii="Times New Roman" w:hAnsi="Times New Roman" w:cs="Times New Roman"/>
          <w:sz w:val="24"/>
          <w:szCs w:val="24"/>
        </w:rPr>
        <w:t>are</w:t>
      </w:r>
      <w:r w:rsidR="005E6DC2" w:rsidRPr="00B624CD">
        <w:rPr>
          <w:rFonts w:ascii="Times New Roman" w:hAnsi="Times New Roman" w:cs="Times New Roman"/>
          <w:sz w:val="24"/>
          <w:szCs w:val="24"/>
        </w:rPr>
        <w:t xml:space="preserve"> </w:t>
      </w:r>
      <w:r w:rsidR="005B56FD" w:rsidRPr="00B624CD">
        <w:rPr>
          <w:rFonts w:ascii="Times New Roman" w:hAnsi="Times New Roman" w:cs="Times New Roman"/>
          <w:sz w:val="24"/>
          <w:szCs w:val="24"/>
        </w:rPr>
        <w:t xml:space="preserve">converted to </w:t>
      </w:r>
      <w:r w:rsidR="00F21165">
        <w:rPr>
          <w:rFonts w:ascii="Times New Roman" w:hAnsi="Times New Roman" w:cs="Times New Roman"/>
          <w:sz w:val="24"/>
          <w:szCs w:val="24"/>
        </w:rPr>
        <w:t xml:space="preserve">comparable </w:t>
      </w:r>
      <w:r w:rsidR="005B56FD" w:rsidRPr="00B624CD">
        <w:rPr>
          <w:rFonts w:ascii="Times New Roman" w:hAnsi="Times New Roman" w:cs="Times New Roman"/>
          <w:sz w:val="24"/>
          <w:szCs w:val="24"/>
        </w:rPr>
        <w:t>industr</w:t>
      </w:r>
      <w:r w:rsidR="005B56FD">
        <w:rPr>
          <w:rFonts w:ascii="Times New Roman" w:hAnsi="Times New Roman" w:cs="Times New Roman"/>
          <w:sz w:val="24"/>
          <w:szCs w:val="24"/>
        </w:rPr>
        <w:t>y</w:t>
      </w:r>
      <w:r w:rsidR="005B56FD" w:rsidRPr="00B624CD">
        <w:rPr>
          <w:rFonts w:ascii="Times New Roman" w:hAnsi="Times New Roman" w:cs="Times New Roman"/>
          <w:sz w:val="24"/>
          <w:szCs w:val="24"/>
        </w:rPr>
        <w:t xml:space="preserve"> impacts using the National Industry-Occupation Employment Matrix.</w:t>
      </w:r>
      <w:r w:rsidR="00190159">
        <w:rPr>
          <w:rStyle w:val="FootnoteReference"/>
          <w:rFonts w:ascii="Times New Roman" w:hAnsi="Times New Roman" w:cs="Times New Roman"/>
          <w:sz w:val="24"/>
          <w:szCs w:val="24"/>
        </w:rPr>
        <w:footnoteReference w:id="6"/>
      </w:r>
      <w:r w:rsidR="005B56FD" w:rsidRPr="00B624CD">
        <w:rPr>
          <w:rFonts w:ascii="Times New Roman" w:hAnsi="Times New Roman" w:cs="Times New Roman"/>
          <w:sz w:val="24"/>
          <w:szCs w:val="24"/>
        </w:rPr>
        <w:t xml:space="preserve"> </w:t>
      </w:r>
      <w:r w:rsidR="005B56FD">
        <w:rPr>
          <w:rFonts w:ascii="Times New Roman" w:hAnsi="Times New Roman" w:cs="Times New Roman"/>
          <w:sz w:val="24"/>
          <w:szCs w:val="24"/>
        </w:rPr>
        <w:t>Using</w:t>
      </w:r>
      <w:r w:rsidR="005B56FD" w:rsidRPr="00B624CD">
        <w:rPr>
          <w:rFonts w:ascii="Times New Roman" w:hAnsi="Times New Roman" w:cs="Times New Roman"/>
          <w:sz w:val="24"/>
          <w:szCs w:val="24"/>
        </w:rPr>
        <w:t xml:space="preserve"> the matrix, we </w:t>
      </w:r>
      <w:r w:rsidR="00DB1BFB">
        <w:rPr>
          <w:rFonts w:ascii="Times New Roman" w:hAnsi="Times New Roman" w:cs="Times New Roman"/>
          <w:sz w:val="24"/>
          <w:szCs w:val="24"/>
        </w:rPr>
        <w:t>estimate</w:t>
      </w:r>
      <w:r w:rsidR="005B56FD">
        <w:rPr>
          <w:rFonts w:ascii="Times New Roman" w:hAnsi="Times New Roman" w:cs="Times New Roman"/>
          <w:sz w:val="24"/>
          <w:szCs w:val="24"/>
        </w:rPr>
        <w:t xml:space="preserve"> the 2014 total wages for every job with an estimated hourly wage of no more than $18 in terms of the seventy-one (71)</w:t>
      </w:r>
      <w:r w:rsidR="005B56FD" w:rsidRPr="00B624CD">
        <w:rPr>
          <w:rFonts w:ascii="Times New Roman" w:hAnsi="Times New Roman" w:cs="Times New Roman"/>
          <w:sz w:val="24"/>
          <w:szCs w:val="24"/>
        </w:rPr>
        <w:t xml:space="preserve"> 3-digit NAICS industries</w:t>
      </w:r>
      <w:r w:rsidR="005B56FD">
        <w:rPr>
          <w:rFonts w:ascii="Times New Roman" w:hAnsi="Times New Roman" w:cs="Times New Roman"/>
          <w:sz w:val="24"/>
          <w:szCs w:val="24"/>
        </w:rPr>
        <w:t xml:space="preserve">. </w:t>
      </w:r>
      <w:r w:rsidR="00DB1BFB">
        <w:rPr>
          <w:rFonts w:ascii="Times New Roman" w:hAnsi="Times New Roman" w:cs="Times New Roman"/>
          <w:sz w:val="24"/>
          <w:szCs w:val="24"/>
        </w:rPr>
        <w:t xml:space="preserve">Figure 1 shows the </w:t>
      </w:r>
      <w:r w:rsidR="005E6DC2">
        <w:rPr>
          <w:rFonts w:ascii="Times New Roman" w:hAnsi="Times New Roman" w:cs="Times New Roman"/>
          <w:sz w:val="24"/>
          <w:szCs w:val="24"/>
        </w:rPr>
        <w:t xml:space="preserve">distribution of </w:t>
      </w:r>
      <w:r w:rsidR="00F4325B">
        <w:rPr>
          <w:rFonts w:ascii="Times New Roman" w:hAnsi="Times New Roman" w:cs="Times New Roman"/>
          <w:sz w:val="24"/>
          <w:szCs w:val="24"/>
        </w:rPr>
        <w:t>higher minimum wages in the city in 20</w:t>
      </w:r>
      <w:r>
        <w:rPr>
          <w:rFonts w:ascii="Times New Roman" w:hAnsi="Times New Roman" w:cs="Times New Roman"/>
          <w:sz w:val="24"/>
          <w:szCs w:val="24"/>
        </w:rPr>
        <w:t>14</w:t>
      </w:r>
      <w:r w:rsidR="00F4325B">
        <w:rPr>
          <w:rFonts w:ascii="Times New Roman" w:hAnsi="Times New Roman" w:cs="Times New Roman"/>
          <w:sz w:val="24"/>
          <w:szCs w:val="24"/>
        </w:rPr>
        <w:t xml:space="preserve"> </w:t>
      </w:r>
      <w:r w:rsidR="005E6DC2">
        <w:rPr>
          <w:rFonts w:ascii="Times New Roman" w:hAnsi="Times New Roman" w:cs="Times New Roman"/>
          <w:sz w:val="24"/>
          <w:szCs w:val="24"/>
        </w:rPr>
        <w:t>across industries</w:t>
      </w:r>
      <w:r w:rsidR="00F4325B">
        <w:rPr>
          <w:rFonts w:ascii="Times New Roman" w:hAnsi="Times New Roman" w:cs="Times New Roman"/>
          <w:sz w:val="24"/>
          <w:szCs w:val="24"/>
        </w:rPr>
        <w:t xml:space="preserve">. The figure shows </w:t>
      </w:r>
      <w:r w:rsidR="005E6DC2">
        <w:rPr>
          <w:rFonts w:ascii="Times New Roman" w:hAnsi="Times New Roman" w:cs="Times New Roman"/>
          <w:sz w:val="24"/>
          <w:szCs w:val="24"/>
        </w:rPr>
        <w:t xml:space="preserve">that </w:t>
      </w:r>
      <w:r w:rsidR="00F4325B">
        <w:rPr>
          <w:rFonts w:ascii="Times New Roman" w:hAnsi="Times New Roman" w:cs="Times New Roman"/>
          <w:sz w:val="24"/>
          <w:szCs w:val="24"/>
        </w:rPr>
        <w:t>commercial retail, healthcare &amp; social assistance, other services</w:t>
      </w:r>
      <w:r w:rsidR="005E6DC2">
        <w:rPr>
          <w:rFonts w:ascii="Times New Roman" w:hAnsi="Times New Roman" w:cs="Times New Roman"/>
          <w:sz w:val="24"/>
          <w:szCs w:val="24"/>
        </w:rPr>
        <w:t>,</w:t>
      </w:r>
      <w:r w:rsidR="00F4325B">
        <w:rPr>
          <w:rFonts w:ascii="Times New Roman" w:hAnsi="Times New Roman" w:cs="Times New Roman"/>
          <w:sz w:val="24"/>
          <w:szCs w:val="24"/>
        </w:rPr>
        <w:t xml:space="preserve"> and the accommodation &amp;</w:t>
      </w:r>
      <w:r w:rsidR="00190159">
        <w:rPr>
          <w:rFonts w:ascii="Times New Roman" w:hAnsi="Times New Roman" w:cs="Times New Roman"/>
          <w:sz w:val="24"/>
          <w:szCs w:val="24"/>
        </w:rPr>
        <w:t xml:space="preserve"> </w:t>
      </w:r>
      <w:r w:rsidR="00F4325B">
        <w:rPr>
          <w:rFonts w:ascii="Times New Roman" w:hAnsi="Times New Roman" w:cs="Times New Roman"/>
          <w:sz w:val="24"/>
          <w:szCs w:val="24"/>
        </w:rPr>
        <w:t xml:space="preserve">food service industries are expected to be most impacted. These four industries </w:t>
      </w:r>
      <w:r w:rsidR="007839EA">
        <w:rPr>
          <w:rFonts w:ascii="Times New Roman" w:hAnsi="Times New Roman" w:cs="Times New Roman"/>
          <w:sz w:val="24"/>
          <w:szCs w:val="24"/>
        </w:rPr>
        <w:t>are</w:t>
      </w:r>
      <w:r w:rsidR="00F4325B">
        <w:rPr>
          <w:rFonts w:ascii="Times New Roman" w:hAnsi="Times New Roman" w:cs="Times New Roman"/>
          <w:sz w:val="24"/>
          <w:szCs w:val="24"/>
        </w:rPr>
        <w:t xml:space="preserve"> estimated to account for over 70 percent</w:t>
      </w:r>
      <w:r w:rsidR="007839EA">
        <w:rPr>
          <w:rFonts w:ascii="Times New Roman" w:hAnsi="Times New Roman" w:cs="Times New Roman"/>
          <w:sz w:val="24"/>
          <w:szCs w:val="24"/>
        </w:rPr>
        <w:t xml:space="preserve"> </w:t>
      </w:r>
      <w:r w:rsidR="00F4325B">
        <w:rPr>
          <w:rFonts w:ascii="Times New Roman" w:hAnsi="Times New Roman" w:cs="Times New Roman"/>
          <w:sz w:val="24"/>
          <w:szCs w:val="24"/>
        </w:rPr>
        <w:t xml:space="preserve">of the </w:t>
      </w:r>
      <w:r w:rsidR="00F21165">
        <w:rPr>
          <w:rFonts w:ascii="Times New Roman" w:hAnsi="Times New Roman" w:cs="Times New Roman"/>
          <w:sz w:val="24"/>
          <w:szCs w:val="24"/>
        </w:rPr>
        <w:t xml:space="preserve">total </w:t>
      </w:r>
      <w:r w:rsidR="00F4325B">
        <w:rPr>
          <w:rFonts w:ascii="Times New Roman" w:hAnsi="Times New Roman" w:cs="Times New Roman"/>
          <w:sz w:val="24"/>
          <w:szCs w:val="24"/>
        </w:rPr>
        <w:t>impact.</w:t>
      </w:r>
    </w:p>
    <w:p w14:paraId="460F36FD" w14:textId="5E52A8A1" w:rsidR="003C4E7E" w:rsidRPr="00A030B8" w:rsidRDefault="00EC188F" w:rsidP="009F0695">
      <w:pPr>
        <w:spacing w:line="480" w:lineRule="auto"/>
        <w:ind w:firstLine="720"/>
        <w:rPr>
          <w:rFonts w:ascii="Times New Roman" w:hAnsi="Times New Roman" w:cs="Times New Roman"/>
          <w:sz w:val="24"/>
          <w:szCs w:val="24"/>
        </w:rPr>
      </w:pPr>
      <w:r w:rsidRPr="00A030B8">
        <w:rPr>
          <w:rFonts w:ascii="Times New Roman" w:hAnsi="Times New Roman" w:cs="Times New Roman"/>
          <w:sz w:val="24"/>
          <w:szCs w:val="24"/>
        </w:rPr>
        <w:t>W</w:t>
      </w:r>
      <w:r w:rsidR="00F21165" w:rsidRPr="00A030B8">
        <w:rPr>
          <w:rFonts w:ascii="Times New Roman" w:hAnsi="Times New Roman" w:cs="Times New Roman"/>
          <w:sz w:val="24"/>
          <w:szCs w:val="24"/>
        </w:rPr>
        <w:t xml:space="preserve">e </w:t>
      </w:r>
      <w:r w:rsidR="008C4A37" w:rsidRPr="00A030B8">
        <w:rPr>
          <w:rFonts w:ascii="Times New Roman" w:hAnsi="Times New Roman" w:cs="Times New Roman"/>
          <w:sz w:val="24"/>
          <w:szCs w:val="24"/>
        </w:rPr>
        <w:t xml:space="preserve">estimate </w:t>
      </w:r>
      <w:r w:rsidR="00F21165" w:rsidRPr="00A030B8">
        <w:rPr>
          <w:rFonts w:ascii="Times New Roman" w:hAnsi="Times New Roman" w:cs="Times New Roman"/>
          <w:sz w:val="24"/>
          <w:szCs w:val="24"/>
        </w:rPr>
        <w:t xml:space="preserve">the </w:t>
      </w:r>
      <w:r w:rsidR="008C4A37" w:rsidRPr="00A030B8">
        <w:rPr>
          <w:rFonts w:ascii="Times New Roman" w:hAnsi="Times New Roman" w:cs="Times New Roman"/>
          <w:sz w:val="24"/>
          <w:szCs w:val="24"/>
        </w:rPr>
        <w:t>total</w:t>
      </w:r>
      <w:r w:rsidR="00F21165" w:rsidRPr="00A030B8">
        <w:rPr>
          <w:rFonts w:ascii="Times New Roman" w:hAnsi="Times New Roman" w:cs="Times New Roman"/>
          <w:sz w:val="24"/>
          <w:szCs w:val="24"/>
        </w:rPr>
        <w:t xml:space="preserve"> </w:t>
      </w:r>
      <w:r w:rsidR="008C4A37" w:rsidRPr="00A030B8">
        <w:rPr>
          <w:rFonts w:ascii="Times New Roman" w:hAnsi="Times New Roman" w:cs="Times New Roman"/>
          <w:sz w:val="24"/>
          <w:szCs w:val="24"/>
        </w:rPr>
        <w:t>wages for this same worker population for both the $11.50 MWP (baseline) and the $15 MWP (policy simulation) annually until year 202</w:t>
      </w:r>
      <w:r w:rsidR="00CF2E64" w:rsidRPr="00A030B8">
        <w:rPr>
          <w:rFonts w:ascii="Times New Roman" w:hAnsi="Times New Roman" w:cs="Times New Roman"/>
          <w:sz w:val="24"/>
          <w:szCs w:val="24"/>
        </w:rPr>
        <w:t>0</w:t>
      </w:r>
      <w:r w:rsidR="008C4A37" w:rsidRPr="00A030B8">
        <w:rPr>
          <w:rFonts w:ascii="Times New Roman" w:hAnsi="Times New Roman" w:cs="Times New Roman"/>
          <w:sz w:val="24"/>
          <w:szCs w:val="24"/>
        </w:rPr>
        <w:t xml:space="preserve">, </w:t>
      </w:r>
      <w:r w:rsidRPr="00A030B8">
        <w:rPr>
          <w:rFonts w:ascii="Times New Roman" w:hAnsi="Times New Roman" w:cs="Times New Roman"/>
          <w:sz w:val="24"/>
          <w:szCs w:val="24"/>
        </w:rPr>
        <w:t>finding</w:t>
      </w:r>
      <w:r w:rsidR="008C4A37" w:rsidRPr="00A030B8">
        <w:rPr>
          <w:rFonts w:ascii="Times New Roman" w:hAnsi="Times New Roman" w:cs="Times New Roman"/>
          <w:sz w:val="24"/>
          <w:szCs w:val="24"/>
        </w:rPr>
        <w:t xml:space="preserve"> that the </w:t>
      </w:r>
      <w:r w:rsidR="005929A4" w:rsidRPr="00A030B8">
        <w:rPr>
          <w:rFonts w:ascii="Times New Roman" w:hAnsi="Times New Roman" w:cs="Times New Roman"/>
          <w:sz w:val="24"/>
          <w:szCs w:val="24"/>
        </w:rPr>
        <w:t xml:space="preserve">cumulative </w:t>
      </w:r>
      <w:r w:rsidR="008C4A37" w:rsidRPr="00A030B8">
        <w:rPr>
          <w:rFonts w:ascii="Times New Roman" w:hAnsi="Times New Roman" w:cs="Times New Roman"/>
          <w:sz w:val="24"/>
          <w:szCs w:val="24"/>
        </w:rPr>
        <w:t xml:space="preserve">difference in total wages and salaries in the city </w:t>
      </w:r>
      <w:r w:rsidR="003F1429" w:rsidRPr="00A030B8">
        <w:rPr>
          <w:rFonts w:ascii="Times New Roman" w:hAnsi="Times New Roman" w:cs="Times New Roman"/>
          <w:sz w:val="24"/>
          <w:szCs w:val="24"/>
        </w:rPr>
        <w:t>as of</w:t>
      </w:r>
      <w:r w:rsidR="00CF2E64" w:rsidRPr="00A030B8">
        <w:rPr>
          <w:rFonts w:ascii="Times New Roman" w:hAnsi="Times New Roman" w:cs="Times New Roman"/>
          <w:sz w:val="24"/>
          <w:szCs w:val="24"/>
        </w:rPr>
        <w:t xml:space="preserve"> 2020 </w:t>
      </w:r>
      <w:r w:rsidR="008C4A37" w:rsidRPr="00A030B8">
        <w:rPr>
          <w:rFonts w:ascii="Times New Roman" w:hAnsi="Times New Roman" w:cs="Times New Roman"/>
          <w:sz w:val="24"/>
          <w:szCs w:val="24"/>
        </w:rPr>
        <w:t xml:space="preserve">is $493.2 </w:t>
      </w:r>
      <w:r w:rsidR="00CF2E64" w:rsidRPr="00A030B8">
        <w:rPr>
          <w:rFonts w:ascii="Times New Roman" w:hAnsi="Times New Roman" w:cs="Times New Roman"/>
          <w:sz w:val="24"/>
          <w:szCs w:val="24"/>
        </w:rPr>
        <w:t xml:space="preserve">million, </w:t>
      </w:r>
      <w:r w:rsidR="00F84C2E" w:rsidRPr="00A030B8">
        <w:rPr>
          <w:rFonts w:ascii="Times New Roman" w:hAnsi="Times New Roman" w:cs="Times New Roman"/>
          <w:sz w:val="24"/>
          <w:szCs w:val="24"/>
        </w:rPr>
        <w:t xml:space="preserve">an </w:t>
      </w:r>
      <w:r w:rsidR="00CF2E64" w:rsidRPr="00A030B8">
        <w:rPr>
          <w:rFonts w:ascii="Times New Roman" w:hAnsi="Times New Roman" w:cs="Times New Roman"/>
          <w:sz w:val="24"/>
          <w:szCs w:val="24"/>
        </w:rPr>
        <w:lastRenderedPageBreak/>
        <w:t xml:space="preserve">approximately one percent increase in city’s wage and salaries (Table </w:t>
      </w:r>
      <w:r w:rsidR="00F84C2E" w:rsidRPr="00A030B8">
        <w:rPr>
          <w:rFonts w:ascii="Times New Roman" w:hAnsi="Times New Roman" w:cs="Times New Roman"/>
          <w:sz w:val="24"/>
          <w:szCs w:val="24"/>
        </w:rPr>
        <w:t>2</w:t>
      </w:r>
      <w:r w:rsidR="00CF2E64" w:rsidRPr="00A030B8">
        <w:rPr>
          <w:rFonts w:ascii="Times New Roman" w:hAnsi="Times New Roman" w:cs="Times New Roman"/>
          <w:sz w:val="24"/>
          <w:szCs w:val="24"/>
        </w:rPr>
        <w:t>)</w:t>
      </w:r>
      <w:r w:rsidR="008C4A37" w:rsidRPr="00A030B8">
        <w:rPr>
          <w:rFonts w:ascii="Times New Roman" w:hAnsi="Times New Roman" w:cs="Times New Roman"/>
          <w:sz w:val="24"/>
          <w:szCs w:val="24"/>
        </w:rPr>
        <w:t xml:space="preserve">. </w:t>
      </w:r>
      <w:r w:rsidR="00D84C39" w:rsidRPr="00A030B8">
        <w:rPr>
          <w:rFonts w:ascii="Times New Roman" w:hAnsi="Times New Roman" w:cs="Times New Roman"/>
          <w:sz w:val="24"/>
          <w:szCs w:val="24"/>
        </w:rPr>
        <w:t xml:space="preserve"> Year 2020 is the year the city achieves the statutory $15 minimum wage, but our short-term results will focus on year 2021, one year after full implementation of the policy.</w:t>
      </w:r>
    </w:p>
    <w:p w14:paraId="59941D28" w14:textId="74EECDB6" w:rsidR="00F764B1" w:rsidRDefault="00F764B1" w:rsidP="00F764B1">
      <w:pPr>
        <w:autoSpaceDE w:val="0"/>
        <w:autoSpaceDN w:val="0"/>
        <w:adjustRightInd w:val="0"/>
        <w:spacing w:line="480" w:lineRule="auto"/>
        <w:ind w:firstLine="720"/>
        <w:rPr>
          <w:rFonts w:ascii="Times New Roman" w:hAnsi="Times New Roman" w:cs="Times New Roman"/>
          <w:sz w:val="24"/>
          <w:szCs w:val="24"/>
        </w:rPr>
      </w:pPr>
      <w:r w:rsidRPr="00B624CD">
        <w:rPr>
          <w:rFonts w:ascii="Times New Roman" w:hAnsi="Times New Roman" w:cs="Times New Roman"/>
          <w:sz w:val="24"/>
          <w:szCs w:val="24"/>
        </w:rPr>
        <w:t>Based on A</w:t>
      </w:r>
      <w:r>
        <w:rPr>
          <w:rFonts w:ascii="Times New Roman" w:hAnsi="Times New Roman" w:cs="Times New Roman"/>
          <w:sz w:val="24"/>
          <w:szCs w:val="24"/>
        </w:rPr>
        <w:t>CS</w:t>
      </w:r>
      <w:r w:rsidRPr="00B624CD">
        <w:rPr>
          <w:rFonts w:ascii="Times New Roman" w:hAnsi="Times New Roman" w:cs="Times New Roman"/>
          <w:sz w:val="24"/>
          <w:szCs w:val="24"/>
        </w:rPr>
        <w:t xml:space="preserve"> data, DC residents held</w:t>
      </w:r>
      <w:r w:rsidR="003C4E7E">
        <w:rPr>
          <w:rFonts w:ascii="Times New Roman" w:hAnsi="Times New Roman" w:cs="Times New Roman"/>
          <w:sz w:val="24"/>
          <w:szCs w:val="24"/>
        </w:rPr>
        <w:t xml:space="preserve"> </w:t>
      </w:r>
      <w:r w:rsidR="003F1429">
        <w:rPr>
          <w:rFonts w:ascii="Times New Roman" w:hAnsi="Times New Roman" w:cs="Times New Roman"/>
          <w:sz w:val="24"/>
          <w:szCs w:val="24"/>
        </w:rPr>
        <w:t>approximately</w:t>
      </w:r>
      <w:r w:rsidRPr="00B624CD">
        <w:rPr>
          <w:rFonts w:ascii="Times New Roman" w:hAnsi="Times New Roman" w:cs="Times New Roman"/>
          <w:sz w:val="24"/>
          <w:szCs w:val="24"/>
        </w:rPr>
        <w:t xml:space="preserve"> 40 percent of </w:t>
      </w:r>
      <w:r w:rsidR="003F1429">
        <w:rPr>
          <w:rFonts w:ascii="Times New Roman" w:hAnsi="Times New Roman" w:cs="Times New Roman"/>
          <w:sz w:val="24"/>
          <w:szCs w:val="24"/>
        </w:rPr>
        <w:t xml:space="preserve">the </w:t>
      </w:r>
      <w:r w:rsidRPr="00B624CD">
        <w:rPr>
          <w:rFonts w:ascii="Times New Roman" w:hAnsi="Times New Roman" w:cs="Times New Roman"/>
          <w:sz w:val="24"/>
          <w:szCs w:val="24"/>
        </w:rPr>
        <w:t xml:space="preserve">jobs where the hourly wage was $18 or below within the city limits. The remainder </w:t>
      </w:r>
      <w:r>
        <w:rPr>
          <w:rFonts w:ascii="Times New Roman" w:hAnsi="Times New Roman" w:cs="Times New Roman"/>
          <w:sz w:val="24"/>
          <w:szCs w:val="24"/>
        </w:rPr>
        <w:t>were</w:t>
      </w:r>
      <w:r w:rsidRPr="00B624CD">
        <w:rPr>
          <w:rFonts w:ascii="Times New Roman" w:hAnsi="Times New Roman" w:cs="Times New Roman"/>
          <w:sz w:val="24"/>
          <w:szCs w:val="24"/>
        </w:rPr>
        <w:t xml:space="preserve"> held by non-D.C. residents</w:t>
      </w:r>
      <w:r w:rsidR="00C41455">
        <w:rPr>
          <w:rFonts w:ascii="Times New Roman" w:hAnsi="Times New Roman" w:cs="Times New Roman"/>
          <w:sz w:val="24"/>
          <w:szCs w:val="24"/>
        </w:rPr>
        <w:t>,</w:t>
      </w:r>
      <w:r w:rsidRPr="00B624CD">
        <w:rPr>
          <w:rFonts w:ascii="Times New Roman" w:hAnsi="Times New Roman" w:cs="Times New Roman"/>
          <w:sz w:val="24"/>
          <w:szCs w:val="24"/>
        </w:rPr>
        <w:t xml:space="preserve"> </w:t>
      </w:r>
      <w:r w:rsidR="005F1461">
        <w:rPr>
          <w:rFonts w:ascii="Times New Roman" w:hAnsi="Times New Roman" w:cs="Times New Roman"/>
          <w:sz w:val="24"/>
          <w:szCs w:val="24"/>
        </w:rPr>
        <w:t>largely</w:t>
      </w:r>
      <w:r w:rsidR="00C41455">
        <w:rPr>
          <w:rFonts w:ascii="Times New Roman" w:hAnsi="Times New Roman" w:cs="Times New Roman"/>
          <w:sz w:val="24"/>
          <w:szCs w:val="24"/>
        </w:rPr>
        <w:t xml:space="preserve"> </w:t>
      </w:r>
      <w:r w:rsidRPr="00B624CD">
        <w:rPr>
          <w:rFonts w:ascii="Times New Roman" w:hAnsi="Times New Roman" w:cs="Times New Roman"/>
          <w:sz w:val="24"/>
          <w:szCs w:val="24"/>
        </w:rPr>
        <w:t xml:space="preserve">from the neighboring </w:t>
      </w:r>
      <w:r w:rsidR="00160CC7">
        <w:rPr>
          <w:rFonts w:ascii="Times New Roman" w:hAnsi="Times New Roman" w:cs="Times New Roman"/>
          <w:sz w:val="24"/>
          <w:szCs w:val="24"/>
        </w:rPr>
        <w:t>states</w:t>
      </w:r>
      <w:r w:rsidRPr="00B624CD">
        <w:rPr>
          <w:rFonts w:ascii="Times New Roman" w:hAnsi="Times New Roman" w:cs="Times New Roman"/>
          <w:sz w:val="24"/>
          <w:szCs w:val="24"/>
        </w:rPr>
        <w:t xml:space="preserve"> of Maryland and Virginia. Table </w:t>
      </w:r>
      <w:r w:rsidR="00F84C2E">
        <w:rPr>
          <w:rFonts w:ascii="Times New Roman" w:hAnsi="Times New Roman" w:cs="Times New Roman"/>
          <w:sz w:val="24"/>
          <w:szCs w:val="24"/>
        </w:rPr>
        <w:t>3</w:t>
      </w:r>
      <w:r w:rsidR="00F84C2E" w:rsidRPr="00B624CD">
        <w:rPr>
          <w:rFonts w:ascii="Times New Roman" w:hAnsi="Times New Roman" w:cs="Times New Roman"/>
          <w:sz w:val="24"/>
          <w:szCs w:val="24"/>
        </w:rPr>
        <w:t xml:space="preserve"> </w:t>
      </w:r>
      <w:r w:rsidRPr="00B624CD">
        <w:rPr>
          <w:rFonts w:ascii="Times New Roman" w:hAnsi="Times New Roman" w:cs="Times New Roman"/>
          <w:sz w:val="24"/>
          <w:szCs w:val="24"/>
        </w:rPr>
        <w:t>show</w:t>
      </w:r>
      <w:r w:rsidR="005F1461">
        <w:rPr>
          <w:rFonts w:ascii="Times New Roman" w:hAnsi="Times New Roman" w:cs="Times New Roman"/>
          <w:sz w:val="24"/>
          <w:szCs w:val="24"/>
        </w:rPr>
        <w:t>s</w:t>
      </w:r>
      <w:r w:rsidRPr="00B624CD">
        <w:rPr>
          <w:rFonts w:ascii="Times New Roman" w:hAnsi="Times New Roman" w:cs="Times New Roman"/>
          <w:sz w:val="24"/>
          <w:szCs w:val="24"/>
        </w:rPr>
        <w:t xml:space="preserve"> the </w:t>
      </w:r>
      <w:r w:rsidR="005F1461">
        <w:rPr>
          <w:rFonts w:ascii="Times New Roman" w:hAnsi="Times New Roman" w:cs="Times New Roman"/>
          <w:sz w:val="24"/>
          <w:szCs w:val="24"/>
        </w:rPr>
        <w:t xml:space="preserve">estimated </w:t>
      </w:r>
      <w:r w:rsidR="00E82443">
        <w:rPr>
          <w:rFonts w:ascii="Times New Roman" w:hAnsi="Times New Roman" w:cs="Times New Roman"/>
          <w:sz w:val="24"/>
          <w:szCs w:val="24"/>
        </w:rPr>
        <w:t xml:space="preserve">total </w:t>
      </w:r>
      <w:r w:rsidRPr="00B624CD">
        <w:rPr>
          <w:rFonts w:ascii="Times New Roman" w:hAnsi="Times New Roman" w:cs="Times New Roman"/>
          <w:sz w:val="24"/>
          <w:szCs w:val="24"/>
        </w:rPr>
        <w:t xml:space="preserve">number of jobs </w:t>
      </w:r>
      <w:r w:rsidR="005F1461" w:rsidRPr="00B624CD">
        <w:rPr>
          <w:rFonts w:ascii="Times New Roman" w:hAnsi="Times New Roman" w:cs="Times New Roman"/>
          <w:sz w:val="24"/>
          <w:szCs w:val="24"/>
        </w:rPr>
        <w:t xml:space="preserve">in the </w:t>
      </w:r>
      <w:r w:rsidR="00E82443">
        <w:rPr>
          <w:rFonts w:ascii="Times New Roman" w:hAnsi="Times New Roman" w:cs="Times New Roman"/>
          <w:sz w:val="24"/>
          <w:szCs w:val="24"/>
        </w:rPr>
        <w:t xml:space="preserve">city and the total number of jobs held by city residents affected by the $15 MWP, </w:t>
      </w:r>
      <w:r w:rsidR="00DA52CC">
        <w:rPr>
          <w:rFonts w:ascii="Times New Roman" w:hAnsi="Times New Roman" w:cs="Times New Roman"/>
          <w:sz w:val="24"/>
          <w:szCs w:val="24"/>
        </w:rPr>
        <w:t xml:space="preserve">where 40 percent of each range </w:t>
      </w:r>
      <w:r w:rsidR="00E82443">
        <w:rPr>
          <w:rFonts w:ascii="Times New Roman" w:hAnsi="Times New Roman" w:cs="Times New Roman"/>
          <w:sz w:val="24"/>
          <w:szCs w:val="24"/>
        </w:rPr>
        <w:t>represents the jobs held by city residents</w:t>
      </w:r>
      <w:r w:rsidRPr="00B624CD">
        <w:rPr>
          <w:rFonts w:ascii="Times New Roman" w:hAnsi="Times New Roman" w:cs="Times New Roman"/>
          <w:sz w:val="24"/>
          <w:szCs w:val="24"/>
        </w:rPr>
        <w:t xml:space="preserve">. </w:t>
      </w:r>
      <w:r w:rsidR="00363C76">
        <w:rPr>
          <w:rFonts w:ascii="Times New Roman" w:hAnsi="Times New Roman" w:cs="Times New Roman"/>
          <w:sz w:val="24"/>
          <w:szCs w:val="24"/>
        </w:rPr>
        <w:t xml:space="preserve">We thus assume that city-residents are distributed relatively evenly across the low-wage employment market. </w:t>
      </w:r>
    </w:p>
    <w:p w14:paraId="4A4F94ED" w14:textId="2A23722D" w:rsidR="00D939CD" w:rsidRDefault="004918F7" w:rsidP="00F764B1">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above analyses </w:t>
      </w:r>
      <w:r w:rsidR="00514B20">
        <w:rPr>
          <w:rFonts w:ascii="Times New Roman" w:hAnsi="Times New Roman" w:cs="Times New Roman"/>
          <w:sz w:val="24"/>
          <w:szCs w:val="24"/>
        </w:rPr>
        <w:t>allow</w:t>
      </w:r>
      <w:r>
        <w:rPr>
          <w:rFonts w:ascii="Times New Roman" w:hAnsi="Times New Roman" w:cs="Times New Roman"/>
          <w:sz w:val="24"/>
          <w:szCs w:val="24"/>
        </w:rPr>
        <w:t xml:space="preserve"> </w:t>
      </w:r>
      <w:r w:rsidR="00EA49C9">
        <w:rPr>
          <w:rFonts w:ascii="Times New Roman" w:hAnsi="Times New Roman" w:cs="Times New Roman"/>
          <w:sz w:val="24"/>
          <w:szCs w:val="24"/>
        </w:rPr>
        <w:t>us to quantify</w:t>
      </w:r>
      <w:r>
        <w:rPr>
          <w:rFonts w:ascii="Times New Roman" w:hAnsi="Times New Roman" w:cs="Times New Roman"/>
          <w:sz w:val="24"/>
          <w:szCs w:val="24"/>
        </w:rPr>
        <w:t xml:space="preserve"> </w:t>
      </w:r>
      <w:r w:rsidR="00EA49C9">
        <w:rPr>
          <w:rFonts w:ascii="Times New Roman" w:hAnsi="Times New Roman" w:cs="Times New Roman"/>
          <w:sz w:val="24"/>
          <w:szCs w:val="24"/>
        </w:rPr>
        <w:t xml:space="preserve">one of </w:t>
      </w:r>
      <w:r>
        <w:rPr>
          <w:rFonts w:ascii="Times New Roman" w:hAnsi="Times New Roman" w:cs="Times New Roman"/>
          <w:sz w:val="24"/>
          <w:szCs w:val="24"/>
        </w:rPr>
        <w:t xml:space="preserve">the </w:t>
      </w:r>
      <w:r w:rsidR="00514B20">
        <w:rPr>
          <w:rFonts w:ascii="Times New Roman" w:hAnsi="Times New Roman" w:cs="Times New Roman"/>
          <w:sz w:val="24"/>
          <w:szCs w:val="24"/>
        </w:rPr>
        <w:t xml:space="preserve">two primary </w:t>
      </w:r>
      <w:r>
        <w:rPr>
          <w:rFonts w:ascii="Times New Roman" w:hAnsi="Times New Roman" w:cs="Times New Roman"/>
          <w:sz w:val="24"/>
          <w:szCs w:val="24"/>
        </w:rPr>
        <w:t>policy shocks to be used in the CGE model</w:t>
      </w:r>
      <w:r w:rsidR="00245EF0" w:rsidRPr="0043263F">
        <w:rPr>
          <w:rFonts w:ascii="Times New Roman" w:hAnsi="Times New Roman" w:cs="Times New Roman"/>
          <w:sz w:val="24"/>
          <w:szCs w:val="24"/>
        </w:rPr>
        <w:t xml:space="preserve">. </w:t>
      </w:r>
      <w:r w:rsidR="00514B20" w:rsidRPr="0043263F">
        <w:rPr>
          <w:rFonts w:ascii="Times New Roman" w:hAnsi="Times New Roman" w:cs="Times New Roman"/>
          <w:sz w:val="24"/>
          <w:szCs w:val="24"/>
        </w:rPr>
        <w:t>On the household</w:t>
      </w:r>
      <w:r w:rsidR="00F21165" w:rsidRPr="0043263F">
        <w:rPr>
          <w:rFonts w:ascii="Times New Roman" w:hAnsi="Times New Roman" w:cs="Times New Roman"/>
          <w:sz w:val="24"/>
          <w:szCs w:val="24"/>
        </w:rPr>
        <w:t xml:space="preserve"> income </w:t>
      </w:r>
      <w:r w:rsidR="00514B20" w:rsidRPr="0043263F">
        <w:rPr>
          <w:rFonts w:ascii="Times New Roman" w:hAnsi="Times New Roman" w:cs="Times New Roman"/>
          <w:sz w:val="24"/>
          <w:szCs w:val="24"/>
        </w:rPr>
        <w:t>side, w</w:t>
      </w:r>
      <w:r w:rsidR="00245EF0" w:rsidRPr="0043263F">
        <w:rPr>
          <w:rFonts w:ascii="Times New Roman" w:hAnsi="Times New Roman" w:cs="Times New Roman"/>
          <w:sz w:val="24"/>
          <w:szCs w:val="24"/>
        </w:rPr>
        <w:t xml:space="preserve">e introduce </w:t>
      </w:r>
      <w:r w:rsidR="00514B20" w:rsidRPr="0043263F">
        <w:rPr>
          <w:rFonts w:ascii="Times New Roman" w:hAnsi="Times New Roman" w:cs="Times New Roman"/>
          <w:sz w:val="24"/>
          <w:szCs w:val="24"/>
        </w:rPr>
        <w:t xml:space="preserve">gradual </w:t>
      </w:r>
      <w:r w:rsidR="00245EF0" w:rsidRPr="0043263F">
        <w:rPr>
          <w:rFonts w:ascii="Times New Roman" w:hAnsi="Times New Roman" w:cs="Times New Roman"/>
          <w:sz w:val="24"/>
          <w:szCs w:val="24"/>
        </w:rPr>
        <w:t xml:space="preserve">annual </w:t>
      </w:r>
      <w:r w:rsidR="00514B20" w:rsidRPr="0043263F">
        <w:rPr>
          <w:rFonts w:ascii="Times New Roman" w:hAnsi="Times New Roman" w:cs="Times New Roman"/>
          <w:sz w:val="24"/>
          <w:szCs w:val="24"/>
        </w:rPr>
        <w:t xml:space="preserve">positive </w:t>
      </w:r>
      <w:r w:rsidR="00245EF0" w:rsidRPr="00CF75F8">
        <w:rPr>
          <w:rFonts w:ascii="Times New Roman" w:hAnsi="Times New Roman" w:cs="Times New Roman"/>
          <w:sz w:val="24"/>
          <w:szCs w:val="24"/>
        </w:rPr>
        <w:t>shocks</w:t>
      </w:r>
      <w:r w:rsidR="009577B4" w:rsidRPr="00CF75F8">
        <w:rPr>
          <w:rFonts w:ascii="Times New Roman" w:hAnsi="Times New Roman" w:cs="Times New Roman"/>
          <w:sz w:val="24"/>
          <w:szCs w:val="24"/>
        </w:rPr>
        <w:t xml:space="preserve"> </w:t>
      </w:r>
      <w:r w:rsidR="00245EF0" w:rsidRPr="00CF75F8">
        <w:rPr>
          <w:rFonts w:ascii="Times New Roman" w:hAnsi="Times New Roman" w:cs="Times New Roman"/>
          <w:sz w:val="24"/>
          <w:szCs w:val="24"/>
        </w:rPr>
        <w:t xml:space="preserve">for years </w:t>
      </w:r>
      <w:r w:rsidR="00514B20" w:rsidRPr="00CF75F8">
        <w:rPr>
          <w:rFonts w:ascii="Times New Roman" w:hAnsi="Times New Roman" w:cs="Times New Roman"/>
          <w:sz w:val="24"/>
          <w:szCs w:val="24"/>
        </w:rPr>
        <w:t xml:space="preserve">beginning in </w:t>
      </w:r>
      <w:r w:rsidR="00245EF0" w:rsidRPr="00CF75F8">
        <w:rPr>
          <w:rFonts w:ascii="Times New Roman" w:hAnsi="Times New Roman" w:cs="Times New Roman"/>
          <w:sz w:val="24"/>
          <w:szCs w:val="24"/>
        </w:rPr>
        <w:t>201</w:t>
      </w:r>
      <w:r w:rsidR="0043263F" w:rsidRPr="00CF75F8">
        <w:rPr>
          <w:rFonts w:ascii="Times New Roman" w:hAnsi="Times New Roman" w:cs="Times New Roman"/>
          <w:sz w:val="24"/>
          <w:szCs w:val="24"/>
        </w:rPr>
        <w:t>7</w:t>
      </w:r>
      <w:r w:rsidR="00245EF0" w:rsidRPr="00CF75F8">
        <w:rPr>
          <w:rFonts w:ascii="Times New Roman" w:hAnsi="Times New Roman" w:cs="Times New Roman"/>
          <w:sz w:val="24"/>
          <w:szCs w:val="24"/>
        </w:rPr>
        <w:t xml:space="preserve"> </w:t>
      </w:r>
      <w:r w:rsidR="00514B20" w:rsidRPr="00CF75F8">
        <w:rPr>
          <w:rFonts w:ascii="Times New Roman" w:hAnsi="Times New Roman" w:cs="Times New Roman"/>
          <w:sz w:val="24"/>
          <w:szCs w:val="24"/>
        </w:rPr>
        <w:t>culminating</w:t>
      </w:r>
      <w:r w:rsidR="00514B20">
        <w:rPr>
          <w:rFonts w:ascii="Times New Roman" w:hAnsi="Times New Roman" w:cs="Times New Roman"/>
          <w:sz w:val="24"/>
          <w:szCs w:val="24"/>
        </w:rPr>
        <w:t xml:space="preserve"> into a $493 million shock </w:t>
      </w:r>
      <w:r w:rsidR="00245EF0">
        <w:rPr>
          <w:rFonts w:ascii="Times New Roman" w:hAnsi="Times New Roman" w:cs="Times New Roman"/>
          <w:sz w:val="24"/>
          <w:szCs w:val="24"/>
        </w:rPr>
        <w:t xml:space="preserve">to city total income </w:t>
      </w:r>
      <w:r w:rsidR="00514B20">
        <w:rPr>
          <w:rFonts w:ascii="Times New Roman" w:hAnsi="Times New Roman" w:cs="Times New Roman"/>
          <w:sz w:val="24"/>
          <w:szCs w:val="24"/>
        </w:rPr>
        <w:t>in 2020. This represents the estimated additional wage and salary income result</w:t>
      </w:r>
      <w:r w:rsidR="008F5EF7">
        <w:rPr>
          <w:rFonts w:ascii="Times New Roman" w:hAnsi="Times New Roman" w:cs="Times New Roman"/>
          <w:sz w:val="24"/>
          <w:szCs w:val="24"/>
        </w:rPr>
        <w:t>ing</w:t>
      </w:r>
      <w:r w:rsidR="00514B20">
        <w:rPr>
          <w:rFonts w:ascii="Times New Roman" w:hAnsi="Times New Roman" w:cs="Times New Roman"/>
          <w:sz w:val="24"/>
          <w:szCs w:val="24"/>
        </w:rPr>
        <w:t xml:space="preserve"> from the $15 MWP for the 167,419 city jobs that </w:t>
      </w:r>
      <w:r w:rsidR="00EA49C9">
        <w:rPr>
          <w:rFonts w:ascii="Times New Roman" w:hAnsi="Times New Roman" w:cs="Times New Roman"/>
          <w:sz w:val="24"/>
          <w:szCs w:val="24"/>
        </w:rPr>
        <w:t xml:space="preserve">paying </w:t>
      </w:r>
      <w:r w:rsidR="00514B20">
        <w:rPr>
          <w:rFonts w:ascii="Times New Roman" w:hAnsi="Times New Roman" w:cs="Times New Roman"/>
          <w:sz w:val="24"/>
          <w:szCs w:val="24"/>
        </w:rPr>
        <w:t xml:space="preserve">$18 </w:t>
      </w:r>
      <w:r w:rsidR="00EA49C9">
        <w:rPr>
          <w:rFonts w:ascii="Times New Roman" w:hAnsi="Times New Roman" w:cs="Times New Roman"/>
          <w:sz w:val="24"/>
          <w:szCs w:val="24"/>
        </w:rPr>
        <w:t>per hour</w:t>
      </w:r>
      <w:r w:rsidR="002F4B41" w:rsidRPr="00CF75F8">
        <w:rPr>
          <w:rFonts w:ascii="Times New Roman" w:hAnsi="Times New Roman" w:cs="Times New Roman"/>
          <w:sz w:val="24"/>
          <w:szCs w:val="24"/>
        </w:rPr>
        <w:t xml:space="preserve"> </w:t>
      </w:r>
      <w:r w:rsidR="00514B20" w:rsidRPr="00CF75F8">
        <w:rPr>
          <w:rFonts w:ascii="Times New Roman" w:hAnsi="Times New Roman" w:cs="Times New Roman"/>
          <w:sz w:val="24"/>
          <w:szCs w:val="24"/>
        </w:rPr>
        <w:t>or less in 201</w:t>
      </w:r>
      <w:r w:rsidR="00CF75F8" w:rsidRPr="00CF75F8">
        <w:rPr>
          <w:rFonts w:ascii="Times New Roman" w:hAnsi="Times New Roman" w:cs="Times New Roman"/>
          <w:sz w:val="24"/>
          <w:szCs w:val="24"/>
        </w:rPr>
        <w:t>7</w:t>
      </w:r>
      <w:r w:rsidR="00514B20" w:rsidRPr="00CF75F8">
        <w:rPr>
          <w:rFonts w:ascii="Times New Roman" w:hAnsi="Times New Roman" w:cs="Times New Roman"/>
          <w:sz w:val="24"/>
          <w:szCs w:val="24"/>
        </w:rPr>
        <w:t>. On</w:t>
      </w:r>
      <w:r w:rsidR="00514B20">
        <w:rPr>
          <w:rFonts w:ascii="Times New Roman" w:hAnsi="Times New Roman" w:cs="Times New Roman"/>
          <w:sz w:val="24"/>
          <w:szCs w:val="24"/>
        </w:rPr>
        <w:t xml:space="preserve"> the </w:t>
      </w:r>
      <w:r w:rsidR="00F21165">
        <w:rPr>
          <w:rFonts w:ascii="Times New Roman" w:hAnsi="Times New Roman" w:cs="Times New Roman"/>
          <w:sz w:val="24"/>
          <w:szCs w:val="24"/>
        </w:rPr>
        <w:t>production</w:t>
      </w:r>
      <w:r w:rsidR="00514B20">
        <w:rPr>
          <w:rFonts w:ascii="Times New Roman" w:hAnsi="Times New Roman" w:cs="Times New Roman"/>
          <w:sz w:val="24"/>
          <w:szCs w:val="24"/>
        </w:rPr>
        <w:t xml:space="preserve"> side of the </w:t>
      </w:r>
      <w:r w:rsidR="00F21165">
        <w:rPr>
          <w:rFonts w:ascii="Times New Roman" w:hAnsi="Times New Roman" w:cs="Times New Roman"/>
          <w:sz w:val="24"/>
          <w:szCs w:val="24"/>
        </w:rPr>
        <w:t>economy</w:t>
      </w:r>
      <w:r w:rsidR="00514B20">
        <w:rPr>
          <w:rFonts w:ascii="Times New Roman" w:hAnsi="Times New Roman" w:cs="Times New Roman"/>
          <w:sz w:val="24"/>
          <w:szCs w:val="24"/>
        </w:rPr>
        <w:t xml:space="preserve">, we introduce gradual annual negative shocks for years </w:t>
      </w:r>
      <w:r w:rsidR="00514B20" w:rsidRPr="00CF75F8">
        <w:rPr>
          <w:rFonts w:ascii="Times New Roman" w:hAnsi="Times New Roman" w:cs="Times New Roman"/>
          <w:sz w:val="24"/>
          <w:szCs w:val="24"/>
        </w:rPr>
        <w:t>beginning in 201</w:t>
      </w:r>
      <w:r w:rsidR="0043263F" w:rsidRPr="00CF75F8">
        <w:rPr>
          <w:rFonts w:ascii="Times New Roman" w:hAnsi="Times New Roman" w:cs="Times New Roman"/>
          <w:sz w:val="24"/>
          <w:szCs w:val="24"/>
        </w:rPr>
        <w:t>7</w:t>
      </w:r>
      <w:r w:rsidR="00514B20" w:rsidRPr="00CF75F8">
        <w:rPr>
          <w:rFonts w:ascii="Times New Roman" w:hAnsi="Times New Roman" w:cs="Times New Roman"/>
          <w:sz w:val="24"/>
          <w:szCs w:val="24"/>
        </w:rPr>
        <w:t xml:space="preserve"> and</w:t>
      </w:r>
      <w:r w:rsidR="00514B20">
        <w:rPr>
          <w:rFonts w:ascii="Times New Roman" w:hAnsi="Times New Roman" w:cs="Times New Roman"/>
          <w:sz w:val="24"/>
          <w:szCs w:val="24"/>
        </w:rPr>
        <w:t xml:space="preserve"> culminating into a $5</w:t>
      </w:r>
      <w:r w:rsidR="003F1429">
        <w:rPr>
          <w:rFonts w:ascii="Times New Roman" w:hAnsi="Times New Roman" w:cs="Times New Roman"/>
          <w:sz w:val="24"/>
          <w:szCs w:val="24"/>
        </w:rPr>
        <w:t>28</w:t>
      </w:r>
      <w:r w:rsidR="00514B20">
        <w:rPr>
          <w:rFonts w:ascii="Times New Roman" w:hAnsi="Times New Roman" w:cs="Times New Roman"/>
          <w:sz w:val="24"/>
          <w:szCs w:val="24"/>
        </w:rPr>
        <w:t xml:space="preserve"> million shock ($493 in higher wage and salaries</w:t>
      </w:r>
      <w:r w:rsidR="009577B4">
        <w:rPr>
          <w:rFonts w:ascii="Times New Roman" w:hAnsi="Times New Roman" w:cs="Times New Roman"/>
          <w:sz w:val="24"/>
          <w:szCs w:val="24"/>
        </w:rPr>
        <w:t xml:space="preserve"> </w:t>
      </w:r>
      <w:r w:rsidR="003F1429">
        <w:rPr>
          <w:rFonts w:ascii="Times New Roman" w:hAnsi="Times New Roman" w:cs="Times New Roman"/>
          <w:sz w:val="24"/>
          <w:szCs w:val="24"/>
        </w:rPr>
        <w:t xml:space="preserve">plus </w:t>
      </w:r>
      <w:r w:rsidR="00514B20">
        <w:rPr>
          <w:rFonts w:ascii="Times New Roman" w:hAnsi="Times New Roman" w:cs="Times New Roman"/>
          <w:sz w:val="24"/>
          <w:szCs w:val="24"/>
        </w:rPr>
        <w:t>7 percent for social security taxes) to labor costs for city businesses in 2020.</w:t>
      </w:r>
    </w:p>
    <w:p w14:paraId="1889F786" w14:textId="77777777" w:rsidR="00AA7448" w:rsidRDefault="00AA7448" w:rsidP="00921D4A">
      <w:pPr>
        <w:spacing w:line="480" w:lineRule="auto"/>
        <w:rPr>
          <w:rFonts w:ascii="Times New Roman" w:hAnsi="Times New Roman" w:cs="Times New Roman"/>
          <w:i/>
          <w:sz w:val="24"/>
          <w:szCs w:val="24"/>
        </w:rPr>
      </w:pPr>
    </w:p>
    <w:p w14:paraId="7FE9A04D" w14:textId="77777777" w:rsidR="00AA7448" w:rsidRDefault="00AA7448" w:rsidP="00921D4A">
      <w:pPr>
        <w:spacing w:line="480" w:lineRule="auto"/>
        <w:rPr>
          <w:rFonts w:ascii="Times New Roman" w:hAnsi="Times New Roman" w:cs="Times New Roman"/>
          <w:i/>
          <w:sz w:val="24"/>
          <w:szCs w:val="24"/>
        </w:rPr>
      </w:pPr>
    </w:p>
    <w:p w14:paraId="40B7ABE6" w14:textId="77777777" w:rsidR="00AA7448" w:rsidRDefault="00AA7448" w:rsidP="00921D4A">
      <w:pPr>
        <w:spacing w:line="480" w:lineRule="auto"/>
        <w:rPr>
          <w:rFonts w:ascii="Times New Roman" w:hAnsi="Times New Roman" w:cs="Times New Roman"/>
          <w:i/>
          <w:sz w:val="24"/>
          <w:szCs w:val="24"/>
        </w:rPr>
      </w:pPr>
    </w:p>
    <w:p w14:paraId="6A1136EA" w14:textId="77777777" w:rsidR="000B58AF" w:rsidRPr="00AA108E" w:rsidRDefault="000B58AF" w:rsidP="00921D4A">
      <w:pPr>
        <w:spacing w:line="480" w:lineRule="auto"/>
        <w:rPr>
          <w:rFonts w:ascii="Times New Roman" w:hAnsi="Times New Roman" w:cs="Times New Roman"/>
          <w:i/>
          <w:sz w:val="24"/>
          <w:szCs w:val="24"/>
        </w:rPr>
      </w:pPr>
      <w:r w:rsidRPr="00AA108E">
        <w:rPr>
          <w:rFonts w:ascii="Times New Roman" w:hAnsi="Times New Roman" w:cs="Times New Roman"/>
          <w:i/>
          <w:sz w:val="24"/>
          <w:szCs w:val="24"/>
        </w:rPr>
        <w:lastRenderedPageBreak/>
        <w:t xml:space="preserve">The </w:t>
      </w:r>
      <w:r w:rsidR="0040104C" w:rsidRPr="00AA108E">
        <w:rPr>
          <w:rFonts w:ascii="Times New Roman" w:hAnsi="Times New Roman" w:cs="Times New Roman"/>
          <w:i/>
          <w:sz w:val="24"/>
          <w:szCs w:val="24"/>
        </w:rPr>
        <w:t xml:space="preserve">CGE </w:t>
      </w:r>
      <w:r w:rsidRPr="00AA108E">
        <w:rPr>
          <w:rFonts w:ascii="Times New Roman" w:hAnsi="Times New Roman" w:cs="Times New Roman"/>
          <w:i/>
          <w:sz w:val="24"/>
          <w:szCs w:val="24"/>
        </w:rPr>
        <w:t>Model</w:t>
      </w:r>
    </w:p>
    <w:p w14:paraId="3B0BE608" w14:textId="385BACED" w:rsidR="0049094B" w:rsidRDefault="00AE2019" w:rsidP="0049094B">
      <w:pPr>
        <w:autoSpaceDE w:val="0"/>
        <w:autoSpaceDN w:val="0"/>
        <w:spacing w:line="480" w:lineRule="auto"/>
        <w:ind w:firstLine="720"/>
        <w:rPr>
          <w:rFonts w:ascii="Times New Roman" w:hAnsi="Times New Roman"/>
          <w:sz w:val="24"/>
          <w:szCs w:val="24"/>
        </w:rPr>
      </w:pPr>
      <w:r w:rsidRPr="0049094B">
        <w:rPr>
          <w:rFonts w:ascii="Times New Roman" w:hAnsi="Times New Roman" w:cs="Times New Roman"/>
          <w:sz w:val="24"/>
          <w:szCs w:val="24"/>
        </w:rPr>
        <w:t>The CGE model use</w:t>
      </w:r>
      <w:r w:rsidR="00547C00" w:rsidRPr="0049094B">
        <w:rPr>
          <w:rFonts w:ascii="Times New Roman" w:hAnsi="Times New Roman" w:cs="Times New Roman"/>
          <w:sz w:val="24"/>
          <w:szCs w:val="24"/>
        </w:rPr>
        <w:t>d in this analysis</w:t>
      </w:r>
      <w:r w:rsidRPr="0049094B">
        <w:rPr>
          <w:rFonts w:ascii="Times New Roman" w:hAnsi="Times New Roman" w:cs="Times New Roman"/>
          <w:sz w:val="24"/>
          <w:szCs w:val="24"/>
        </w:rPr>
        <w:t xml:space="preserve"> is the REMI PI+</w:t>
      </w:r>
      <w:r w:rsidRPr="0049094B">
        <w:rPr>
          <w:rStyle w:val="FootnoteReference"/>
          <w:rFonts w:ascii="Times New Roman" w:hAnsi="Times New Roman" w:cs="Times New Roman"/>
          <w:sz w:val="24"/>
          <w:szCs w:val="24"/>
        </w:rPr>
        <w:footnoteReference w:id="7"/>
      </w:r>
      <w:r w:rsidRPr="0049094B">
        <w:rPr>
          <w:rFonts w:ascii="Times New Roman" w:hAnsi="Times New Roman" w:cs="Times New Roman"/>
          <w:sz w:val="24"/>
          <w:szCs w:val="24"/>
        </w:rPr>
        <w:t>.</w:t>
      </w:r>
      <w:r w:rsidR="00547C00" w:rsidRPr="0049094B">
        <w:rPr>
          <w:rFonts w:ascii="Times New Roman" w:hAnsi="Times New Roman" w:cs="Times New Roman"/>
          <w:sz w:val="24"/>
          <w:szCs w:val="24"/>
        </w:rPr>
        <w:t xml:space="preserve"> </w:t>
      </w:r>
      <w:r w:rsidR="0049094B" w:rsidRPr="000B6734">
        <w:rPr>
          <w:rFonts w:ascii="Times New Roman" w:hAnsi="Times New Roman"/>
          <w:sz w:val="24"/>
          <w:szCs w:val="24"/>
        </w:rPr>
        <w:t xml:space="preserve">It models the regional economy of the District of Columbia and six surrounding metropolitan areas (MSA) and their seventy-one (71) 3-digit NAICS industries.  </w:t>
      </w:r>
      <w:bookmarkStart w:id="1" w:name="_Hlk496608348"/>
      <w:r w:rsidR="0049094B" w:rsidRPr="000B6734">
        <w:rPr>
          <w:rFonts w:ascii="Times New Roman" w:hAnsi="Times New Roman"/>
          <w:sz w:val="24"/>
          <w:szCs w:val="24"/>
        </w:rPr>
        <w:t xml:space="preserve">The model solves for general equilibrium in every market via price adjustments in the regional economy annually while simultaneously modeling </w:t>
      </w:r>
      <w:r w:rsidR="006B2745">
        <w:rPr>
          <w:rFonts w:ascii="Times New Roman" w:hAnsi="Times New Roman"/>
          <w:sz w:val="24"/>
          <w:szCs w:val="24"/>
        </w:rPr>
        <w:t xml:space="preserve">behavioral </w:t>
      </w:r>
      <w:r w:rsidR="0049094B" w:rsidRPr="000B6734">
        <w:rPr>
          <w:rFonts w:ascii="Times New Roman" w:hAnsi="Times New Roman"/>
          <w:sz w:val="24"/>
          <w:szCs w:val="24"/>
        </w:rPr>
        <w:t>chang</w:t>
      </w:r>
      <w:r w:rsidR="006B2745">
        <w:rPr>
          <w:rFonts w:ascii="Times New Roman" w:hAnsi="Times New Roman"/>
          <w:sz w:val="24"/>
          <w:szCs w:val="24"/>
        </w:rPr>
        <w:t xml:space="preserve">es (i.e. </w:t>
      </w:r>
      <w:r w:rsidR="0049094B" w:rsidRPr="000B6734">
        <w:rPr>
          <w:rFonts w:ascii="Times New Roman" w:hAnsi="Times New Roman"/>
          <w:sz w:val="24"/>
          <w:szCs w:val="24"/>
        </w:rPr>
        <w:t xml:space="preserve">labor supply, </w:t>
      </w:r>
      <w:r w:rsidR="006B2745">
        <w:rPr>
          <w:rFonts w:ascii="Times New Roman" w:hAnsi="Times New Roman"/>
          <w:sz w:val="24"/>
          <w:szCs w:val="24"/>
        </w:rPr>
        <w:t>migration</w:t>
      </w:r>
      <w:r w:rsidR="0049094B" w:rsidRPr="000B6734">
        <w:rPr>
          <w:rFonts w:ascii="Times New Roman" w:hAnsi="Times New Roman"/>
          <w:sz w:val="24"/>
          <w:szCs w:val="24"/>
        </w:rPr>
        <w:t>, commuting patterns) over a longer time period in response to the initial policy shock.  </w:t>
      </w:r>
      <w:bookmarkEnd w:id="1"/>
      <w:r w:rsidR="0049094B" w:rsidRPr="000B6734">
        <w:rPr>
          <w:rFonts w:ascii="Times New Roman" w:hAnsi="Times New Roman"/>
          <w:sz w:val="24"/>
          <w:szCs w:val="24"/>
        </w:rPr>
        <w:t xml:space="preserve">Using four major approaches to economic analysis: an input-output matrix, econometric modeling (for parameter estimation), economic geography, and general equilibrium analysis, the model allows for annual </w:t>
      </w:r>
      <w:r w:rsidR="006B2745">
        <w:rPr>
          <w:rFonts w:ascii="Times New Roman" w:hAnsi="Times New Roman"/>
          <w:sz w:val="24"/>
          <w:szCs w:val="24"/>
        </w:rPr>
        <w:t xml:space="preserve">short-term </w:t>
      </w:r>
      <w:r w:rsidR="0049094B" w:rsidRPr="000B6734">
        <w:rPr>
          <w:rFonts w:ascii="Times New Roman" w:hAnsi="Times New Roman"/>
          <w:sz w:val="24"/>
          <w:szCs w:val="24"/>
        </w:rPr>
        <w:t>policy response</w:t>
      </w:r>
      <w:r w:rsidR="006B2745">
        <w:rPr>
          <w:rFonts w:ascii="Times New Roman" w:hAnsi="Times New Roman"/>
          <w:sz w:val="24"/>
          <w:szCs w:val="24"/>
        </w:rPr>
        <w:t>s</w:t>
      </w:r>
      <w:r w:rsidR="0049094B" w:rsidRPr="000B6734">
        <w:rPr>
          <w:rFonts w:ascii="Times New Roman" w:hAnsi="Times New Roman"/>
          <w:sz w:val="24"/>
          <w:szCs w:val="24"/>
        </w:rPr>
        <w:t xml:space="preserve"> even </w:t>
      </w:r>
      <w:r w:rsidR="006B2745">
        <w:rPr>
          <w:rFonts w:ascii="Times New Roman" w:hAnsi="Times New Roman"/>
          <w:sz w:val="24"/>
          <w:szCs w:val="24"/>
        </w:rPr>
        <w:t>while</w:t>
      </w:r>
      <w:r w:rsidR="0049094B" w:rsidRPr="000B6734">
        <w:rPr>
          <w:rFonts w:ascii="Times New Roman" w:hAnsi="Times New Roman"/>
          <w:sz w:val="24"/>
          <w:szCs w:val="24"/>
        </w:rPr>
        <w:t xml:space="preserve"> the regional economy’s consumers and producers gradually readjust to </w:t>
      </w:r>
      <w:r w:rsidR="00E47BB8">
        <w:rPr>
          <w:rFonts w:ascii="Times New Roman" w:hAnsi="Times New Roman"/>
          <w:sz w:val="24"/>
          <w:szCs w:val="24"/>
        </w:rPr>
        <w:t>the</w:t>
      </w:r>
      <w:r w:rsidR="0049094B" w:rsidRPr="000B6734">
        <w:rPr>
          <w:rFonts w:ascii="Times New Roman" w:hAnsi="Times New Roman"/>
          <w:sz w:val="24"/>
          <w:szCs w:val="24"/>
        </w:rPr>
        <w:t xml:space="preserve"> </w:t>
      </w:r>
      <w:r w:rsidR="006B2745">
        <w:rPr>
          <w:rFonts w:ascii="Times New Roman" w:hAnsi="Times New Roman"/>
          <w:sz w:val="24"/>
          <w:szCs w:val="24"/>
        </w:rPr>
        <w:t>long-run</w:t>
      </w:r>
      <w:r w:rsidR="0049094B" w:rsidRPr="000B6734">
        <w:rPr>
          <w:rFonts w:ascii="Times New Roman" w:hAnsi="Times New Roman"/>
          <w:sz w:val="24"/>
          <w:szCs w:val="24"/>
        </w:rPr>
        <w:t xml:space="preserve"> equilibrium.</w:t>
      </w:r>
    </w:p>
    <w:p w14:paraId="626A33B2" w14:textId="09D160A2" w:rsidR="00AE2019" w:rsidRDefault="0049094B" w:rsidP="00680849">
      <w:pPr>
        <w:autoSpaceDE w:val="0"/>
        <w:autoSpaceDN w:val="0"/>
        <w:spacing w:line="480" w:lineRule="auto"/>
        <w:ind w:firstLine="720"/>
        <w:rPr>
          <w:rFonts w:ascii="Times New Roman" w:hAnsi="Times New Roman" w:cs="Times New Roman"/>
          <w:sz w:val="24"/>
          <w:szCs w:val="24"/>
        </w:rPr>
      </w:pPr>
      <w:r w:rsidRPr="000B6734">
        <w:rPr>
          <w:rFonts w:ascii="Times New Roman" w:hAnsi="Times New Roman"/>
          <w:sz w:val="24"/>
          <w:szCs w:val="24"/>
        </w:rPr>
        <w:t xml:space="preserve"> </w:t>
      </w:r>
      <w:r w:rsidR="00A87D3E">
        <w:rPr>
          <w:rFonts w:ascii="Times New Roman" w:hAnsi="Times New Roman" w:cs="Times New Roman"/>
          <w:sz w:val="24"/>
          <w:szCs w:val="24"/>
        </w:rPr>
        <w:t xml:space="preserve">Starting from </w:t>
      </w:r>
      <w:r w:rsidR="00AE2019" w:rsidRPr="00204204">
        <w:rPr>
          <w:rFonts w:ascii="Times New Roman" w:hAnsi="Times New Roman" w:cs="Times New Roman"/>
          <w:sz w:val="24"/>
          <w:szCs w:val="24"/>
        </w:rPr>
        <w:t>a</w:t>
      </w:r>
      <w:r w:rsidR="00AE2019">
        <w:rPr>
          <w:rFonts w:ascii="Times New Roman" w:hAnsi="Times New Roman" w:cs="Times New Roman"/>
          <w:sz w:val="24"/>
          <w:szCs w:val="24"/>
        </w:rPr>
        <w:t xml:space="preserve">n initial </w:t>
      </w:r>
      <w:r w:rsidR="00AE2019" w:rsidRPr="00204204">
        <w:rPr>
          <w:rFonts w:ascii="Times New Roman" w:hAnsi="Times New Roman" w:cs="Times New Roman"/>
          <w:sz w:val="24"/>
          <w:szCs w:val="24"/>
        </w:rPr>
        <w:t xml:space="preserve">steady state </w:t>
      </w:r>
      <w:r w:rsidR="00547C00">
        <w:rPr>
          <w:rFonts w:ascii="Times New Roman" w:hAnsi="Times New Roman" w:cs="Times New Roman"/>
          <w:sz w:val="24"/>
          <w:szCs w:val="24"/>
        </w:rPr>
        <w:t>of the District of Columbia economy in 201</w:t>
      </w:r>
      <w:r w:rsidR="00CF75F8">
        <w:rPr>
          <w:rFonts w:ascii="Times New Roman" w:hAnsi="Times New Roman" w:cs="Times New Roman"/>
          <w:sz w:val="24"/>
          <w:szCs w:val="24"/>
        </w:rPr>
        <w:t>7</w:t>
      </w:r>
      <w:r w:rsidR="00547C00">
        <w:rPr>
          <w:rFonts w:ascii="Times New Roman" w:hAnsi="Times New Roman" w:cs="Times New Roman"/>
          <w:sz w:val="24"/>
          <w:szCs w:val="24"/>
        </w:rPr>
        <w:t xml:space="preserve"> </w:t>
      </w:r>
      <w:r w:rsidR="00AE2019" w:rsidRPr="00204204">
        <w:rPr>
          <w:rFonts w:ascii="Times New Roman" w:hAnsi="Times New Roman" w:cs="Times New Roman"/>
          <w:sz w:val="24"/>
          <w:szCs w:val="24"/>
        </w:rPr>
        <w:t xml:space="preserve">where supply and demand are balanced, </w:t>
      </w:r>
      <w:r w:rsidR="00A87D3E">
        <w:rPr>
          <w:rFonts w:ascii="Times New Roman" w:hAnsi="Times New Roman" w:cs="Times New Roman"/>
          <w:sz w:val="24"/>
          <w:szCs w:val="24"/>
        </w:rPr>
        <w:t>annual</w:t>
      </w:r>
      <w:r w:rsidR="00AE2019">
        <w:rPr>
          <w:rFonts w:ascii="Times New Roman" w:hAnsi="Times New Roman" w:cs="Times New Roman"/>
          <w:sz w:val="24"/>
          <w:szCs w:val="24"/>
        </w:rPr>
        <w:t xml:space="preserve"> </w:t>
      </w:r>
      <w:r w:rsidR="00A87D3E">
        <w:rPr>
          <w:rFonts w:ascii="Times New Roman" w:hAnsi="Times New Roman" w:cs="Times New Roman"/>
          <w:sz w:val="24"/>
          <w:szCs w:val="24"/>
        </w:rPr>
        <w:t xml:space="preserve">increases </w:t>
      </w:r>
      <w:r w:rsidR="001779BB">
        <w:rPr>
          <w:rFonts w:ascii="Times New Roman" w:hAnsi="Times New Roman" w:cs="Times New Roman"/>
          <w:sz w:val="24"/>
          <w:szCs w:val="24"/>
        </w:rPr>
        <w:t xml:space="preserve">in </w:t>
      </w:r>
      <w:r w:rsidR="00050E47">
        <w:rPr>
          <w:rFonts w:ascii="Times New Roman" w:hAnsi="Times New Roman" w:cs="Times New Roman"/>
          <w:sz w:val="24"/>
          <w:szCs w:val="24"/>
        </w:rPr>
        <w:t xml:space="preserve">earned income </w:t>
      </w:r>
      <w:r w:rsidR="00A87D3E">
        <w:rPr>
          <w:rFonts w:ascii="Times New Roman" w:hAnsi="Times New Roman" w:cs="Times New Roman"/>
          <w:sz w:val="24"/>
          <w:szCs w:val="24"/>
        </w:rPr>
        <w:t xml:space="preserve">by city workers </w:t>
      </w:r>
      <w:r w:rsidR="00050E47">
        <w:rPr>
          <w:rFonts w:ascii="Times New Roman" w:hAnsi="Times New Roman" w:cs="Times New Roman"/>
          <w:sz w:val="24"/>
          <w:szCs w:val="24"/>
        </w:rPr>
        <w:t xml:space="preserve">and </w:t>
      </w:r>
      <w:r w:rsidR="00A87D3E">
        <w:rPr>
          <w:rFonts w:ascii="Times New Roman" w:hAnsi="Times New Roman" w:cs="Times New Roman"/>
          <w:sz w:val="24"/>
          <w:szCs w:val="24"/>
        </w:rPr>
        <w:t xml:space="preserve">annual increases in </w:t>
      </w:r>
      <w:r w:rsidR="00050E47">
        <w:rPr>
          <w:rFonts w:ascii="Times New Roman" w:hAnsi="Times New Roman" w:cs="Times New Roman"/>
          <w:sz w:val="24"/>
          <w:szCs w:val="24"/>
        </w:rPr>
        <w:t>labor cost</w:t>
      </w:r>
      <w:r w:rsidR="00547C00">
        <w:rPr>
          <w:rFonts w:ascii="Times New Roman" w:hAnsi="Times New Roman" w:cs="Times New Roman"/>
          <w:sz w:val="24"/>
          <w:szCs w:val="24"/>
        </w:rPr>
        <w:t>s</w:t>
      </w:r>
      <w:r w:rsidR="00050E47">
        <w:rPr>
          <w:rFonts w:ascii="Times New Roman" w:hAnsi="Times New Roman" w:cs="Times New Roman"/>
          <w:sz w:val="24"/>
          <w:szCs w:val="24"/>
        </w:rPr>
        <w:t xml:space="preserve"> </w:t>
      </w:r>
      <w:r w:rsidR="006031B6">
        <w:rPr>
          <w:rFonts w:ascii="Times New Roman" w:hAnsi="Times New Roman" w:cs="Times New Roman"/>
          <w:sz w:val="24"/>
          <w:szCs w:val="24"/>
        </w:rPr>
        <w:t xml:space="preserve">by </w:t>
      </w:r>
      <w:r w:rsidR="00050E47">
        <w:rPr>
          <w:rFonts w:ascii="Times New Roman" w:hAnsi="Times New Roman" w:cs="Times New Roman"/>
          <w:sz w:val="24"/>
          <w:szCs w:val="24"/>
        </w:rPr>
        <w:t xml:space="preserve">city </w:t>
      </w:r>
      <w:r w:rsidR="006031B6">
        <w:rPr>
          <w:rFonts w:ascii="Times New Roman" w:hAnsi="Times New Roman" w:cs="Times New Roman"/>
          <w:sz w:val="24"/>
          <w:szCs w:val="24"/>
        </w:rPr>
        <w:t xml:space="preserve">businesses </w:t>
      </w:r>
      <w:r w:rsidR="00A87D3E">
        <w:rPr>
          <w:rFonts w:ascii="Times New Roman" w:hAnsi="Times New Roman" w:cs="Times New Roman"/>
          <w:sz w:val="24"/>
          <w:szCs w:val="24"/>
        </w:rPr>
        <w:t>for years 201</w:t>
      </w:r>
      <w:r w:rsidR="00CF75F8">
        <w:rPr>
          <w:rFonts w:ascii="Times New Roman" w:hAnsi="Times New Roman" w:cs="Times New Roman"/>
          <w:sz w:val="24"/>
          <w:szCs w:val="24"/>
        </w:rPr>
        <w:t>7</w:t>
      </w:r>
      <w:r w:rsidR="00A87D3E">
        <w:rPr>
          <w:rFonts w:ascii="Times New Roman" w:hAnsi="Times New Roman" w:cs="Times New Roman"/>
          <w:sz w:val="24"/>
          <w:szCs w:val="24"/>
        </w:rPr>
        <w:t xml:space="preserve"> to 2020 are </w:t>
      </w:r>
      <w:r w:rsidR="00AE2019" w:rsidRPr="00204204">
        <w:rPr>
          <w:rFonts w:ascii="Times New Roman" w:hAnsi="Times New Roman" w:cs="Times New Roman"/>
          <w:sz w:val="24"/>
          <w:szCs w:val="24"/>
        </w:rPr>
        <w:t xml:space="preserve">the </w:t>
      </w:r>
      <w:r w:rsidR="00050E47">
        <w:rPr>
          <w:rFonts w:ascii="Times New Roman" w:hAnsi="Times New Roman" w:cs="Times New Roman"/>
          <w:sz w:val="24"/>
          <w:szCs w:val="24"/>
        </w:rPr>
        <w:t xml:space="preserve">two </w:t>
      </w:r>
      <w:r w:rsidR="00AE2019" w:rsidRPr="00204204">
        <w:rPr>
          <w:rFonts w:ascii="Times New Roman" w:hAnsi="Times New Roman" w:cs="Times New Roman"/>
          <w:sz w:val="24"/>
          <w:szCs w:val="24"/>
        </w:rPr>
        <w:t xml:space="preserve">primary </w:t>
      </w:r>
      <w:r w:rsidR="006031B6">
        <w:rPr>
          <w:rFonts w:ascii="Times New Roman" w:hAnsi="Times New Roman" w:cs="Times New Roman"/>
          <w:sz w:val="24"/>
          <w:szCs w:val="24"/>
        </w:rPr>
        <w:t>exogenous</w:t>
      </w:r>
      <w:r w:rsidR="00A87D3E">
        <w:rPr>
          <w:rFonts w:ascii="Times New Roman" w:hAnsi="Times New Roman" w:cs="Times New Roman"/>
          <w:sz w:val="24"/>
          <w:szCs w:val="24"/>
        </w:rPr>
        <w:t xml:space="preserve"> shocks entered into </w:t>
      </w:r>
      <w:r w:rsidR="00AE2019">
        <w:rPr>
          <w:rFonts w:ascii="Times New Roman" w:hAnsi="Times New Roman" w:cs="Times New Roman"/>
          <w:sz w:val="24"/>
          <w:szCs w:val="24"/>
        </w:rPr>
        <w:t xml:space="preserve">the </w:t>
      </w:r>
      <w:r w:rsidR="00AE2019" w:rsidRPr="00204204">
        <w:rPr>
          <w:rFonts w:ascii="Times New Roman" w:hAnsi="Times New Roman" w:cs="Times New Roman"/>
          <w:sz w:val="24"/>
          <w:szCs w:val="24"/>
        </w:rPr>
        <w:t>model</w:t>
      </w:r>
      <w:r w:rsidR="00AE2019">
        <w:rPr>
          <w:rFonts w:ascii="Times New Roman" w:hAnsi="Times New Roman" w:cs="Times New Roman"/>
          <w:sz w:val="24"/>
          <w:szCs w:val="24"/>
        </w:rPr>
        <w:t>. Th</w:t>
      </w:r>
      <w:r w:rsidR="00A87D3E">
        <w:rPr>
          <w:rFonts w:ascii="Times New Roman" w:hAnsi="Times New Roman" w:cs="Times New Roman"/>
          <w:sz w:val="24"/>
          <w:szCs w:val="24"/>
        </w:rPr>
        <w:t>ese</w:t>
      </w:r>
      <w:r w:rsidR="00AE2019">
        <w:rPr>
          <w:rFonts w:ascii="Times New Roman" w:hAnsi="Times New Roman" w:cs="Times New Roman"/>
          <w:sz w:val="24"/>
          <w:szCs w:val="24"/>
        </w:rPr>
        <w:t xml:space="preserve"> shock</w:t>
      </w:r>
      <w:r w:rsidR="00A87D3E">
        <w:rPr>
          <w:rFonts w:ascii="Times New Roman" w:hAnsi="Times New Roman" w:cs="Times New Roman"/>
          <w:sz w:val="24"/>
          <w:szCs w:val="24"/>
        </w:rPr>
        <w:t>s</w:t>
      </w:r>
      <w:r w:rsidR="00AE2019">
        <w:rPr>
          <w:rFonts w:ascii="Times New Roman" w:hAnsi="Times New Roman" w:cs="Times New Roman"/>
          <w:sz w:val="24"/>
          <w:szCs w:val="24"/>
        </w:rPr>
        <w:t xml:space="preserve"> </w:t>
      </w:r>
      <w:r w:rsidR="001670D2">
        <w:rPr>
          <w:rFonts w:ascii="Times New Roman" w:hAnsi="Times New Roman" w:cs="Times New Roman"/>
          <w:sz w:val="24"/>
          <w:szCs w:val="24"/>
        </w:rPr>
        <w:t xml:space="preserve">initially </w:t>
      </w:r>
      <w:r w:rsidR="00AE2019" w:rsidRPr="00204204">
        <w:rPr>
          <w:rFonts w:ascii="Times New Roman" w:hAnsi="Times New Roman" w:cs="Times New Roman"/>
          <w:sz w:val="24"/>
          <w:szCs w:val="24"/>
        </w:rPr>
        <w:t>create disequilibrium in the District’s existing economic relationships</w:t>
      </w:r>
      <w:r w:rsidR="00A87D3E">
        <w:rPr>
          <w:rFonts w:ascii="Times New Roman" w:hAnsi="Times New Roman" w:cs="Times New Roman"/>
          <w:sz w:val="24"/>
          <w:szCs w:val="24"/>
        </w:rPr>
        <w:t xml:space="preserve">, </w:t>
      </w:r>
      <w:r w:rsidR="001670D2">
        <w:rPr>
          <w:rFonts w:ascii="Times New Roman" w:hAnsi="Times New Roman" w:cs="Times New Roman"/>
          <w:sz w:val="24"/>
          <w:szCs w:val="24"/>
        </w:rPr>
        <w:t>but</w:t>
      </w:r>
      <w:r w:rsidR="00A87D3E">
        <w:rPr>
          <w:rFonts w:ascii="Times New Roman" w:hAnsi="Times New Roman" w:cs="Times New Roman"/>
          <w:sz w:val="24"/>
          <w:szCs w:val="24"/>
        </w:rPr>
        <w:t xml:space="preserve"> </w:t>
      </w:r>
      <w:r w:rsidR="00AE2019" w:rsidRPr="00204204">
        <w:rPr>
          <w:rFonts w:ascii="Times New Roman" w:hAnsi="Times New Roman" w:cs="Times New Roman"/>
          <w:sz w:val="24"/>
          <w:szCs w:val="24"/>
        </w:rPr>
        <w:t xml:space="preserve">as the economy </w:t>
      </w:r>
      <w:r w:rsidR="001670D2">
        <w:rPr>
          <w:rFonts w:ascii="Times New Roman" w:hAnsi="Times New Roman" w:cs="Times New Roman"/>
          <w:sz w:val="24"/>
          <w:szCs w:val="24"/>
        </w:rPr>
        <w:t xml:space="preserve">gradually </w:t>
      </w:r>
      <w:r w:rsidR="00AE2019" w:rsidRPr="00204204">
        <w:rPr>
          <w:rFonts w:ascii="Times New Roman" w:hAnsi="Times New Roman" w:cs="Times New Roman"/>
          <w:sz w:val="24"/>
          <w:szCs w:val="24"/>
        </w:rPr>
        <w:t>moves to regain equilibrium</w:t>
      </w:r>
      <w:r w:rsidR="001779BB">
        <w:rPr>
          <w:rFonts w:ascii="Times New Roman" w:hAnsi="Times New Roman" w:cs="Times New Roman"/>
          <w:sz w:val="24"/>
          <w:szCs w:val="24"/>
        </w:rPr>
        <w:t xml:space="preserve"> over time</w:t>
      </w:r>
      <w:r w:rsidR="00AE2019" w:rsidRPr="00204204">
        <w:rPr>
          <w:rFonts w:ascii="Times New Roman" w:hAnsi="Times New Roman" w:cs="Times New Roman"/>
          <w:sz w:val="24"/>
          <w:szCs w:val="24"/>
        </w:rPr>
        <w:t xml:space="preserve">, the model </w:t>
      </w:r>
      <w:r w:rsidR="00A87D3E">
        <w:rPr>
          <w:rFonts w:ascii="Times New Roman" w:hAnsi="Times New Roman" w:cs="Times New Roman"/>
          <w:sz w:val="24"/>
          <w:szCs w:val="24"/>
        </w:rPr>
        <w:t xml:space="preserve">catalogues annual </w:t>
      </w:r>
      <w:r w:rsidR="00962028">
        <w:rPr>
          <w:rFonts w:ascii="Times New Roman" w:hAnsi="Times New Roman" w:cs="Times New Roman"/>
          <w:sz w:val="24"/>
          <w:szCs w:val="24"/>
        </w:rPr>
        <w:t xml:space="preserve">changes to the region’s general equilibrium </w:t>
      </w:r>
      <w:r w:rsidR="00A87D3E">
        <w:rPr>
          <w:rFonts w:ascii="Times New Roman" w:hAnsi="Times New Roman" w:cs="Times New Roman"/>
          <w:sz w:val="24"/>
          <w:szCs w:val="24"/>
        </w:rPr>
        <w:t>basis</w:t>
      </w:r>
      <w:r w:rsidR="00962028">
        <w:rPr>
          <w:rFonts w:ascii="Times New Roman" w:hAnsi="Times New Roman" w:cs="Times New Roman"/>
          <w:sz w:val="24"/>
          <w:szCs w:val="24"/>
        </w:rPr>
        <w:t xml:space="preserve"> </w:t>
      </w:r>
      <w:r w:rsidR="00962028" w:rsidRPr="000B6734">
        <w:rPr>
          <w:rFonts w:ascii="Times New Roman" w:hAnsi="Times New Roman"/>
          <w:sz w:val="24"/>
          <w:szCs w:val="24"/>
        </w:rPr>
        <w:t>while simultaneously modeling changing consumer and business behavior over a longer time</w:t>
      </w:r>
      <w:r w:rsidR="00AE2019" w:rsidRPr="00204204">
        <w:rPr>
          <w:rFonts w:ascii="Times New Roman" w:hAnsi="Times New Roman" w:cs="Times New Roman"/>
          <w:sz w:val="24"/>
          <w:szCs w:val="24"/>
        </w:rPr>
        <w:t>. These dynamics in</w:t>
      </w:r>
      <w:r w:rsidR="00AE2019">
        <w:rPr>
          <w:rFonts w:ascii="Times New Roman" w:hAnsi="Times New Roman" w:cs="Times New Roman"/>
          <w:sz w:val="24"/>
          <w:szCs w:val="24"/>
        </w:rPr>
        <w:t>volve</w:t>
      </w:r>
      <w:r w:rsidR="00A87D3E">
        <w:rPr>
          <w:rFonts w:ascii="Times New Roman" w:hAnsi="Times New Roman" w:cs="Times New Roman"/>
          <w:sz w:val="24"/>
          <w:szCs w:val="24"/>
        </w:rPr>
        <w:t xml:space="preserve"> </w:t>
      </w:r>
      <w:r w:rsidR="00AE2019">
        <w:rPr>
          <w:rFonts w:ascii="Times New Roman" w:hAnsi="Times New Roman" w:cs="Times New Roman"/>
          <w:sz w:val="24"/>
          <w:szCs w:val="24"/>
        </w:rPr>
        <w:t>changes</w:t>
      </w:r>
      <w:r w:rsidR="00AE2019" w:rsidRPr="00204204">
        <w:rPr>
          <w:rFonts w:ascii="Times New Roman" w:hAnsi="Times New Roman" w:cs="Times New Roman"/>
          <w:sz w:val="24"/>
          <w:szCs w:val="24"/>
        </w:rPr>
        <w:t xml:space="preserve"> in employment, income, consumption, prices, and trade flows in and out of </w:t>
      </w:r>
      <w:r w:rsidR="006031B6">
        <w:rPr>
          <w:rFonts w:ascii="Times New Roman" w:hAnsi="Times New Roman" w:cs="Times New Roman"/>
          <w:sz w:val="24"/>
          <w:szCs w:val="24"/>
        </w:rPr>
        <w:t>the city</w:t>
      </w:r>
      <w:r w:rsidR="00AE2019">
        <w:rPr>
          <w:rFonts w:ascii="Times New Roman" w:hAnsi="Times New Roman" w:cs="Times New Roman"/>
          <w:sz w:val="24"/>
          <w:szCs w:val="24"/>
        </w:rPr>
        <w:t xml:space="preserve"> to neighboring states</w:t>
      </w:r>
      <w:r w:rsidR="00AE2019" w:rsidRPr="00204204">
        <w:rPr>
          <w:rFonts w:ascii="Times New Roman" w:hAnsi="Times New Roman" w:cs="Times New Roman"/>
          <w:sz w:val="24"/>
          <w:szCs w:val="24"/>
        </w:rPr>
        <w:t xml:space="preserve">. These dynamic interdependencies are summarized in five </w:t>
      </w:r>
      <w:r w:rsidR="00AE2019" w:rsidRPr="00204204">
        <w:rPr>
          <w:rFonts w:ascii="Times New Roman" w:hAnsi="Times New Roman" w:cs="Times New Roman"/>
          <w:sz w:val="24"/>
          <w:szCs w:val="24"/>
        </w:rPr>
        <w:lastRenderedPageBreak/>
        <w:t xml:space="preserve">major sets of economic measures: (1) </w:t>
      </w:r>
      <w:r w:rsidR="00AE2019">
        <w:rPr>
          <w:rFonts w:ascii="Times New Roman" w:hAnsi="Times New Roman" w:cs="Times New Roman"/>
          <w:sz w:val="24"/>
          <w:szCs w:val="24"/>
        </w:rPr>
        <w:t>O</w:t>
      </w:r>
      <w:r w:rsidR="00AE2019" w:rsidRPr="00204204">
        <w:rPr>
          <w:rFonts w:ascii="Times New Roman" w:hAnsi="Times New Roman" w:cs="Times New Roman"/>
          <w:sz w:val="24"/>
          <w:szCs w:val="24"/>
        </w:rPr>
        <w:t xml:space="preserve">utput and </w:t>
      </w:r>
      <w:r w:rsidR="00AE2019">
        <w:rPr>
          <w:rFonts w:ascii="Times New Roman" w:hAnsi="Times New Roman" w:cs="Times New Roman"/>
          <w:sz w:val="24"/>
          <w:szCs w:val="24"/>
        </w:rPr>
        <w:t>D</w:t>
      </w:r>
      <w:r w:rsidR="00AE2019" w:rsidRPr="00204204">
        <w:rPr>
          <w:rFonts w:ascii="Times New Roman" w:hAnsi="Times New Roman" w:cs="Times New Roman"/>
          <w:sz w:val="24"/>
          <w:szCs w:val="24"/>
        </w:rPr>
        <w:t>emand, (2) Labor and Capital Demand, (3) Population and Labor Supply, (4) Compensation, Prices, and Costs, and (5) Market Shares</w:t>
      </w:r>
      <w:r w:rsidR="00AE2019">
        <w:rPr>
          <w:rStyle w:val="FootnoteReference"/>
          <w:rFonts w:ascii="Times New Roman" w:hAnsi="Times New Roman" w:cs="Times New Roman"/>
          <w:sz w:val="24"/>
          <w:szCs w:val="24"/>
        </w:rPr>
        <w:footnoteReference w:id="8"/>
      </w:r>
      <w:r w:rsidR="00AE2019" w:rsidRPr="00204204">
        <w:rPr>
          <w:rFonts w:ascii="Times New Roman" w:hAnsi="Times New Roman" w:cs="Times New Roman"/>
          <w:sz w:val="24"/>
          <w:szCs w:val="24"/>
        </w:rPr>
        <w:t>.</w:t>
      </w:r>
    </w:p>
    <w:p w14:paraId="1F4E1E11" w14:textId="0DF3E8B1" w:rsidR="000B58AF" w:rsidRDefault="00AE2019" w:rsidP="00921D4A">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Of these 5 major groups, t</w:t>
      </w:r>
      <w:r w:rsidRPr="00B624CD">
        <w:rPr>
          <w:rFonts w:ascii="Times New Roman" w:hAnsi="Times New Roman" w:cs="Times New Roman"/>
          <w:sz w:val="24"/>
          <w:szCs w:val="24"/>
        </w:rPr>
        <w:t xml:space="preserve">he Labor and Capital </w:t>
      </w:r>
      <w:r>
        <w:rPr>
          <w:rFonts w:ascii="Times New Roman" w:hAnsi="Times New Roman" w:cs="Times New Roman"/>
          <w:sz w:val="24"/>
          <w:szCs w:val="24"/>
        </w:rPr>
        <w:t>D</w:t>
      </w:r>
      <w:r w:rsidRPr="00B624CD">
        <w:rPr>
          <w:rFonts w:ascii="Times New Roman" w:hAnsi="Times New Roman" w:cs="Times New Roman"/>
          <w:sz w:val="24"/>
          <w:szCs w:val="24"/>
        </w:rPr>
        <w:t xml:space="preserve">emand component is </w:t>
      </w:r>
      <w:r w:rsidR="006031B6">
        <w:rPr>
          <w:rFonts w:ascii="Times New Roman" w:hAnsi="Times New Roman" w:cs="Times New Roman"/>
          <w:sz w:val="24"/>
          <w:szCs w:val="24"/>
        </w:rPr>
        <w:t>fundamental</w:t>
      </w:r>
      <w:r w:rsidR="006031B6" w:rsidDel="006031B6">
        <w:rPr>
          <w:rFonts w:ascii="Times New Roman" w:hAnsi="Times New Roman" w:cs="Times New Roman"/>
          <w:sz w:val="24"/>
          <w:szCs w:val="24"/>
        </w:rPr>
        <w:t xml:space="preserve"> </w:t>
      </w:r>
      <w:r w:rsidRPr="00B624CD">
        <w:rPr>
          <w:rFonts w:ascii="Times New Roman" w:hAnsi="Times New Roman" w:cs="Times New Roman"/>
          <w:sz w:val="24"/>
          <w:szCs w:val="24"/>
        </w:rPr>
        <w:t xml:space="preserve">to </w:t>
      </w:r>
      <w:r>
        <w:rPr>
          <w:rFonts w:ascii="Times New Roman" w:hAnsi="Times New Roman" w:cs="Times New Roman"/>
          <w:sz w:val="24"/>
          <w:szCs w:val="24"/>
        </w:rPr>
        <w:t>this</w:t>
      </w:r>
      <w:r w:rsidRPr="00B624CD">
        <w:rPr>
          <w:rFonts w:ascii="Times New Roman" w:hAnsi="Times New Roman" w:cs="Times New Roman"/>
          <w:sz w:val="24"/>
          <w:szCs w:val="24"/>
        </w:rPr>
        <w:t xml:space="preserve"> study. The use of labor relative to other factors is determined by the cost of labor relative to the cost of </w:t>
      </w:r>
      <w:r>
        <w:rPr>
          <w:rFonts w:ascii="Times New Roman" w:hAnsi="Times New Roman" w:cs="Times New Roman"/>
          <w:sz w:val="24"/>
          <w:szCs w:val="24"/>
        </w:rPr>
        <w:t xml:space="preserve">other factors such as </w:t>
      </w:r>
      <w:r w:rsidRPr="00B624CD">
        <w:rPr>
          <w:rFonts w:ascii="Times New Roman" w:hAnsi="Times New Roman" w:cs="Times New Roman"/>
          <w:sz w:val="24"/>
          <w:szCs w:val="24"/>
        </w:rPr>
        <w:t>capital and fuel. In the model, the substitution between labor, capital and fuel is based on a Cobb-Douglas production function, a standard microeconomic approach accounting for the interplay of capital (e.g. operating space, computer equipment, work-related tools) and labor (e.g. workers) in driving overall production and revenue. As the cost of labor increases when the District raises the minimum wage, demand for labor</w:t>
      </w:r>
      <w:r w:rsidR="001779BB">
        <w:rPr>
          <w:rFonts w:ascii="Times New Roman" w:hAnsi="Times New Roman" w:cs="Times New Roman"/>
          <w:sz w:val="24"/>
          <w:szCs w:val="24"/>
        </w:rPr>
        <w:t xml:space="preserve"> (</w:t>
      </w:r>
      <w:r w:rsidRPr="00B624CD">
        <w:rPr>
          <w:rFonts w:ascii="Times New Roman" w:hAnsi="Times New Roman" w:cs="Times New Roman"/>
          <w:sz w:val="24"/>
          <w:szCs w:val="24"/>
        </w:rPr>
        <w:t>with other factors being constant</w:t>
      </w:r>
      <w:r w:rsidR="001779BB">
        <w:rPr>
          <w:rFonts w:ascii="Times New Roman" w:hAnsi="Times New Roman" w:cs="Times New Roman"/>
          <w:sz w:val="24"/>
          <w:szCs w:val="24"/>
        </w:rPr>
        <w:t>)</w:t>
      </w:r>
      <w:r w:rsidRPr="00B624CD">
        <w:rPr>
          <w:rFonts w:ascii="Times New Roman" w:hAnsi="Times New Roman" w:cs="Times New Roman"/>
          <w:sz w:val="24"/>
          <w:szCs w:val="24"/>
        </w:rPr>
        <w:t xml:space="preserve"> is assumed to fall according to standard economic theory. </w:t>
      </w:r>
      <w:r>
        <w:rPr>
          <w:rFonts w:ascii="Times New Roman" w:hAnsi="Times New Roman" w:cs="Times New Roman"/>
          <w:sz w:val="24"/>
          <w:szCs w:val="24"/>
        </w:rPr>
        <w:t>In the model</w:t>
      </w:r>
      <w:r w:rsidR="00AE71C4">
        <w:rPr>
          <w:rFonts w:ascii="Times New Roman" w:hAnsi="Times New Roman" w:cs="Times New Roman"/>
          <w:sz w:val="24"/>
          <w:szCs w:val="24"/>
        </w:rPr>
        <w:t>,</w:t>
      </w:r>
      <w:r>
        <w:rPr>
          <w:rFonts w:ascii="Times New Roman" w:hAnsi="Times New Roman" w:cs="Times New Roman"/>
          <w:sz w:val="24"/>
          <w:szCs w:val="24"/>
        </w:rPr>
        <w:t xml:space="preserve"> </w:t>
      </w:r>
      <w:r w:rsidRPr="00B624CD">
        <w:rPr>
          <w:rFonts w:ascii="Times New Roman" w:hAnsi="Times New Roman" w:cs="Times New Roman"/>
          <w:sz w:val="24"/>
          <w:szCs w:val="24"/>
        </w:rPr>
        <w:t xml:space="preserve">changes in labor demand are controlled by </w:t>
      </w:r>
      <w:r>
        <w:rPr>
          <w:rFonts w:ascii="Times New Roman" w:hAnsi="Times New Roman" w:cs="Times New Roman"/>
          <w:sz w:val="24"/>
          <w:szCs w:val="24"/>
        </w:rPr>
        <w:t xml:space="preserve">industry </w:t>
      </w:r>
      <w:r w:rsidRPr="00B624CD">
        <w:rPr>
          <w:rFonts w:ascii="Times New Roman" w:hAnsi="Times New Roman" w:cs="Times New Roman"/>
          <w:sz w:val="24"/>
          <w:szCs w:val="24"/>
        </w:rPr>
        <w:t xml:space="preserve">specific </w:t>
      </w:r>
      <w:r>
        <w:rPr>
          <w:rFonts w:ascii="Times New Roman" w:hAnsi="Times New Roman" w:cs="Times New Roman"/>
          <w:sz w:val="24"/>
          <w:szCs w:val="24"/>
        </w:rPr>
        <w:t xml:space="preserve">labor intensities. The </w:t>
      </w:r>
      <w:r w:rsidRPr="00B624CD">
        <w:rPr>
          <w:rFonts w:ascii="Times New Roman" w:hAnsi="Times New Roman" w:cs="Times New Roman"/>
          <w:sz w:val="24"/>
          <w:szCs w:val="24"/>
        </w:rPr>
        <w:t>substitution</w:t>
      </w:r>
      <w:r>
        <w:rPr>
          <w:rFonts w:ascii="Times New Roman" w:hAnsi="Times New Roman" w:cs="Times New Roman"/>
          <w:sz w:val="24"/>
          <w:szCs w:val="24"/>
        </w:rPr>
        <w:t>s</w:t>
      </w:r>
      <w:r w:rsidRPr="00B624CD">
        <w:rPr>
          <w:rFonts w:ascii="Times New Roman" w:hAnsi="Times New Roman" w:cs="Times New Roman"/>
          <w:sz w:val="24"/>
          <w:szCs w:val="24"/>
        </w:rPr>
        <w:t xml:space="preserve"> between capital and labor </w:t>
      </w:r>
      <w:r>
        <w:rPr>
          <w:rFonts w:ascii="Times New Roman" w:hAnsi="Times New Roman" w:cs="Times New Roman"/>
          <w:sz w:val="24"/>
          <w:szCs w:val="24"/>
        </w:rPr>
        <w:t>are</w:t>
      </w:r>
      <w:r w:rsidRPr="00B624CD">
        <w:rPr>
          <w:rFonts w:ascii="Times New Roman" w:hAnsi="Times New Roman" w:cs="Times New Roman"/>
          <w:sz w:val="24"/>
          <w:szCs w:val="24"/>
        </w:rPr>
        <w:t xml:space="preserve"> derived from empirical studies </w:t>
      </w:r>
      <w:r>
        <w:rPr>
          <w:rFonts w:ascii="Times New Roman" w:hAnsi="Times New Roman" w:cs="Times New Roman"/>
          <w:sz w:val="24"/>
          <w:szCs w:val="24"/>
        </w:rPr>
        <w:t xml:space="preserve">which </w:t>
      </w:r>
      <w:r w:rsidRPr="00B624CD">
        <w:rPr>
          <w:rFonts w:ascii="Times New Roman" w:hAnsi="Times New Roman" w:cs="Times New Roman"/>
          <w:sz w:val="24"/>
          <w:szCs w:val="24"/>
        </w:rPr>
        <w:t>consider wages and commuting patterns</w:t>
      </w:r>
      <w:r>
        <w:rPr>
          <w:rFonts w:ascii="Times New Roman" w:hAnsi="Times New Roman" w:cs="Times New Roman"/>
          <w:sz w:val="24"/>
          <w:szCs w:val="24"/>
        </w:rPr>
        <w:t xml:space="preserve"> (</w:t>
      </w:r>
      <w:proofErr w:type="spellStart"/>
      <w:r>
        <w:rPr>
          <w:rFonts w:ascii="Times New Roman" w:hAnsi="Times New Roman" w:cs="Times New Roman"/>
          <w:sz w:val="24"/>
          <w:szCs w:val="24"/>
        </w:rPr>
        <w:t>Weisbrod</w:t>
      </w:r>
      <w:proofErr w:type="spellEnd"/>
      <w:r>
        <w:rPr>
          <w:rFonts w:ascii="Times New Roman" w:hAnsi="Times New Roman" w:cs="Times New Roman"/>
          <w:sz w:val="24"/>
          <w:szCs w:val="24"/>
        </w:rPr>
        <w:t xml:space="preserve">, Vary, </w:t>
      </w:r>
      <w:proofErr w:type="gramStart"/>
      <w:r>
        <w:rPr>
          <w:rFonts w:ascii="Times New Roman" w:hAnsi="Times New Roman" w:cs="Times New Roman"/>
          <w:sz w:val="24"/>
          <w:szCs w:val="24"/>
        </w:rPr>
        <w:t>Treys</w:t>
      </w:r>
      <w:proofErr w:type="gramEnd"/>
      <w:r>
        <w:rPr>
          <w:rFonts w:ascii="Times New Roman" w:hAnsi="Times New Roman" w:cs="Times New Roman"/>
          <w:sz w:val="24"/>
          <w:szCs w:val="24"/>
        </w:rPr>
        <w:t xml:space="preserve"> 2001)</w:t>
      </w:r>
      <w:r w:rsidRPr="00B624CD">
        <w:rPr>
          <w:rFonts w:ascii="Times New Roman" w:hAnsi="Times New Roman" w:cs="Times New Roman"/>
          <w:sz w:val="24"/>
          <w:szCs w:val="24"/>
        </w:rPr>
        <w:t xml:space="preserve">. </w:t>
      </w:r>
      <w:r w:rsidR="001779BB">
        <w:rPr>
          <w:rFonts w:ascii="Times New Roman" w:hAnsi="Times New Roman" w:cs="Times New Roman"/>
          <w:sz w:val="24"/>
          <w:szCs w:val="24"/>
        </w:rPr>
        <w:t>And</w:t>
      </w:r>
      <w:r w:rsidR="00F92278">
        <w:rPr>
          <w:rFonts w:ascii="Times New Roman" w:hAnsi="Times New Roman" w:cs="Times New Roman"/>
          <w:sz w:val="24"/>
          <w:szCs w:val="24"/>
        </w:rPr>
        <w:t>,</w:t>
      </w:r>
      <w:r w:rsidR="001779BB">
        <w:rPr>
          <w:rFonts w:ascii="Times New Roman" w:hAnsi="Times New Roman" w:cs="Times New Roman"/>
          <w:sz w:val="24"/>
          <w:szCs w:val="24"/>
        </w:rPr>
        <w:t xml:space="preserve"> with respect to the city’s economy in particular, Figure 1 indicates that commercial retail, healthcare </w:t>
      </w:r>
      <w:r w:rsidR="00172986">
        <w:rPr>
          <w:rFonts w:ascii="Times New Roman" w:hAnsi="Times New Roman" w:cs="Times New Roman"/>
          <w:sz w:val="24"/>
          <w:szCs w:val="24"/>
        </w:rPr>
        <w:t xml:space="preserve">and </w:t>
      </w:r>
      <w:r w:rsidR="001779BB">
        <w:rPr>
          <w:rFonts w:ascii="Times New Roman" w:hAnsi="Times New Roman" w:cs="Times New Roman"/>
          <w:sz w:val="24"/>
          <w:szCs w:val="24"/>
        </w:rPr>
        <w:t>social assistance, other services</w:t>
      </w:r>
      <w:r w:rsidR="00172986">
        <w:rPr>
          <w:rFonts w:ascii="Times New Roman" w:hAnsi="Times New Roman" w:cs="Times New Roman"/>
          <w:sz w:val="24"/>
          <w:szCs w:val="24"/>
        </w:rPr>
        <w:t>,</w:t>
      </w:r>
      <w:r w:rsidR="001779BB">
        <w:rPr>
          <w:rFonts w:ascii="Times New Roman" w:hAnsi="Times New Roman" w:cs="Times New Roman"/>
          <w:sz w:val="24"/>
          <w:szCs w:val="24"/>
        </w:rPr>
        <w:t xml:space="preserve"> and the accommodation </w:t>
      </w:r>
      <w:r w:rsidR="00172986">
        <w:rPr>
          <w:rFonts w:ascii="Times New Roman" w:hAnsi="Times New Roman" w:cs="Times New Roman"/>
          <w:sz w:val="24"/>
          <w:szCs w:val="24"/>
        </w:rPr>
        <w:t xml:space="preserve">and </w:t>
      </w:r>
      <w:r w:rsidR="001779BB">
        <w:rPr>
          <w:rFonts w:ascii="Times New Roman" w:hAnsi="Times New Roman" w:cs="Times New Roman"/>
          <w:sz w:val="24"/>
          <w:szCs w:val="24"/>
        </w:rPr>
        <w:t>food service industries are expected to be most impacted.</w:t>
      </w:r>
      <w:r w:rsidR="000B58AF" w:rsidRPr="00921D4A">
        <w:rPr>
          <w:rFonts w:ascii="Times New Roman" w:hAnsi="Times New Roman" w:cs="Times New Roman"/>
          <w:sz w:val="24"/>
          <w:szCs w:val="24"/>
        </w:rPr>
        <w:t xml:space="preserve"> </w:t>
      </w:r>
      <w:r w:rsidR="00942891" w:rsidRPr="00204204">
        <w:rPr>
          <w:rFonts w:ascii="Times New Roman" w:hAnsi="Times New Roman" w:cs="Times New Roman"/>
          <w:sz w:val="24"/>
          <w:szCs w:val="24"/>
        </w:rPr>
        <w:t xml:space="preserve">Our </w:t>
      </w:r>
      <w:r w:rsidR="00942891">
        <w:rPr>
          <w:rFonts w:ascii="Times New Roman" w:hAnsi="Times New Roman" w:cs="Times New Roman"/>
          <w:sz w:val="24"/>
          <w:szCs w:val="24"/>
        </w:rPr>
        <w:t xml:space="preserve">short-term </w:t>
      </w:r>
      <w:r w:rsidR="00942891" w:rsidRPr="00204204">
        <w:rPr>
          <w:rFonts w:ascii="Times New Roman" w:hAnsi="Times New Roman" w:cs="Times New Roman"/>
          <w:sz w:val="24"/>
          <w:szCs w:val="24"/>
        </w:rPr>
        <w:t xml:space="preserve">results </w:t>
      </w:r>
      <w:r w:rsidR="00172986">
        <w:rPr>
          <w:rFonts w:ascii="Times New Roman" w:hAnsi="Times New Roman" w:cs="Times New Roman"/>
          <w:sz w:val="24"/>
          <w:szCs w:val="24"/>
        </w:rPr>
        <w:t>are</w:t>
      </w:r>
      <w:r w:rsidR="00942891">
        <w:rPr>
          <w:rFonts w:ascii="Times New Roman" w:hAnsi="Times New Roman" w:cs="Times New Roman"/>
          <w:sz w:val="24"/>
          <w:szCs w:val="24"/>
        </w:rPr>
        <w:t xml:space="preserve"> for 2021, one year </w:t>
      </w:r>
      <w:r w:rsidR="00942891" w:rsidRPr="00204204">
        <w:rPr>
          <w:rFonts w:ascii="Times New Roman" w:hAnsi="Times New Roman" w:cs="Times New Roman"/>
          <w:sz w:val="24"/>
          <w:szCs w:val="24"/>
        </w:rPr>
        <w:t xml:space="preserve">after full implementation </w:t>
      </w:r>
      <w:r w:rsidR="00942891">
        <w:rPr>
          <w:rFonts w:ascii="Times New Roman" w:hAnsi="Times New Roman" w:cs="Times New Roman"/>
          <w:sz w:val="24"/>
          <w:szCs w:val="24"/>
        </w:rPr>
        <w:t>of the policy in 2020</w:t>
      </w:r>
      <w:r w:rsidR="006031B6">
        <w:rPr>
          <w:rFonts w:ascii="Times New Roman" w:hAnsi="Times New Roman" w:cs="Times New Roman"/>
          <w:sz w:val="24"/>
          <w:szCs w:val="24"/>
        </w:rPr>
        <w:t xml:space="preserve">.  </w:t>
      </w:r>
      <w:r w:rsidR="00172986">
        <w:rPr>
          <w:rFonts w:ascii="Times New Roman" w:hAnsi="Times New Roman" w:cs="Times New Roman"/>
          <w:sz w:val="24"/>
          <w:szCs w:val="24"/>
        </w:rPr>
        <w:t>O</w:t>
      </w:r>
      <w:r w:rsidR="00942891">
        <w:rPr>
          <w:rFonts w:ascii="Times New Roman" w:hAnsi="Times New Roman" w:cs="Times New Roman"/>
          <w:sz w:val="24"/>
          <w:szCs w:val="24"/>
        </w:rPr>
        <w:t xml:space="preserve">ur long-term results </w:t>
      </w:r>
      <w:r w:rsidR="00172986">
        <w:rPr>
          <w:rFonts w:ascii="Times New Roman" w:hAnsi="Times New Roman" w:cs="Times New Roman"/>
          <w:sz w:val="24"/>
          <w:szCs w:val="24"/>
        </w:rPr>
        <w:t>are</w:t>
      </w:r>
      <w:r w:rsidR="00942891">
        <w:rPr>
          <w:rFonts w:ascii="Times New Roman" w:hAnsi="Times New Roman" w:cs="Times New Roman"/>
          <w:sz w:val="24"/>
          <w:szCs w:val="24"/>
        </w:rPr>
        <w:t xml:space="preserve"> for 2026</w:t>
      </w:r>
      <w:r w:rsidR="006031B6">
        <w:rPr>
          <w:rFonts w:ascii="Times New Roman" w:hAnsi="Times New Roman" w:cs="Times New Roman"/>
          <w:sz w:val="24"/>
          <w:szCs w:val="24"/>
        </w:rPr>
        <w:t>, five years thereafter</w:t>
      </w:r>
      <w:r w:rsidR="00942891">
        <w:rPr>
          <w:rFonts w:ascii="Times New Roman" w:hAnsi="Times New Roman" w:cs="Times New Roman"/>
          <w:sz w:val="24"/>
          <w:szCs w:val="24"/>
        </w:rPr>
        <w:t>.</w:t>
      </w:r>
    </w:p>
    <w:p w14:paraId="551DCDFF" w14:textId="77777777" w:rsidR="00A11E56" w:rsidRPr="00AA108E" w:rsidRDefault="00A11E56" w:rsidP="00A11E56">
      <w:pPr>
        <w:spacing w:line="480" w:lineRule="auto"/>
        <w:rPr>
          <w:rFonts w:ascii="Times New Roman" w:hAnsi="Times New Roman" w:cs="Times New Roman"/>
          <w:i/>
          <w:sz w:val="24"/>
          <w:szCs w:val="24"/>
        </w:rPr>
      </w:pPr>
      <w:r w:rsidRPr="00AA108E">
        <w:rPr>
          <w:rFonts w:ascii="Times New Roman" w:hAnsi="Times New Roman" w:cs="Times New Roman"/>
          <w:i/>
          <w:sz w:val="24"/>
          <w:szCs w:val="24"/>
        </w:rPr>
        <w:t>Scenarios</w:t>
      </w:r>
    </w:p>
    <w:p w14:paraId="6588D4D7" w14:textId="22183E7B" w:rsidR="0049094B" w:rsidRDefault="0049094B" w:rsidP="000B673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context of </w:t>
      </w:r>
      <w:r w:rsidR="000D329E">
        <w:rPr>
          <w:rFonts w:ascii="Times New Roman" w:hAnsi="Times New Roman" w:cs="Times New Roman"/>
          <w:sz w:val="24"/>
          <w:szCs w:val="24"/>
        </w:rPr>
        <w:t xml:space="preserve">a </w:t>
      </w:r>
      <w:r>
        <w:rPr>
          <w:rFonts w:ascii="Times New Roman" w:hAnsi="Times New Roman" w:cs="Times New Roman"/>
          <w:sz w:val="24"/>
          <w:szCs w:val="24"/>
        </w:rPr>
        <w:t xml:space="preserve">CGE model, the District government’s $15 MWP represents an exogenous shock to the DC economy. The estimated economic impacts are influenced by the </w:t>
      </w:r>
      <w:r w:rsidR="000D329E">
        <w:rPr>
          <w:rFonts w:ascii="Times New Roman" w:hAnsi="Times New Roman" w:cs="Times New Roman"/>
          <w:sz w:val="24"/>
          <w:szCs w:val="24"/>
        </w:rPr>
        <w:t xml:space="preserve">aforementioned </w:t>
      </w:r>
      <w:r>
        <w:rPr>
          <w:rFonts w:ascii="Times New Roman" w:hAnsi="Times New Roman" w:cs="Times New Roman"/>
          <w:sz w:val="24"/>
          <w:szCs w:val="24"/>
        </w:rPr>
        <w:t xml:space="preserve">assumptions we made about the policy shocks. To assess the sensitivity of the </w:t>
      </w:r>
      <w:r>
        <w:rPr>
          <w:rFonts w:ascii="Times New Roman" w:hAnsi="Times New Roman" w:cs="Times New Roman"/>
          <w:sz w:val="24"/>
          <w:szCs w:val="24"/>
        </w:rPr>
        <w:lastRenderedPageBreak/>
        <w:t>results to our assumptions, w</w:t>
      </w:r>
      <w:r w:rsidRPr="00B624CD">
        <w:rPr>
          <w:rFonts w:ascii="Times New Roman" w:hAnsi="Times New Roman" w:cs="Times New Roman"/>
          <w:sz w:val="24"/>
          <w:szCs w:val="24"/>
        </w:rPr>
        <w:t xml:space="preserve">e </w:t>
      </w:r>
      <w:r>
        <w:rPr>
          <w:rFonts w:ascii="Times New Roman" w:hAnsi="Times New Roman" w:cs="Times New Roman"/>
          <w:sz w:val="24"/>
          <w:szCs w:val="24"/>
        </w:rPr>
        <w:t xml:space="preserve">produce </w:t>
      </w:r>
      <w:r w:rsidRPr="00B624CD">
        <w:rPr>
          <w:rFonts w:ascii="Times New Roman" w:hAnsi="Times New Roman" w:cs="Times New Roman"/>
          <w:sz w:val="24"/>
          <w:szCs w:val="24"/>
        </w:rPr>
        <w:t xml:space="preserve">five </w:t>
      </w:r>
      <w:r>
        <w:rPr>
          <w:rFonts w:ascii="Times New Roman" w:hAnsi="Times New Roman" w:cs="Times New Roman"/>
          <w:sz w:val="24"/>
          <w:szCs w:val="24"/>
        </w:rPr>
        <w:t xml:space="preserve">forecast </w:t>
      </w:r>
      <w:r w:rsidRPr="00B624CD">
        <w:rPr>
          <w:rFonts w:ascii="Times New Roman" w:hAnsi="Times New Roman" w:cs="Times New Roman"/>
          <w:sz w:val="24"/>
          <w:szCs w:val="24"/>
        </w:rPr>
        <w:t>scenarios</w:t>
      </w:r>
      <w:r>
        <w:rPr>
          <w:rFonts w:ascii="Times New Roman" w:hAnsi="Times New Roman" w:cs="Times New Roman"/>
          <w:sz w:val="24"/>
          <w:szCs w:val="24"/>
        </w:rPr>
        <w:t xml:space="preserve"> for the $15 MWP, </w:t>
      </w:r>
      <w:r w:rsidRPr="00B624CD">
        <w:rPr>
          <w:rFonts w:ascii="Times New Roman" w:hAnsi="Times New Roman" w:cs="Times New Roman"/>
          <w:sz w:val="24"/>
          <w:szCs w:val="24"/>
        </w:rPr>
        <w:t xml:space="preserve">each </w:t>
      </w:r>
      <w:r>
        <w:rPr>
          <w:rFonts w:ascii="Times New Roman" w:hAnsi="Times New Roman" w:cs="Times New Roman"/>
          <w:sz w:val="24"/>
          <w:szCs w:val="24"/>
        </w:rPr>
        <w:t xml:space="preserve">having unique </w:t>
      </w:r>
      <w:r w:rsidRPr="00B624CD">
        <w:rPr>
          <w:rFonts w:ascii="Times New Roman" w:hAnsi="Times New Roman" w:cs="Times New Roman"/>
          <w:sz w:val="24"/>
          <w:szCs w:val="24"/>
        </w:rPr>
        <w:t xml:space="preserve">underlying assumptions. </w:t>
      </w:r>
      <w:r w:rsidR="000D329E">
        <w:rPr>
          <w:rFonts w:ascii="Times New Roman" w:hAnsi="Times New Roman" w:cs="Times New Roman"/>
          <w:sz w:val="24"/>
          <w:szCs w:val="24"/>
        </w:rPr>
        <w:t>Our</w:t>
      </w:r>
      <w:r w:rsidR="000D329E" w:rsidRPr="00B624CD">
        <w:rPr>
          <w:rFonts w:ascii="Times New Roman" w:hAnsi="Times New Roman" w:cs="Times New Roman"/>
          <w:sz w:val="24"/>
          <w:szCs w:val="24"/>
        </w:rPr>
        <w:t xml:space="preserve"> </w:t>
      </w:r>
      <w:r w:rsidRPr="00B624CD">
        <w:rPr>
          <w:rFonts w:ascii="Times New Roman" w:hAnsi="Times New Roman" w:cs="Times New Roman"/>
          <w:sz w:val="24"/>
          <w:szCs w:val="24"/>
        </w:rPr>
        <w:t xml:space="preserve">study simulates </w:t>
      </w:r>
      <w:r>
        <w:rPr>
          <w:rFonts w:ascii="Times New Roman" w:hAnsi="Times New Roman" w:cs="Times New Roman"/>
          <w:sz w:val="24"/>
          <w:szCs w:val="24"/>
        </w:rPr>
        <w:t xml:space="preserve">the effects of each </w:t>
      </w:r>
      <w:r w:rsidRPr="00B624CD">
        <w:rPr>
          <w:rFonts w:ascii="Times New Roman" w:hAnsi="Times New Roman" w:cs="Times New Roman"/>
          <w:sz w:val="24"/>
          <w:szCs w:val="24"/>
        </w:rPr>
        <w:t xml:space="preserve">scenario under the new minimum wage policy </w:t>
      </w:r>
      <w:r>
        <w:rPr>
          <w:rFonts w:ascii="Times New Roman" w:hAnsi="Times New Roman" w:cs="Times New Roman"/>
          <w:sz w:val="24"/>
          <w:szCs w:val="24"/>
        </w:rPr>
        <w:t xml:space="preserve">relative </w:t>
      </w:r>
      <w:r w:rsidR="000D329E">
        <w:rPr>
          <w:rFonts w:ascii="Times New Roman" w:hAnsi="Times New Roman" w:cs="Times New Roman"/>
          <w:sz w:val="24"/>
          <w:szCs w:val="24"/>
        </w:rPr>
        <w:t xml:space="preserve">to </w:t>
      </w:r>
      <w:r>
        <w:rPr>
          <w:rFonts w:ascii="Times New Roman" w:hAnsi="Times New Roman" w:cs="Times New Roman"/>
          <w:sz w:val="24"/>
          <w:szCs w:val="24"/>
        </w:rPr>
        <w:t>the baseline $11.50 MWP</w:t>
      </w:r>
      <w:r w:rsidRPr="00B624CD">
        <w:rPr>
          <w:rFonts w:ascii="Times New Roman" w:hAnsi="Times New Roman" w:cs="Times New Roman"/>
          <w:sz w:val="24"/>
          <w:szCs w:val="24"/>
        </w:rPr>
        <w:t xml:space="preserve">. </w:t>
      </w:r>
    </w:p>
    <w:p w14:paraId="4D5A3BB5" w14:textId="36B9942E" w:rsidR="0049094B" w:rsidRPr="0094685D" w:rsidRDefault="0049094B" w:rsidP="0049094B">
      <w:pPr>
        <w:spacing w:line="480" w:lineRule="auto"/>
        <w:ind w:firstLine="720"/>
      </w:pPr>
      <w:r w:rsidRPr="00F0557E">
        <w:rPr>
          <w:rFonts w:ascii="Times New Roman" w:hAnsi="Times New Roman" w:cs="Times New Roman"/>
          <w:sz w:val="24"/>
          <w:szCs w:val="24"/>
        </w:rPr>
        <w:t>The first scenario</w:t>
      </w:r>
      <w:r>
        <w:rPr>
          <w:rFonts w:ascii="Times New Roman" w:hAnsi="Times New Roman" w:cs="Times New Roman"/>
          <w:sz w:val="24"/>
          <w:szCs w:val="24"/>
        </w:rPr>
        <w:t xml:space="preserve"> </w:t>
      </w:r>
      <w:r w:rsidRPr="00F0557E">
        <w:rPr>
          <w:rFonts w:ascii="Times New Roman" w:hAnsi="Times New Roman" w:cs="Times New Roman"/>
          <w:sz w:val="24"/>
          <w:szCs w:val="24"/>
        </w:rPr>
        <w:t xml:space="preserve">represents </w:t>
      </w:r>
      <w:r>
        <w:rPr>
          <w:rFonts w:ascii="Times New Roman" w:hAnsi="Times New Roman" w:cs="Times New Roman"/>
          <w:sz w:val="24"/>
          <w:szCs w:val="24"/>
        </w:rPr>
        <w:t xml:space="preserve">only the </w:t>
      </w:r>
      <w:r w:rsidRPr="00F0557E">
        <w:rPr>
          <w:rFonts w:ascii="Times New Roman" w:hAnsi="Times New Roman" w:cs="Times New Roman"/>
          <w:sz w:val="24"/>
          <w:szCs w:val="24"/>
        </w:rPr>
        <w:t>workers earning below $15</w:t>
      </w:r>
      <w:r w:rsidR="006B2745">
        <w:rPr>
          <w:rFonts w:ascii="Times New Roman" w:hAnsi="Times New Roman" w:cs="Times New Roman"/>
          <w:sz w:val="24"/>
          <w:szCs w:val="24"/>
        </w:rPr>
        <w:t xml:space="preserve"> in 2017</w:t>
      </w:r>
      <w:r w:rsidRPr="00F0557E">
        <w:rPr>
          <w:rFonts w:ascii="Times New Roman" w:hAnsi="Times New Roman" w:cs="Times New Roman"/>
          <w:sz w:val="24"/>
          <w:szCs w:val="24"/>
        </w:rPr>
        <w:t xml:space="preserve"> an hour</w:t>
      </w:r>
      <w:r w:rsidR="006B2745">
        <w:rPr>
          <w:rFonts w:ascii="Times New Roman" w:hAnsi="Times New Roman" w:cs="Times New Roman"/>
          <w:sz w:val="24"/>
          <w:szCs w:val="24"/>
        </w:rPr>
        <w:t xml:space="preserve"> and is deemed the “base case</w:t>
      </w:r>
      <w:r>
        <w:rPr>
          <w:rFonts w:ascii="Times New Roman" w:hAnsi="Times New Roman" w:cs="Times New Roman"/>
          <w:sz w:val="24"/>
          <w:szCs w:val="24"/>
        </w:rPr>
        <w:t>”</w:t>
      </w:r>
      <w:r w:rsidR="006B2745">
        <w:rPr>
          <w:rFonts w:ascii="Times New Roman" w:hAnsi="Times New Roman" w:cs="Times New Roman"/>
          <w:sz w:val="24"/>
          <w:szCs w:val="24"/>
        </w:rPr>
        <w:t xml:space="preserve"> and assumes no offsetting effects for businesses.</w:t>
      </w:r>
      <w:r w:rsidRPr="00F0557E">
        <w:rPr>
          <w:rFonts w:ascii="Times New Roman" w:hAnsi="Times New Roman" w:cs="Times New Roman"/>
          <w:sz w:val="24"/>
          <w:szCs w:val="24"/>
        </w:rPr>
        <w:t xml:space="preserve"> The second scenario </w:t>
      </w:r>
      <w:r w:rsidR="006B2745">
        <w:rPr>
          <w:rFonts w:ascii="Times New Roman" w:hAnsi="Times New Roman" w:cs="Times New Roman"/>
          <w:sz w:val="24"/>
          <w:szCs w:val="24"/>
        </w:rPr>
        <w:t xml:space="preserve">builds on the base case by </w:t>
      </w:r>
      <w:r w:rsidRPr="00F0557E">
        <w:rPr>
          <w:rFonts w:ascii="Times New Roman" w:hAnsi="Times New Roman" w:cs="Times New Roman"/>
          <w:sz w:val="24"/>
          <w:szCs w:val="24"/>
        </w:rPr>
        <w:t>factor</w:t>
      </w:r>
      <w:r w:rsidR="006B2745">
        <w:rPr>
          <w:rFonts w:ascii="Times New Roman" w:hAnsi="Times New Roman" w:cs="Times New Roman"/>
          <w:sz w:val="24"/>
          <w:szCs w:val="24"/>
        </w:rPr>
        <w:t>ing</w:t>
      </w:r>
      <w:r w:rsidRPr="00F0557E">
        <w:rPr>
          <w:rFonts w:ascii="Times New Roman" w:hAnsi="Times New Roman" w:cs="Times New Roman"/>
          <w:sz w:val="24"/>
          <w:szCs w:val="24"/>
        </w:rPr>
        <w:t xml:space="preserve"> in spillover effects such that the </w:t>
      </w:r>
      <w:r w:rsidR="006B2745">
        <w:rPr>
          <w:rFonts w:ascii="Times New Roman" w:hAnsi="Times New Roman" w:cs="Times New Roman"/>
          <w:sz w:val="24"/>
          <w:szCs w:val="24"/>
        </w:rPr>
        <w:t xml:space="preserve">affected minimum wage subpopulation now includes </w:t>
      </w:r>
      <w:r w:rsidRPr="00F0557E">
        <w:rPr>
          <w:rFonts w:ascii="Times New Roman" w:hAnsi="Times New Roman" w:cs="Times New Roman"/>
          <w:sz w:val="24"/>
          <w:szCs w:val="24"/>
        </w:rPr>
        <w:t xml:space="preserve">workers earning </w:t>
      </w:r>
      <w:r w:rsidR="006B2745">
        <w:rPr>
          <w:rFonts w:ascii="Times New Roman" w:hAnsi="Times New Roman" w:cs="Times New Roman"/>
          <w:sz w:val="24"/>
          <w:szCs w:val="24"/>
        </w:rPr>
        <w:t>below</w:t>
      </w:r>
      <w:r w:rsidRPr="00F0557E">
        <w:rPr>
          <w:rFonts w:ascii="Times New Roman" w:hAnsi="Times New Roman" w:cs="Times New Roman"/>
          <w:sz w:val="24"/>
          <w:szCs w:val="24"/>
        </w:rPr>
        <w:t xml:space="preserve"> $18 an hour</w:t>
      </w:r>
      <w:r>
        <w:rPr>
          <w:rFonts w:ascii="Times New Roman" w:hAnsi="Times New Roman" w:cs="Times New Roman"/>
          <w:sz w:val="24"/>
          <w:szCs w:val="24"/>
        </w:rPr>
        <w:t xml:space="preserve"> and is deemed the “worst case.” </w:t>
      </w:r>
      <w:r w:rsidRPr="00F0557E">
        <w:rPr>
          <w:rFonts w:ascii="Times New Roman" w:hAnsi="Times New Roman" w:cs="Times New Roman"/>
          <w:sz w:val="24"/>
          <w:szCs w:val="24"/>
        </w:rPr>
        <w:t xml:space="preserve">The third scenario factors in </w:t>
      </w:r>
      <w:r w:rsidRPr="0049094B">
        <w:rPr>
          <w:rFonts w:ascii="Times New Roman" w:hAnsi="Times New Roman" w:cs="Times New Roman"/>
          <w:sz w:val="24"/>
          <w:szCs w:val="24"/>
        </w:rPr>
        <w:t>productivity gains.  This scenario builds on the second scenario by taking into account increases</w:t>
      </w:r>
      <w:r w:rsidRPr="00F0557E">
        <w:rPr>
          <w:rFonts w:ascii="Times New Roman" w:hAnsi="Times New Roman" w:cs="Times New Roman"/>
          <w:sz w:val="24"/>
          <w:szCs w:val="24"/>
        </w:rPr>
        <w:t xml:space="preserve"> in worker productivity and reduced </w:t>
      </w:r>
      <w:r>
        <w:rPr>
          <w:rFonts w:ascii="Times New Roman" w:hAnsi="Times New Roman" w:cs="Times New Roman"/>
          <w:sz w:val="24"/>
          <w:szCs w:val="24"/>
        </w:rPr>
        <w:t xml:space="preserve">labor </w:t>
      </w:r>
      <w:r w:rsidRPr="00F0557E">
        <w:rPr>
          <w:rFonts w:ascii="Times New Roman" w:hAnsi="Times New Roman" w:cs="Times New Roman"/>
          <w:sz w:val="24"/>
          <w:szCs w:val="24"/>
        </w:rPr>
        <w:t>recruiting</w:t>
      </w:r>
      <w:r>
        <w:rPr>
          <w:rFonts w:ascii="Times New Roman" w:hAnsi="Times New Roman" w:cs="Times New Roman"/>
          <w:sz w:val="24"/>
          <w:szCs w:val="24"/>
        </w:rPr>
        <w:t xml:space="preserve"> and retention</w:t>
      </w:r>
      <w:r w:rsidRPr="00F0557E">
        <w:rPr>
          <w:rFonts w:ascii="Times New Roman" w:hAnsi="Times New Roman" w:cs="Times New Roman"/>
          <w:sz w:val="24"/>
          <w:szCs w:val="24"/>
        </w:rPr>
        <w:t xml:space="preserve"> costs</w:t>
      </w:r>
      <w:r>
        <w:rPr>
          <w:rFonts w:ascii="Times New Roman" w:hAnsi="Times New Roman" w:cs="Times New Roman"/>
          <w:sz w:val="24"/>
          <w:szCs w:val="24"/>
        </w:rPr>
        <w:t xml:space="preserve"> associated with higher wages</w:t>
      </w:r>
      <w:r w:rsidRPr="00F0557E">
        <w:rPr>
          <w:rFonts w:ascii="Times New Roman" w:hAnsi="Times New Roman" w:cs="Times New Roman"/>
          <w:sz w:val="24"/>
          <w:szCs w:val="24"/>
        </w:rPr>
        <w:t>. Several economic studies</w:t>
      </w:r>
      <w:r>
        <w:rPr>
          <w:rFonts w:ascii="Times New Roman" w:hAnsi="Times New Roman" w:cs="Times New Roman"/>
          <w:sz w:val="24"/>
          <w:szCs w:val="24"/>
        </w:rPr>
        <w:t xml:space="preserve"> </w:t>
      </w:r>
      <w:r w:rsidRPr="00F0557E">
        <w:rPr>
          <w:rFonts w:ascii="Times New Roman" w:hAnsi="Times New Roman" w:cs="Times New Roman"/>
          <w:sz w:val="24"/>
          <w:szCs w:val="24"/>
        </w:rPr>
        <w:t>(</w:t>
      </w:r>
      <w:proofErr w:type="spellStart"/>
      <w:r w:rsidRPr="00F0557E">
        <w:rPr>
          <w:rFonts w:ascii="Times New Roman" w:hAnsi="Times New Roman" w:cs="Times New Roman"/>
          <w:sz w:val="24"/>
          <w:szCs w:val="24"/>
        </w:rPr>
        <w:t>Boushey</w:t>
      </w:r>
      <w:proofErr w:type="spellEnd"/>
      <w:r w:rsidRPr="00F0557E">
        <w:rPr>
          <w:rFonts w:ascii="Times New Roman" w:hAnsi="Times New Roman" w:cs="Times New Roman"/>
          <w:sz w:val="24"/>
          <w:szCs w:val="24"/>
        </w:rPr>
        <w:t xml:space="preserve"> and Jane-Glynn 2012; </w:t>
      </w:r>
      <w:proofErr w:type="spellStart"/>
      <w:r w:rsidRPr="00F0557E">
        <w:rPr>
          <w:rFonts w:ascii="Times New Roman" w:hAnsi="Times New Roman" w:cs="Times New Roman"/>
          <w:sz w:val="24"/>
          <w:szCs w:val="24"/>
        </w:rPr>
        <w:t>Cascio</w:t>
      </w:r>
      <w:proofErr w:type="spellEnd"/>
      <w:r w:rsidRPr="00F0557E">
        <w:rPr>
          <w:rFonts w:ascii="Times New Roman" w:hAnsi="Times New Roman" w:cs="Times New Roman"/>
          <w:sz w:val="24"/>
          <w:szCs w:val="24"/>
        </w:rPr>
        <w:t xml:space="preserve"> 2006; </w:t>
      </w:r>
      <w:proofErr w:type="spellStart"/>
      <w:r w:rsidRPr="00F0557E">
        <w:rPr>
          <w:rFonts w:ascii="Times New Roman" w:hAnsi="Times New Roman" w:cs="Times New Roman"/>
          <w:sz w:val="24"/>
          <w:szCs w:val="24"/>
        </w:rPr>
        <w:t>Dube</w:t>
      </w:r>
      <w:proofErr w:type="spellEnd"/>
      <w:r w:rsidRPr="00F0557E">
        <w:rPr>
          <w:rFonts w:ascii="Times New Roman" w:hAnsi="Times New Roman" w:cs="Times New Roman"/>
          <w:sz w:val="24"/>
          <w:szCs w:val="24"/>
        </w:rPr>
        <w:t xml:space="preserve"> et al. 2007; </w:t>
      </w:r>
      <w:proofErr w:type="spellStart"/>
      <w:r w:rsidRPr="00F0557E">
        <w:rPr>
          <w:rFonts w:ascii="Times New Roman" w:hAnsi="Times New Roman" w:cs="Times New Roman"/>
          <w:sz w:val="24"/>
          <w:szCs w:val="24"/>
        </w:rPr>
        <w:t>Howes</w:t>
      </w:r>
      <w:proofErr w:type="spellEnd"/>
      <w:r w:rsidRPr="00F0557E">
        <w:rPr>
          <w:rFonts w:ascii="Times New Roman" w:hAnsi="Times New Roman" w:cs="Times New Roman"/>
          <w:sz w:val="24"/>
          <w:szCs w:val="24"/>
        </w:rPr>
        <w:t xml:space="preserve"> 2005; Reich et al. 1999) show that raising wages reduce</w:t>
      </w:r>
      <w:r>
        <w:rPr>
          <w:rFonts w:ascii="Times New Roman" w:hAnsi="Times New Roman" w:cs="Times New Roman"/>
          <w:sz w:val="24"/>
          <w:szCs w:val="24"/>
        </w:rPr>
        <w:t xml:space="preserve"> </w:t>
      </w:r>
      <w:r w:rsidRPr="00F0557E">
        <w:rPr>
          <w:rFonts w:ascii="Times New Roman" w:hAnsi="Times New Roman" w:cs="Times New Roman"/>
          <w:sz w:val="24"/>
          <w:szCs w:val="24"/>
        </w:rPr>
        <w:t>costly employee turnover</w:t>
      </w:r>
      <w:r>
        <w:rPr>
          <w:rFonts w:ascii="Times New Roman" w:hAnsi="Times New Roman" w:cs="Times New Roman"/>
          <w:sz w:val="24"/>
          <w:szCs w:val="24"/>
        </w:rPr>
        <w:t xml:space="preserve"> </w:t>
      </w:r>
      <w:r w:rsidRPr="00F0557E">
        <w:rPr>
          <w:rFonts w:ascii="Times New Roman" w:hAnsi="Times New Roman" w:cs="Times New Roman"/>
          <w:sz w:val="24"/>
          <w:szCs w:val="24"/>
        </w:rPr>
        <w:t>and increases productivity, and these factors can significantly offset higher payroll costs for businesses</w:t>
      </w:r>
      <w:r>
        <w:rPr>
          <w:rFonts w:ascii="Times New Roman" w:hAnsi="Times New Roman" w:cs="Times New Roman"/>
          <w:sz w:val="24"/>
          <w:szCs w:val="24"/>
        </w:rPr>
        <w:t>.</w:t>
      </w:r>
      <w:r w:rsidRPr="00F0557E">
        <w:rPr>
          <w:rFonts w:ascii="Times New Roman" w:hAnsi="Times New Roman" w:cs="Times New Roman"/>
          <w:sz w:val="24"/>
          <w:szCs w:val="24"/>
        </w:rPr>
        <w:t xml:space="preserve"> </w:t>
      </w:r>
      <w:r>
        <w:rPr>
          <w:rFonts w:ascii="Times New Roman" w:hAnsi="Times New Roman" w:cs="Times New Roman"/>
          <w:sz w:val="24"/>
          <w:szCs w:val="24"/>
        </w:rPr>
        <w:t>We calculate that t</w:t>
      </w:r>
      <w:r w:rsidRPr="00F0557E">
        <w:rPr>
          <w:rFonts w:ascii="Times New Roman" w:hAnsi="Times New Roman" w:cs="Times New Roman"/>
          <w:sz w:val="24"/>
          <w:szCs w:val="24"/>
        </w:rPr>
        <w:t xml:space="preserve">hese savings account for a roughly 30 percent reduction in the business costs otherwise </w:t>
      </w:r>
      <w:r>
        <w:rPr>
          <w:rFonts w:ascii="Times New Roman" w:hAnsi="Times New Roman" w:cs="Times New Roman"/>
          <w:sz w:val="24"/>
          <w:szCs w:val="24"/>
        </w:rPr>
        <w:t>observed</w:t>
      </w:r>
      <w:r w:rsidRPr="00F0557E">
        <w:rPr>
          <w:rFonts w:ascii="Times New Roman" w:hAnsi="Times New Roman" w:cs="Times New Roman"/>
          <w:sz w:val="24"/>
          <w:szCs w:val="24"/>
        </w:rPr>
        <w:t xml:space="preserve"> with the wage increase</w:t>
      </w:r>
      <w:r>
        <w:rPr>
          <w:rFonts w:ascii="Times New Roman" w:hAnsi="Times New Roman" w:cs="Times New Roman"/>
          <w:sz w:val="24"/>
          <w:szCs w:val="24"/>
        </w:rPr>
        <w:t xml:space="preserve"> based on the results of these studies</w:t>
      </w:r>
      <w:r>
        <w:rPr>
          <w:rStyle w:val="FootnoteReference"/>
          <w:rFonts w:ascii="Times New Roman" w:hAnsi="Times New Roman" w:cs="Times New Roman"/>
          <w:sz w:val="24"/>
          <w:szCs w:val="24"/>
        </w:rPr>
        <w:footnoteReference w:id="9"/>
      </w:r>
      <w:r w:rsidRPr="00F0557E">
        <w:rPr>
          <w:rFonts w:ascii="Times New Roman" w:hAnsi="Times New Roman" w:cs="Times New Roman"/>
          <w:sz w:val="24"/>
          <w:szCs w:val="24"/>
        </w:rPr>
        <w:t xml:space="preserve">. </w:t>
      </w:r>
    </w:p>
    <w:p w14:paraId="19B17569" w14:textId="5EAB5A01" w:rsidR="0049094B" w:rsidRDefault="0049094B" w:rsidP="0049094B">
      <w:pPr>
        <w:spacing w:line="480" w:lineRule="auto"/>
        <w:ind w:firstLine="720"/>
        <w:rPr>
          <w:rFonts w:ascii="Times New Roman" w:hAnsi="Times New Roman" w:cs="Times New Roman"/>
          <w:sz w:val="24"/>
          <w:szCs w:val="24"/>
        </w:rPr>
      </w:pPr>
      <w:r w:rsidRPr="000B6734">
        <w:rPr>
          <w:rFonts w:ascii="Times New Roman" w:hAnsi="Times New Roman" w:cs="Times New Roman"/>
          <w:sz w:val="24"/>
          <w:szCs w:val="24"/>
        </w:rPr>
        <w:t>Our CGE model employs a “representative consumer” in analyzing consumption and savings patterns. However, since the subject of our study are minimum wage workers, we impose an additional assumption to reflect the difference in their tax paying and consumption patterns</w:t>
      </w:r>
      <w:r w:rsidR="00D60AAE">
        <w:rPr>
          <w:rFonts w:ascii="Times New Roman" w:hAnsi="Times New Roman" w:cs="Times New Roman"/>
          <w:sz w:val="24"/>
          <w:szCs w:val="24"/>
        </w:rPr>
        <w:t xml:space="preserve">; specifically, </w:t>
      </w:r>
      <w:r w:rsidRPr="00B624CD">
        <w:rPr>
          <w:rFonts w:ascii="Times New Roman" w:hAnsi="Times New Roman" w:cs="Times New Roman"/>
          <w:sz w:val="24"/>
          <w:szCs w:val="24"/>
        </w:rPr>
        <w:t>that minimum wage workers</w:t>
      </w:r>
      <w:r>
        <w:rPr>
          <w:rFonts w:ascii="Times New Roman" w:hAnsi="Times New Roman" w:cs="Times New Roman"/>
          <w:sz w:val="24"/>
          <w:szCs w:val="24"/>
        </w:rPr>
        <w:t xml:space="preserve"> pay much lower federal and state tax rates on </w:t>
      </w:r>
      <w:r>
        <w:rPr>
          <w:rFonts w:ascii="Times New Roman" w:hAnsi="Times New Roman" w:cs="Times New Roman"/>
          <w:sz w:val="24"/>
          <w:szCs w:val="24"/>
        </w:rPr>
        <w:lastRenderedPageBreak/>
        <w:t>additional wage income than a typical worker does</w:t>
      </w:r>
      <w:r w:rsidR="00D60AAE">
        <w:rPr>
          <w:rFonts w:ascii="Times New Roman" w:hAnsi="Times New Roman" w:cs="Times New Roman"/>
          <w:sz w:val="24"/>
          <w:szCs w:val="24"/>
        </w:rPr>
        <w:t>,</w:t>
      </w:r>
      <w:r>
        <w:rPr>
          <w:rFonts w:ascii="Times New Roman" w:hAnsi="Times New Roman" w:cs="Times New Roman"/>
          <w:sz w:val="24"/>
          <w:szCs w:val="24"/>
        </w:rPr>
        <w:t xml:space="preserve"> and</w:t>
      </w:r>
      <w:r w:rsidRPr="00B624CD">
        <w:rPr>
          <w:rFonts w:ascii="Times New Roman" w:hAnsi="Times New Roman" w:cs="Times New Roman"/>
          <w:sz w:val="24"/>
          <w:szCs w:val="24"/>
        </w:rPr>
        <w:t xml:space="preserve"> </w:t>
      </w:r>
      <w:r>
        <w:rPr>
          <w:rFonts w:ascii="Times New Roman" w:hAnsi="Times New Roman" w:cs="Times New Roman"/>
          <w:sz w:val="24"/>
          <w:szCs w:val="24"/>
        </w:rPr>
        <w:t xml:space="preserve">that they </w:t>
      </w:r>
      <w:r w:rsidRPr="00B624CD">
        <w:rPr>
          <w:rFonts w:ascii="Times New Roman" w:hAnsi="Times New Roman" w:cs="Times New Roman"/>
          <w:sz w:val="24"/>
          <w:szCs w:val="24"/>
        </w:rPr>
        <w:t xml:space="preserve">will spend </w:t>
      </w:r>
      <w:r w:rsidR="00962028">
        <w:rPr>
          <w:rFonts w:ascii="Times New Roman" w:hAnsi="Times New Roman" w:cs="Times New Roman"/>
          <w:sz w:val="24"/>
          <w:szCs w:val="24"/>
        </w:rPr>
        <w:t>nearly</w:t>
      </w:r>
      <w:r w:rsidRPr="00B624CD">
        <w:rPr>
          <w:rFonts w:ascii="Times New Roman" w:hAnsi="Times New Roman" w:cs="Times New Roman"/>
          <w:sz w:val="24"/>
          <w:szCs w:val="24"/>
        </w:rPr>
        <w:t xml:space="preserve"> </w:t>
      </w:r>
      <w:r>
        <w:rPr>
          <w:rFonts w:ascii="Times New Roman" w:hAnsi="Times New Roman" w:cs="Times New Roman"/>
          <w:sz w:val="24"/>
          <w:szCs w:val="24"/>
        </w:rPr>
        <w:t xml:space="preserve">all </w:t>
      </w:r>
      <w:r w:rsidRPr="00B624CD">
        <w:rPr>
          <w:rFonts w:ascii="Times New Roman" w:hAnsi="Times New Roman" w:cs="Times New Roman"/>
          <w:sz w:val="24"/>
          <w:szCs w:val="24"/>
        </w:rPr>
        <w:t xml:space="preserve">of their </w:t>
      </w:r>
      <w:r>
        <w:rPr>
          <w:rFonts w:ascii="Times New Roman" w:hAnsi="Times New Roman" w:cs="Times New Roman"/>
          <w:sz w:val="24"/>
          <w:szCs w:val="24"/>
        </w:rPr>
        <w:t>additional after</w:t>
      </w:r>
      <w:r w:rsidR="00D60AAE">
        <w:rPr>
          <w:rFonts w:ascii="Times New Roman" w:hAnsi="Times New Roman" w:cs="Times New Roman"/>
          <w:sz w:val="24"/>
          <w:szCs w:val="24"/>
        </w:rPr>
        <w:t>-</w:t>
      </w:r>
      <w:r>
        <w:rPr>
          <w:rFonts w:ascii="Times New Roman" w:hAnsi="Times New Roman" w:cs="Times New Roman"/>
          <w:sz w:val="24"/>
          <w:szCs w:val="24"/>
        </w:rPr>
        <w:t xml:space="preserve">tax </w:t>
      </w:r>
      <w:r w:rsidRPr="00B624CD">
        <w:rPr>
          <w:rFonts w:ascii="Times New Roman" w:hAnsi="Times New Roman" w:cs="Times New Roman"/>
          <w:sz w:val="24"/>
          <w:szCs w:val="24"/>
        </w:rPr>
        <w:t>income</w:t>
      </w:r>
      <w:r>
        <w:rPr>
          <w:rFonts w:ascii="Times New Roman" w:hAnsi="Times New Roman" w:cs="Times New Roman"/>
          <w:sz w:val="24"/>
          <w:szCs w:val="24"/>
        </w:rPr>
        <w:t xml:space="preserve"> </w:t>
      </w:r>
      <w:r w:rsidRPr="00B624CD">
        <w:rPr>
          <w:rFonts w:ascii="Times New Roman" w:hAnsi="Times New Roman" w:cs="Times New Roman"/>
          <w:sz w:val="24"/>
          <w:szCs w:val="24"/>
        </w:rPr>
        <w:t>on consumption</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The higher marginal </w:t>
      </w:r>
      <w:r w:rsidR="00A80746">
        <w:rPr>
          <w:rFonts w:ascii="Times New Roman" w:hAnsi="Times New Roman" w:cs="Times New Roman"/>
          <w:sz w:val="24"/>
          <w:szCs w:val="24"/>
        </w:rPr>
        <w:t xml:space="preserve">propensity to </w:t>
      </w:r>
      <w:r>
        <w:rPr>
          <w:rFonts w:ascii="Times New Roman" w:hAnsi="Times New Roman" w:cs="Times New Roman"/>
          <w:sz w:val="24"/>
          <w:szCs w:val="24"/>
        </w:rPr>
        <w:t>consum</w:t>
      </w:r>
      <w:r w:rsidR="00A80746">
        <w:rPr>
          <w:rFonts w:ascii="Times New Roman" w:hAnsi="Times New Roman" w:cs="Times New Roman"/>
          <w:sz w:val="24"/>
          <w:szCs w:val="24"/>
        </w:rPr>
        <w:t>e</w:t>
      </w:r>
      <w:r>
        <w:rPr>
          <w:rFonts w:ascii="Times New Roman" w:hAnsi="Times New Roman" w:cs="Times New Roman"/>
          <w:sz w:val="24"/>
          <w:szCs w:val="24"/>
        </w:rPr>
        <w:t xml:space="preserve"> for minimum wage workers </w:t>
      </w:r>
      <w:r w:rsidRPr="00B624CD">
        <w:rPr>
          <w:rFonts w:ascii="Times New Roman" w:hAnsi="Times New Roman" w:cs="Times New Roman"/>
          <w:sz w:val="24"/>
          <w:szCs w:val="24"/>
        </w:rPr>
        <w:t xml:space="preserve">in turn increases demand and mitigates some level of job loss (Fisher, Johnson, and </w:t>
      </w:r>
      <w:proofErr w:type="spellStart"/>
      <w:r w:rsidRPr="00B624CD">
        <w:rPr>
          <w:rFonts w:ascii="Times New Roman" w:hAnsi="Times New Roman" w:cs="Times New Roman"/>
          <w:sz w:val="24"/>
          <w:szCs w:val="24"/>
        </w:rPr>
        <w:t>Smeeding</w:t>
      </w:r>
      <w:proofErr w:type="spellEnd"/>
      <w:r w:rsidRPr="00B624CD">
        <w:rPr>
          <w:rFonts w:ascii="Times New Roman" w:hAnsi="Times New Roman" w:cs="Times New Roman"/>
          <w:sz w:val="24"/>
          <w:szCs w:val="24"/>
        </w:rPr>
        <w:t xml:space="preserve"> 2014).</w:t>
      </w:r>
      <w:r w:rsidR="006B2745">
        <w:rPr>
          <w:rFonts w:ascii="Times New Roman" w:hAnsi="Times New Roman" w:cs="Times New Roman"/>
          <w:sz w:val="24"/>
          <w:szCs w:val="24"/>
        </w:rPr>
        <w:t xml:space="preserve"> </w:t>
      </w:r>
      <w:r w:rsidR="006B2745" w:rsidRPr="00B624CD">
        <w:rPr>
          <w:rFonts w:ascii="Times New Roman" w:hAnsi="Times New Roman" w:cs="Times New Roman"/>
          <w:sz w:val="24"/>
          <w:szCs w:val="24"/>
        </w:rPr>
        <w:t xml:space="preserve">Our fourth </w:t>
      </w:r>
      <w:r w:rsidR="006B2745">
        <w:rPr>
          <w:rFonts w:ascii="Times New Roman" w:hAnsi="Times New Roman" w:cs="Times New Roman"/>
          <w:sz w:val="24"/>
          <w:szCs w:val="24"/>
        </w:rPr>
        <w:t xml:space="preserve">scenario </w:t>
      </w:r>
      <w:r w:rsidR="006B2745" w:rsidRPr="00B624CD">
        <w:rPr>
          <w:rFonts w:ascii="Times New Roman" w:hAnsi="Times New Roman" w:cs="Times New Roman"/>
          <w:sz w:val="24"/>
          <w:szCs w:val="24"/>
        </w:rPr>
        <w:t xml:space="preserve">factors in </w:t>
      </w:r>
      <w:r w:rsidR="006B2745">
        <w:rPr>
          <w:rFonts w:ascii="Times New Roman" w:hAnsi="Times New Roman" w:cs="Times New Roman"/>
          <w:sz w:val="24"/>
          <w:szCs w:val="24"/>
        </w:rPr>
        <w:t>this increased amount of consumption and is deemed the “most likely case”.</w:t>
      </w:r>
      <w:r>
        <w:rPr>
          <w:rFonts w:ascii="Times New Roman" w:hAnsi="Times New Roman" w:cs="Times New Roman"/>
          <w:sz w:val="24"/>
          <w:szCs w:val="24"/>
        </w:rPr>
        <w:t xml:space="preserve"> </w:t>
      </w:r>
      <w:r w:rsidRPr="00B624CD">
        <w:rPr>
          <w:rFonts w:ascii="Times New Roman" w:hAnsi="Times New Roman" w:cs="Times New Roman"/>
          <w:sz w:val="24"/>
          <w:szCs w:val="24"/>
        </w:rPr>
        <w:t>Our fifth and final scenario takes all of the assumptions from the fourth scenario but increases the productivity gains from 30 percent to 75 percent, representing an efficiency wage.</w:t>
      </w:r>
      <w:r>
        <w:rPr>
          <w:rStyle w:val="FootnoteReference"/>
          <w:rFonts w:ascii="Times New Roman" w:hAnsi="Times New Roman" w:cs="Times New Roman"/>
          <w:sz w:val="24"/>
          <w:szCs w:val="24"/>
        </w:rPr>
        <w:footnoteReference w:id="11"/>
      </w:r>
      <w:r w:rsidRPr="00B624CD">
        <w:rPr>
          <w:rFonts w:ascii="Times New Roman" w:hAnsi="Times New Roman" w:cs="Times New Roman"/>
          <w:sz w:val="24"/>
          <w:szCs w:val="24"/>
        </w:rPr>
        <w:t xml:space="preserve"> </w:t>
      </w:r>
      <w:r>
        <w:rPr>
          <w:rFonts w:ascii="Times New Roman" w:hAnsi="Times New Roman" w:cs="Times New Roman"/>
          <w:sz w:val="24"/>
          <w:szCs w:val="24"/>
        </w:rPr>
        <w:t xml:space="preserve"> This fifth scenario is deemed the” best case.” Table </w:t>
      </w:r>
      <w:r w:rsidR="00295979">
        <w:rPr>
          <w:rFonts w:ascii="Times New Roman" w:hAnsi="Times New Roman" w:cs="Times New Roman"/>
          <w:sz w:val="24"/>
          <w:szCs w:val="24"/>
        </w:rPr>
        <w:t>4</w:t>
      </w:r>
      <w:r>
        <w:rPr>
          <w:rFonts w:ascii="Times New Roman" w:hAnsi="Times New Roman" w:cs="Times New Roman"/>
          <w:sz w:val="24"/>
          <w:szCs w:val="24"/>
        </w:rPr>
        <w:t xml:space="preserve"> summarizes these five scenarios.</w:t>
      </w:r>
    </w:p>
    <w:p w14:paraId="43BE90A9" w14:textId="32120855" w:rsidR="0049094B" w:rsidRPr="009F0695" w:rsidRDefault="0049094B" w:rsidP="009F069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our view, we consider Scenario 2 as the worst case because it has the highest labor cost increases with no offsetting economic gains from the policy. We consider Scenario 5 as the optimistically best case. This scenario assumes the minimum wage workers will consume nearly all of their additional income increases, </w:t>
      </w:r>
      <w:r w:rsidRPr="001D7910">
        <w:rPr>
          <w:rFonts w:ascii="Times New Roman" w:hAnsi="Times New Roman" w:cs="Times New Roman"/>
          <w:sz w:val="24"/>
          <w:szCs w:val="24"/>
        </w:rPr>
        <w:t xml:space="preserve">workers raise their own productivity, </w:t>
      </w:r>
      <w:r w:rsidR="004909DF">
        <w:rPr>
          <w:rFonts w:ascii="Times New Roman" w:hAnsi="Times New Roman" w:cs="Times New Roman"/>
          <w:sz w:val="24"/>
          <w:szCs w:val="24"/>
        </w:rPr>
        <w:t xml:space="preserve">and that </w:t>
      </w:r>
      <w:r w:rsidRPr="001D7910">
        <w:rPr>
          <w:rFonts w:ascii="Times New Roman" w:hAnsi="Times New Roman" w:cs="Times New Roman"/>
          <w:sz w:val="24"/>
          <w:szCs w:val="24"/>
        </w:rPr>
        <w:t xml:space="preserve">turnover </w:t>
      </w:r>
      <w:r w:rsidRPr="00850766">
        <w:rPr>
          <w:rFonts w:ascii="Times New Roman" w:hAnsi="Times New Roman" w:cs="Times New Roman"/>
          <w:sz w:val="24"/>
          <w:szCs w:val="24"/>
        </w:rPr>
        <w:t xml:space="preserve">costs are </w:t>
      </w:r>
      <w:r>
        <w:rPr>
          <w:rFonts w:ascii="Times New Roman" w:hAnsi="Times New Roman" w:cs="Times New Roman"/>
          <w:sz w:val="24"/>
          <w:szCs w:val="24"/>
        </w:rPr>
        <w:t xml:space="preserve">considerably </w:t>
      </w:r>
      <w:r w:rsidRPr="00850766">
        <w:rPr>
          <w:rFonts w:ascii="Times New Roman" w:hAnsi="Times New Roman" w:cs="Times New Roman"/>
          <w:sz w:val="24"/>
          <w:szCs w:val="24"/>
        </w:rPr>
        <w:t>reduced</w:t>
      </w:r>
      <w:r>
        <w:rPr>
          <w:rFonts w:ascii="Times New Roman" w:hAnsi="Times New Roman" w:cs="Times New Roman"/>
          <w:sz w:val="24"/>
          <w:szCs w:val="24"/>
        </w:rPr>
        <w:t>, with employers harnessing other operational and technological efficiencies</w:t>
      </w:r>
      <w:r w:rsidRPr="00850766">
        <w:rPr>
          <w:rFonts w:ascii="Times New Roman" w:hAnsi="Times New Roman" w:cs="Times New Roman"/>
          <w:sz w:val="24"/>
          <w:szCs w:val="24"/>
        </w:rPr>
        <w:t xml:space="preserve">. </w:t>
      </w:r>
      <w:r>
        <w:rPr>
          <w:rFonts w:ascii="Times New Roman" w:hAnsi="Times New Roman" w:cs="Times New Roman"/>
          <w:sz w:val="24"/>
          <w:szCs w:val="24"/>
        </w:rPr>
        <w:t xml:space="preserve"> The increases in net labor costs due to $15 MWP in scenario 5 are minimal, approximately 20 percent of Scenario 2’s labor cost. We deem Scenario 4 as the most likely out of the five scenarios because</w:t>
      </w:r>
      <w:r w:rsidR="004909DF">
        <w:rPr>
          <w:rFonts w:ascii="Times New Roman" w:hAnsi="Times New Roman" w:cs="Times New Roman"/>
          <w:sz w:val="24"/>
          <w:szCs w:val="24"/>
        </w:rPr>
        <w:t xml:space="preserve"> </w:t>
      </w:r>
      <w:r>
        <w:rPr>
          <w:rFonts w:ascii="Times New Roman" w:hAnsi="Times New Roman" w:cs="Times New Roman"/>
          <w:sz w:val="24"/>
          <w:szCs w:val="24"/>
        </w:rPr>
        <w:t xml:space="preserve">the $15 MWP </w:t>
      </w:r>
      <w:r w:rsidR="004909DF">
        <w:rPr>
          <w:rFonts w:ascii="Times New Roman" w:hAnsi="Times New Roman" w:cs="Times New Roman"/>
          <w:sz w:val="24"/>
          <w:szCs w:val="24"/>
        </w:rPr>
        <w:t xml:space="preserve">could reasonably impact </w:t>
      </w:r>
      <w:r>
        <w:rPr>
          <w:rFonts w:ascii="Times New Roman" w:hAnsi="Times New Roman" w:cs="Times New Roman"/>
          <w:sz w:val="24"/>
          <w:szCs w:val="24"/>
        </w:rPr>
        <w:t xml:space="preserve">some workers </w:t>
      </w:r>
      <w:r w:rsidR="004909DF">
        <w:rPr>
          <w:rFonts w:ascii="Times New Roman" w:hAnsi="Times New Roman" w:cs="Times New Roman"/>
          <w:sz w:val="24"/>
          <w:szCs w:val="24"/>
        </w:rPr>
        <w:t>earning</w:t>
      </w:r>
      <w:r>
        <w:rPr>
          <w:rFonts w:ascii="Times New Roman" w:hAnsi="Times New Roman" w:cs="Times New Roman"/>
          <w:sz w:val="24"/>
          <w:szCs w:val="24"/>
        </w:rPr>
        <w:t xml:space="preserve"> more than $15 an hour, </w:t>
      </w:r>
      <w:r w:rsidR="004909DF">
        <w:rPr>
          <w:rFonts w:ascii="Times New Roman" w:hAnsi="Times New Roman" w:cs="Times New Roman"/>
          <w:sz w:val="24"/>
          <w:szCs w:val="24"/>
        </w:rPr>
        <w:t xml:space="preserve">prior literature suggests </w:t>
      </w:r>
      <w:r>
        <w:rPr>
          <w:rFonts w:ascii="Times New Roman" w:hAnsi="Times New Roman" w:cs="Times New Roman"/>
          <w:sz w:val="24"/>
          <w:szCs w:val="24"/>
        </w:rPr>
        <w:t xml:space="preserve">there will be some productivity and operational/ technological efficiency gains, and the lowest earning workers </w:t>
      </w:r>
      <w:r w:rsidR="004909DF">
        <w:rPr>
          <w:rFonts w:ascii="Times New Roman" w:hAnsi="Times New Roman" w:cs="Times New Roman"/>
          <w:sz w:val="24"/>
          <w:szCs w:val="24"/>
        </w:rPr>
        <w:t xml:space="preserve">should </w:t>
      </w:r>
      <w:r>
        <w:rPr>
          <w:rFonts w:ascii="Times New Roman" w:hAnsi="Times New Roman" w:cs="Times New Roman"/>
          <w:sz w:val="24"/>
          <w:szCs w:val="24"/>
        </w:rPr>
        <w:t>have a higher propensity to consume all</w:t>
      </w:r>
      <w:r w:rsidR="004909DF">
        <w:rPr>
          <w:rFonts w:ascii="Times New Roman" w:hAnsi="Times New Roman" w:cs="Times New Roman"/>
          <w:sz w:val="24"/>
          <w:szCs w:val="24"/>
        </w:rPr>
        <w:t xml:space="preserve"> or at least substantially more</w:t>
      </w:r>
      <w:r>
        <w:rPr>
          <w:rFonts w:ascii="Times New Roman" w:hAnsi="Times New Roman" w:cs="Times New Roman"/>
          <w:sz w:val="24"/>
          <w:szCs w:val="24"/>
        </w:rPr>
        <w:t xml:space="preserve"> of their income than the average worker in the city. We</w:t>
      </w:r>
      <w:r w:rsidR="004909DF">
        <w:rPr>
          <w:rFonts w:ascii="Times New Roman" w:hAnsi="Times New Roman" w:cs="Times New Roman"/>
          <w:sz w:val="24"/>
          <w:szCs w:val="24"/>
        </w:rPr>
        <w:t>, on the other hand,</w:t>
      </w:r>
      <w:r>
        <w:rPr>
          <w:rFonts w:ascii="Times New Roman" w:hAnsi="Times New Roman" w:cs="Times New Roman"/>
          <w:sz w:val="24"/>
          <w:szCs w:val="24"/>
        </w:rPr>
        <w:t xml:space="preserve"> do not believe that 75 percent of the additional labor costs will be offset </w:t>
      </w:r>
      <w:r>
        <w:rPr>
          <w:rFonts w:ascii="Times New Roman" w:hAnsi="Times New Roman" w:cs="Times New Roman"/>
          <w:sz w:val="24"/>
          <w:szCs w:val="24"/>
        </w:rPr>
        <w:lastRenderedPageBreak/>
        <w:t>by productivity and operational/technological efficiency gains—nor the consequent null employment effects. Thus, unless stated otherwise, the reported results are based upon Scenario 4.</w:t>
      </w:r>
    </w:p>
    <w:p w14:paraId="00AA59FD" w14:textId="5572456A" w:rsidR="00FA067A" w:rsidRPr="00AA108E" w:rsidRDefault="00FA067A" w:rsidP="00AA108E">
      <w:pPr>
        <w:pStyle w:val="ListParagraph"/>
        <w:numPr>
          <w:ilvl w:val="0"/>
          <w:numId w:val="8"/>
        </w:numPr>
        <w:spacing w:line="480" w:lineRule="auto"/>
        <w:rPr>
          <w:rFonts w:ascii="Times New Roman" w:hAnsi="Times New Roman" w:cs="Times New Roman"/>
          <w:b/>
          <w:sz w:val="24"/>
          <w:szCs w:val="24"/>
        </w:rPr>
      </w:pPr>
      <w:r w:rsidRPr="00AA108E">
        <w:rPr>
          <w:rFonts w:ascii="Times New Roman" w:hAnsi="Times New Roman" w:cs="Times New Roman"/>
          <w:b/>
          <w:sz w:val="24"/>
          <w:szCs w:val="24"/>
        </w:rPr>
        <w:t xml:space="preserve">The </w:t>
      </w:r>
      <w:r w:rsidR="009A0CC0">
        <w:rPr>
          <w:rFonts w:ascii="Times New Roman" w:hAnsi="Times New Roman" w:cs="Times New Roman"/>
          <w:b/>
          <w:sz w:val="24"/>
          <w:szCs w:val="24"/>
        </w:rPr>
        <w:t xml:space="preserve">Relationship </w:t>
      </w:r>
      <w:r w:rsidRPr="00AA108E">
        <w:rPr>
          <w:rFonts w:ascii="Times New Roman" w:hAnsi="Times New Roman" w:cs="Times New Roman"/>
          <w:b/>
          <w:sz w:val="24"/>
          <w:szCs w:val="24"/>
        </w:rPr>
        <w:t xml:space="preserve">Between the $15 MWP and </w:t>
      </w:r>
      <w:r w:rsidR="009A0CC0">
        <w:rPr>
          <w:rFonts w:ascii="Times New Roman" w:hAnsi="Times New Roman" w:cs="Times New Roman"/>
          <w:b/>
          <w:sz w:val="24"/>
          <w:szCs w:val="24"/>
        </w:rPr>
        <w:t>the Safety Net</w:t>
      </w:r>
    </w:p>
    <w:p w14:paraId="224AFD07" w14:textId="725B4C4C" w:rsidR="00647BAA" w:rsidRDefault="00FA067A" w:rsidP="007F3CAB">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purpose of the District of Columbia’s $15 MWP is to help the city’s lowest </w:t>
      </w:r>
      <w:r w:rsidR="008F5EF7">
        <w:rPr>
          <w:rFonts w:ascii="Times New Roman" w:hAnsi="Times New Roman" w:cs="Times New Roman"/>
          <w:sz w:val="24"/>
          <w:szCs w:val="24"/>
        </w:rPr>
        <w:t>wage-earning</w:t>
      </w:r>
      <w:r w:rsidR="00B34FAF">
        <w:rPr>
          <w:rFonts w:ascii="Times New Roman" w:hAnsi="Times New Roman" w:cs="Times New Roman"/>
          <w:sz w:val="24"/>
          <w:szCs w:val="24"/>
        </w:rPr>
        <w:t xml:space="preserve"> </w:t>
      </w:r>
      <w:r>
        <w:rPr>
          <w:rFonts w:ascii="Times New Roman" w:hAnsi="Times New Roman" w:cs="Times New Roman"/>
          <w:sz w:val="24"/>
          <w:szCs w:val="24"/>
        </w:rPr>
        <w:t xml:space="preserve">residents </w:t>
      </w:r>
      <w:r w:rsidR="00A75D07">
        <w:rPr>
          <w:rFonts w:ascii="Times New Roman" w:hAnsi="Times New Roman" w:cs="Times New Roman"/>
          <w:sz w:val="24"/>
          <w:szCs w:val="24"/>
        </w:rPr>
        <w:t>earn</w:t>
      </w:r>
      <w:r>
        <w:rPr>
          <w:rFonts w:ascii="Times New Roman" w:hAnsi="Times New Roman" w:cs="Times New Roman"/>
          <w:sz w:val="24"/>
          <w:szCs w:val="24"/>
        </w:rPr>
        <w:t xml:space="preserve"> higher </w:t>
      </w:r>
      <w:r w:rsidR="00A75D07">
        <w:rPr>
          <w:rFonts w:ascii="Times New Roman" w:hAnsi="Times New Roman" w:cs="Times New Roman"/>
          <w:sz w:val="24"/>
          <w:szCs w:val="24"/>
        </w:rPr>
        <w:t>income</w:t>
      </w:r>
      <w:r w:rsidR="00444A92">
        <w:rPr>
          <w:rFonts w:ascii="Times New Roman" w:hAnsi="Times New Roman" w:cs="Times New Roman"/>
          <w:sz w:val="24"/>
          <w:szCs w:val="24"/>
        </w:rPr>
        <w:t>,</w:t>
      </w:r>
      <w:r>
        <w:rPr>
          <w:rFonts w:ascii="Times New Roman" w:hAnsi="Times New Roman" w:cs="Times New Roman"/>
          <w:sz w:val="24"/>
          <w:szCs w:val="24"/>
        </w:rPr>
        <w:t xml:space="preserve"> </w:t>
      </w:r>
      <w:r w:rsidR="00444A92">
        <w:rPr>
          <w:rFonts w:ascii="Times New Roman" w:hAnsi="Times New Roman" w:cs="Times New Roman"/>
          <w:sz w:val="24"/>
          <w:szCs w:val="24"/>
        </w:rPr>
        <w:t xml:space="preserve">while also </w:t>
      </w:r>
      <w:r>
        <w:rPr>
          <w:rFonts w:ascii="Times New Roman" w:hAnsi="Times New Roman" w:cs="Times New Roman"/>
          <w:sz w:val="24"/>
          <w:szCs w:val="24"/>
        </w:rPr>
        <w:t>offset</w:t>
      </w:r>
      <w:r w:rsidR="00444A92">
        <w:rPr>
          <w:rFonts w:ascii="Times New Roman" w:hAnsi="Times New Roman" w:cs="Times New Roman"/>
          <w:sz w:val="24"/>
          <w:szCs w:val="24"/>
        </w:rPr>
        <w:t>ting</w:t>
      </w:r>
      <w:r>
        <w:rPr>
          <w:rFonts w:ascii="Times New Roman" w:hAnsi="Times New Roman" w:cs="Times New Roman"/>
          <w:sz w:val="24"/>
          <w:szCs w:val="24"/>
        </w:rPr>
        <w:t xml:space="preserve"> the </w:t>
      </w:r>
      <w:r w:rsidR="00D13C73">
        <w:rPr>
          <w:rFonts w:ascii="Times New Roman" w:hAnsi="Times New Roman" w:cs="Times New Roman"/>
          <w:sz w:val="24"/>
          <w:szCs w:val="24"/>
        </w:rPr>
        <w:t xml:space="preserve">rapidly </w:t>
      </w:r>
      <w:r>
        <w:rPr>
          <w:rFonts w:ascii="Times New Roman" w:hAnsi="Times New Roman" w:cs="Times New Roman"/>
          <w:sz w:val="24"/>
          <w:szCs w:val="24"/>
        </w:rPr>
        <w:t>increasing cost of living (Gould et al. 2015)</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r w:rsidR="00444A92">
        <w:rPr>
          <w:rFonts w:ascii="Times New Roman" w:hAnsi="Times New Roman" w:cs="Times New Roman"/>
          <w:sz w:val="24"/>
          <w:szCs w:val="24"/>
        </w:rPr>
        <w:t>Other social welfare programs</w:t>
      </w:r>
      <w:r w:rsidR="00D13C73">
        <w:rPr>
          <w:rFonts w:ascii="Times New Roman" w:hAnsi="Times New Roman" w:cs="Times New Roman"/>
          <w:sz w:val="24"/>
          <w:szCs w:val="24"/>
        </w:rPr>
        <w:t xml:space="preserve"> exist to help many of these same </w:t>
      </w:r>
      <w:r>
        <w:rPr>
          <w:rFonts w:ascii="Times New Roman" w:hAnsi="Times New Roman" w:cs="Times New Roman"/>
          <w:sz w:val="24"/>
          <w:szCs w:val="24"/>
        </w:rPr>
        <w:t>city resident workers</w:t>
      </w:r>
      <w:r w:rsidR="00444A92">
        <w:rPr>
          <w:rFonts w:ascii="Times New Roman" w:hAnsi="Times New Roman" w:cs="Times New Roman"/>
          <w:sz w:val="24"/>
          <w:szCs w:val="24"/>
        </w:rPr>
        <w:t xml:space="preserve">, including </w:t>
      </w:r>
      <w:r>
        <w:rPr>
          <w:rFonts w:ascii="Times New Roman" w:hAnsi="Times New Roman" w:cs="Times New Roman"/>
          <w:sz w:val="24"/>
          <w:szCs w:val="24"/>
        </w:rPr>
        <w:t>Medicaid</w:t>
      </w:r>
      <w:r w:rsidR="00444A92">
        <w:rPr>
          <w:rFonts w:ascii="Times New Roman" w:hAnsi="Times New Roman" w:cs="Times New Roman"/>
          <w:sz w:val="24"/>
          <w:szCs w:val="24"/>
        </w:rPr>
        <w:t xml:space="preserve"> and the </w:t>
      </w:r>
      <w:r w:rsidR="00444A92" w:rsidRPr="00004A4C">
        <w:rPr>
          <w:rFonts w:ascii="Times New Roman" w:hAnsi="Times New Roman" w:cs="Times New Roman"/>
          <w:sz w:val="24"/>
          <w:szCs w:val="24"/>
        </w:rPr>
        <w:t>State Children's Health Insurance Program</w:t>
      </w:r>
      <w:r w:rsidR="00444A92">
        <w:rPr>
          <w:rFonts w:ascii="Times New Roman" w:hAnsi="Times New Roman" w:cs="Times New Roman"/>
          <w:sz w:val="24"/>
          <w:szCs w:val="24"/>
        </w:rPr>
        <w:t xml:space="preserve"> (CHIP)</w:t>
      </w:r>
      <w:r>
        <w:rPr>
          <w:rFonts w:ascii="Times New Roman" w:hAnsi="Times New Roman" w:cs="Times New Roman"/>
          <w:sz w:val="24"/>
          <w:szCs w:val="24"/>
        </w:rPr>
        <w:t xml:space="preserve">, </w:t>
      </w:r>
      <w:r w:rsidR="00444A92">
        <w:rPr>
          <w:rFonts w:ascii="Times New Roman" w:hAnsi="Times New Roman" w:cs="Times New Roman"/>
          <w:sz w:val="24"/>
          <w:szCs w:val="24"/>
        </w:rPr>
        <w:t xml:space="preserve">the </w:t>
      </w:r>
      <w:r>
        <w:rPr>
          <w:rFonts w:ascii="Times New Roman" w:hAnsi="Times New Roman" w:cs="Times New Roman"/>
          <w:sz w:val="24"/>
          <w:szCs w:val="24"/>
        </w:rPr>
        <w:t xml:space="preserve">EITC, </w:t>
      </w:r>
      <w:r w:rsidRPr="00004A4C">
        <w:rPr>
          <w:rFonts w:ascii="Times New Roman" w:hAnsi="Times New Roman" w:cs="Times New Roman"/>
          <w:sz w:val="24"/>
          <w:szCs w:val="24"/>
        </w:rPr>
        <w:t>Temporary Assistance for Needy Families</w:t>
      </w:r>
      <w:r>
        <w:rPr>
          <w:rFonts w:ascii="Times New Roman" w:hAnsi="Times New Roman" w:cs="Times New Roman"/>
          <w:sz w:val="24"/>
          <w:szCs w:val="24"/>
        </w:rPr>
        <w:t xml:space="preserve"> (TANF), </w:t>
      </w:r>
      <w:r w:rsidRPr="00004A4C">
        <w:rPr>
          <w:rFonts w:ascii="Times New Roman" w:hAnsi="Times New Roman" w:cs="Times New Roman"/>
          <w:sz w:val="24"/>
          <w:szCs w:val="24"/>
        </w:rPr>
        <w:t>Supplemental Nutrition Assistance Program</w:t>
      </w:r>
      <w:r>
        <w:rPr>
          <w:rFonts w:ascii="Times New Roman" w:hAnsi="Times New Roman" w:cs="Times New Roman"/>
          <w:sz w:val="24"/>
          <w:szCs w:val="24"/>
        </w:rPr>
        <w:t xml:space="preserve"> (SNAP), </w:t>
      </w:r>
      <w:r w:rsidR="00444A92">
        <w:rPr>
          <w:rFonts w:ascii="Times New Roman" w:hAnsi="Times New Roman" w:cs="Times New Roman"/>
          <w:sz w:val="24"/>
          <w:szCs w:val="24"/>
        </w:rPr>
        <w:t xml:space="preserve">the </w:t>
      </w:r>
      <w:r w:rsidRPr="00004A4C">
        <w:rPr>
          <w:rFonts w:ascii="Times New Roman" w:hAnsi="Times New Roman" w:cs="Times New Roman"/>
          <w:sz w:val="24"/>
          <w:szCs w:val="24"/>
        </w:rPr>
        <w:t xml:space="preserve">Special Supplemental Nutrition Program for </w:t>
      </w:r>
      <w:r w:rsidRPr="009B144A">
        <w:rPr>
          <w:rFonts w:ascii="Times New Roman" w:hAnsi="Times New Roman" w:cs="Times New Roman"/>
          <w:sz w:val="24"/>
          <w:szCs w:val="24"/>
        </w:rPr>
        <w:t>Women, Infants, and Children</w:t>
      </w:r>
      <w:r>
        <w:rPr>
          <w:rFonts w:ascii="Times New Roman" w:hAnsi="Times New Roman" w:cs="Times New Roman"/>
          <w:sz w:val="24"/>
          <w:szCs w:val="24"/>
        </w:rPr>
        <w:t xml:space="preserve"> (WIC), federal and local </w:t>
      </w:r>
      <w:r w:rsidRPr="00004A4C">
        <w:rPr>
          <w:rFonts w:ascii="Times New Roman" w:hAnsi="Times New Roman" w:cs="Times New Roman"/>
          <w:sz w:val="24"/>
          <w:szCs w:val="24"/>
        </w:rPr>
        <w:t>Housing Choice Voucher Program</w:t>
      </w:r>
      <w:r>
        <w:rPr>
          <w:rFonts w:ascii="Times New Roman" w:hAnsi="Times New Roman" w:cs="Times New Roman"/>
          <w:sz w:val="24"/>
          <w:szCs w:val="24"/>
        </w:rPr>
        <w:t>s</w:t>
      </w:r>
      <w:r w:rsidR="00444A92">
        <w:rPr>
          <w:rFonts w:ascii="Times New Roman" w:hAnsi="Times New Roman" w:cs="Times New Roman"/>
          <w:sz w:val="24"/>
          <w:szCs w:val="24"/>
        </w:rPr>
        <w:t>,</w:t>
      </w:r>
      <w:r w:rsidR="00647BAA">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F32679">
        <w:rPr>
          <w:rFonts w:ascii="Times New Roman" w:hAnsi="Times New Roman" w:cs="Times New Roman"/>
          <w:sz w:val="24"/>
          <w:szCs w:val="24"/>
        </w:rPr>
        <w:t>Low-Income</w:t>
      </w:r>
      <w:r>
        <w:rPr>
          <w:rFonts w:ascii="Times New Roman" w:hAnsi="Times New Roman" w:cs="Times New Roman"/>
          <w:sz w:val="24"/>
          <w:szCs w:val="24"/>
        </w:rPr>
        <w:t xml:space="preserve"> Home Energy Assistance Program (LIHEAP). </w:t>
      </w:r>
    </w:p>
    <w:p w14:paraId="098BBB95" w14:textId="53A96582" w:rsidR="00FA067A" w:rsidRDefault="00F3267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better </w:t>
      </w:r>
      <w:r w:rsidR="00FA067A">
        <w:rPr>
          <w:rFonts w:ascii="Times New Roman" w:hAnsi="Times New Roman" w:cs="Times New Roman"/>
          <w:sz w:val="24"/>
          <w:szCs w:val="24"/>
        </w:rPr>
        <w:t>understand the interaction between higher minimum wage</w:t>
      </w:r>
      <w:r>
        <w:rPr>
          <w:rFonts w:ascii="Times New Roman" w:hAnsi="Times New Roman" w:cs="Times New Roman"/>
          <w:sz w:val="24"/>
          <w:szCs w:val="24"/>
        </w:rPr>
        <w:t xml:space="preserve">s </w:t>
      </w:r>
      <w:r w:rsidR="00FA067A">
        <w:rPr>
          <w:rFonts w:ascii="Times New Roman" w:hAnsi="Times New Roman" w:cs="Times New Roman"/>
          <w:sz w:val="24"/>
          <w:szCs w:val="24"/>
        </w:rPr>
        <w:t>and existing public programs</w:t>
      </w:r>
      <w:r>
        <w:rPr>
          <w:rFonts w:ascii="Times New Roman" w:hAnsi="Times New Roman" w:cs="Times New Roman"/>
          <w:sz w:val="24"/>
          <w:szCs w:val="24"/>
        </w:rPr>
        <w:t>, we</w:t>
      </w:r>
      <w:r w:rsidR="00444A92">
        <w:rPr>
          <w:rFonts w:ascii="Times New Roman" w:hAnsi="Times New Roman" w:cs="Times New Roman"/>
          <w:sz w:val="24"/>
          <w:szCs w:val="24"/>
        </w:rPr>
        <w:t xml:space="preserve"> examin</w:t>
      </w:r>
      <w:r>
        <w:rPr>
          <w:rFonts w:ascii="Times New Roman" w:hAnsi="Times New Roman" w:cs="Times New Roman"/>
          <w:sz w:val="24"/>
          <w:szCs w:val="24"/>
        </w:rPr>
        <w:t>e</w:t>
      </w:r>
      <w:r w:rsidR="00444A92">
        <w:rPr>
          <w:rFonts w:ascii="Times New Roman" w:hAnsi="Times New Roman" w:cs="Times New Roman"/>
          <w:sz w:val="24"/>
          <w:szCs w:val="24"/>
        </w:rPr>
        <w:t xml:space="preserve"> the link between the</w:t>
      </w:r>
      <w:r w:rsidR="00FA067A">
        <w:rPr>
          <w:rFonts w:ascii="Times New Roman" w:hAnsi="Times New Roman" w:cs="Times New Roman"/>
          <w:sz w:val="24"/>
          <w:szCs w:val="24"/>
        </w:rPr>
        <w:t xml:space="preserve"> $15 MWP and </w:t>
      </w:r>
      <w:r w:rsidR="00444A92">
        <w:rPr>
          <w:rFonts w:ascii="Times New Roman" w:hAnsi="Times New Roman" w:cs="Times New Roman"/>
          <w:sz w:val="24"/>
          <w:szCs w:val="24"/>
        </w:rPr>
        <w:t xml:space="preserve">the EITC using </w:t>
      </w:r>
      <w:r w:rsidR="00647BAA">
        <w:rPr>
          <w:rFonts w:ascii="Times New Roman" w:hAnsi="Times New Roman" w:cs="Times New Roman"/>
          <w:sz w:val="24"/>
          <w:szCs w:val="24"/>
        </w:rPr>
        <w:t>micro</w:t>
      </w:r>
      <w:r w:rsidR="00444A92">
        <w:rPr>
          <w:rFonts w:ascii="Times New Roman" w:hAnsi="Times New Roman" w:cs="Times New Roman"/>
          <w:sz w:val="24"/>
          <w:szCs w:val="24"/>
        </w:rPr>
        <w:t>-</w:t>
      </w:r>
      <w:r w:rsidR="00647BAA">
        <w:rPr>
          <w:rFonts w:ascii="Times New Roman" w:hAnsi="Times New Roman" w:cs="Times New Roman"/>
          <w:sz w:val="24"/>
          <w:szCs w:val="24"/>
        </w:rPr>
        <w:t xml:space="preserve">level </w:t>
      </w:r>
      <w:r w:rsidR="00FA067A">
        <w:rPr>
          <w:rFonts w:ascii="Times New Roman" w:hAnsi="Times New Roman" w:cs="Times New Roman"/>
          <w:sz w:val="24"/>
          <w:szCs w:val="24"/>
        </w:rPr>
        <w:t xml:space="preserve">administrative EITC data. </w:t>
      </w:r>
      <w:r w:rsidR="00DD150C">
        <w:rPr>
          <w:rFonts w:ascii="Times New Roman" w:hAnsi="Times New Roman" w:cs="Times New Roman"/>
          <w:sz w:val="24"/>
          <w:szCs w:val="24"/>
        </w:rPr>
        <w:t>Specifically, we quantify the</w:t>
      </w:r>
      <w:r w:rsidR="00DD150C" w:rsidRPr="00B624CD">
        <w:rPr>
          <w:rFonts w:ascii="Times New Roman" w:hAnsi="Times New Roman" w:cs="Times New Roman"/>
          <w:sz w:val="24"/>
          <w:szCs w:val="24"/>
        </w:rPr>
        <w:t xml:space="preserve"> </w:t>
      </w:r>
      <w:r w:rsidR="00DD150C">
        <w:rPr>
          <w:rFonts w:ascii="Times New Roman" w:hAnsi="Times New Roman" w:cs="Times New Roman"/>
          <w:sz w:val="24"/>
          <w:szCs w:val="24"/>
        </w:rPr>
        <w:t xml:space="preserve">net effect as well as the distributional effect of the </w:t>
      </w:r>
      <w:r w:rsidR="00DD150C" w:rsidRPr="00B624CD">
        <w:rPr>
          <w:rFonts w:ascii="Times New Roman" w:hAnsi="Times New Roman" w:cs="Times New Roman"/>
          <w:sz w:val="24"/>
          <w:szCs w:val="24"/>
        </w:rPr>
        <w:t xml:space="preserve">overlap of </w:t>
      </w:r>
      <w:r w:rsidR="00DD150C">
        <w:rPr>
          <w:rFonts w:ascii="Times New Roman" w:hAnsi="Times New Roman" w:cs="Times New Roman"/>
          <w:sz w:val="24"/>
          <w:szCs w:val="24"/>
        </w:rPr>
        <w:t xml:space="preserve">these </w:t>
      </w:r>
      <w:r w:rsidR="00DD150C" w:rsidRPr="00B624CD">
        <w:rPr>
          <w:rFonts w:ascii="Times New Roman" w:hAnsi="Times New Roman" w:cs="Times New Roman"/>
          <w:sz w:val="24"/>
          <w:szCs w:val="24"/>
        </w:rPr>
        <w:t>policies</w:t>
      </w:r>
      <w:r w:rsidR="00DD150C">
        <w:rPr>
          <w:rFonts w:ascii="Times New Roman" w:hAnsi="Times New Roman" w:cs="Times New Roman"/>
          <w:sz w:val="24"/>
          <w:szCs w:val="24"/>
        </w:rPr>
        <w:t xml:space="preserve"> now using a tax policy micro s</w:t>
      </w:r>
      <w:r w:rsidR="00DD150C" w:rsidRPr="002222CA">
        <w:rPr>
          <w:rFonts w:ascii="Times New Roman" w:hAnsi="Times New Roman" w:cs="Times New Roman"/>
          <w:sz w:val="24"/>
          <w:szCs w:val="24"/>
        </w:rPr>
        <w:t xml:space="preserve">imulation </w:t>
      </w:r>
      <w:r w:rsidR="00DD150C">
        <w:rPr>
          <w:rFonts w:ascii="Times New Roman" w:hAnsi="Times New Roman" w:cs="Times New Roman"/>
          <w:sz w:val="24"/>
          <w:szCs w:val="24"/>
        </w:rPr>
        <w:t>m</w:t>
      </w:r>
      <w:r w:rsidR="00DD150C" w:rsidRPr="002222CA">
        <w:rPr>
          <w:rFonts w:ascii="Times New Roman" w:hAnsi="Times New Roman" w:cs="Times New Roman"/>
          <w:sz w:val="24"/>
          <w:szCs w:val="24"/>
        </w:rPr>
        <w:t>odel.</w:t>
      </w:r>
      <w:r w:rsidR="00DD150C" w:rsidRPr="007268B4">
        <w:rPr>
          <w:rFonts w:ascii="Times New Roman" w:hAnsi="Times New Roman" w:cs="Times New Roman"/>
          <w:sz w:val="24"/>
          <w:szCs w:val="24"/>
        </w:rPr>
        <w:t xml:space="preserve"> </w:t>
      </w:r>
      <w:r w:rsidR="00AD266D">
        <w:rPr>
          <w:rFonts w:ascii="Times New Roman" w:hAnsi="Times New Roman" w:cs="Times New Roman"/>
          <w:sz w:val="24"/>
          <w:szCs w:val="24"/>
        </w:rPr>
        <w:t>The EITC is currently the nation’s largest federal cash transfer program for low- and moderate-income working families, and the DC EITC, equal to 40 percent of the Federal EITC, is the largest state or local supplement to the federal EITC in the country.</w:t>
      </w:r>
      <w:r>
        <w:rPr>
          <w:rFonts w:ascii="Times New Roman" w:hAnsi="Times New Roman" w:cs="Times New Roman"/>
          <w:sz w:val="24"/>
          <w:szCs w:val="24"/>
        </w:rPr>
        <w:t xml:space="preserve"> More important, it is a work-based safety </w:t>
      </w:r>
      <w:r>
        <w:rPr>
          <w:rFonts w:ascii="Times New Roman" w:hAnsi="Times New Roman" w:cs="Times New Roman"/>
          <w:sz w:val="24"/>
          <w:szCs w:val="24"/>
        </w:rPr>
        <w:lastRenderedPageBreak/>
        <w:t>net support—refunds subsidize earned income.</w:t>
      </w:r>
      <w:r w:rsidR="00AD266D">
        <w:rPr>
          <w:rStyle w:val="FootnoteReference"/>
          <w:rFonts w:ascii="Times New Roman" w:hAnsi="Times New Roman" w:cs="Times New Roman"/>
          <w:sz w:val="24"/>
          <w:szCs w:val="24"/>
        </w:rPr>
        <w:footnoteReference w:id="13"/>
      </w:r>
      <w:r w:rsidR="00AD266D">
        <w:rPr>
          <w:rFonts w:ascii="Times New Roman" w:hAnsi="Times New Roman" w:cs="Times New Roman"/>
          <w:sz w:val="24"/>
          <w:szCs w:val="24"/>
        </w:rPr>
        <w:t xml:space="preserve"> </w:t>
      </w:r>
      <w:r>
        <w:rPr>
          <w:rFonts w:ascii="Times New Roman" w:hAnsi="Times New Roman" w:cs="Times New Roman"/>
          <w:sz w:val="24"/>
          <w:szCs w:val="24"/>
        </w:rPr>
        <w:t xml:space="preserve">For this reason, it is directly related to minimum wage policy. </w:t>
      </w:r>
    </w:p>
    <w:p w14:paraId="50A80879" w14:textId="2FE62CBD" w:rsidR="00FA067A" w:rsidRPr="00AA108E" w:rsidRDefault="00FA067A" w:rsidP="00FA067A">
      <w:pPr>
        <w:spacing w:after="0" w:line="240" w:lineRule="auto"/>
        <w:rPr>
          <w:rFonts w:ascii="Times New Roman" w:eastAsia="Calibri" w:hAnsi="Times New Roman" w:cs="Times New Roman"/>
          <w:i/>
          <w:sz w:val="24"/>
          <w:szCs w:val="24"/>
        </w:rPr>
      </w:pPr>
      <w:r w:rsidRPr="00AA108E">
        <w:rPr>
          <w:rFonts w:ascii="Times New Roman" w:eastAsia="Calibri" w:hAnsi="Times New Roman" w:cs="Times New Roman"/>
          <w:i/>
          <w:sz w:val="24"/>
          <w:szCs w:val="24"/>
        </w:rPr>
        <w:t xml:space="preserve">An Earned Income Tax </w:t>
      </w:r>
      <w:r w:rsidR="00AD266D" w:rsidRPr="00AA108E">
        <w:rPr>
          <w:rFonts w:ascii="Times New Roman" w:eastAsia="Calibri" w:hAnsi="Times New Roman" w:cs="Times New Roman"/>
          <w:i/>
          <w:sz w:val="24"/>
          <w:szCs w:val="24"/>
        </w:rPr>
        <w:t xml:space="preserve">Policy Simulation </w:t>
      </w:r>
      <w:r w:rsidRPr="00AA108E">
        <w:rPr>
          <w:rFonts w:ascii="Times New Roman" w:eastAsia="Calibri" w:hAnsi="Times New Roman" w:cs="Times New Roman"/>
          <w:i/>
          <w:sz w:val="24"/>
          <w:szCs w:val="24"/>
        </w:rPr>
        <w:t>Model</w:t>
      </w:r>
    </w:p>
    <w:p w14:paraId="5959FB23" w14:textId="77777777" w:rsidR="00FA067A" w:rsidRPr="00BA787C" w:rsidRDefault="00FA067A" w:rsidP="00FA067A">
      <w:pPr>
        <w:spacing w:after="0" w:line="240" w:lineRule="auto"/>
        <w:rPr>
          <w:rFonts w:ascii="Times New Roman" w:eastAsia="Calibri" w:hAnsi="Times New Roman" w:cs="Times New Roman"/>
          <w:i/>
          <w:sz w:val="24"/>
          <w:szCs w:val="24"/>
        </w:rPr>
      </w:pPr>
    </w:p>
    <w:p w14:paraId="6C044288" w14:textId="2A60045A" w:rsidR="00FA067A" w:rsidRPr="00E34997" w:rsidRDefault="00FA067A" w:rsidP="00FA067A">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To address this </w:t>
      </w:r>
      <w:r w:rsidR="00D9551F">
        <w:rPr>
          <w:rFonts w:ascii="Times New Roman" w:eastAsia="Calibri" w:hAnsi="Times New Roman" w:cs="Times New Roman"/>
          <w:sz w:val="24"/>
          <w:szCs w:val="24"/>
        </w:rPr>
        <w:t xml:space="preserve">unique </w:t>
      </w:r>
      <w:r w:rsidR="00AD266D">
        <w:rPr>
          <w:rFonts w:ascii="Times New Roman" w:eastAsia="Calibri" w:hAnsi="Times New Roman" w:cs="Times New Roman"/>
          <w:sz w:val="24"/>
          <w:szCs w:val="24"/>
        </w:rPr>
        <w:t xml:space="preserve">but very important </w:t>
      </w:r>
      <w:r>
        <w:rPr>
          <w:rFonts w:ascii="Times New Roman" w:eastAsia="Calibri" w:hAnsi="Times New Roman" w:cs="Times New Roman"/>
          <w:sz w:val="24"/>
          <w:szCs w:val="24"/>
        </w:rPr>
        <w:t xml:space="preserve">aspect of the </w:t>
      </w:r>
      <w:r w:rsidR="00D9551F">
        <w:rPr>
          <w:rFonts w:ascii="Times New Roman" w:eastAsia="Calibri" w:hAnsi="Times New Roman" w:cs="Times New Roman"/>
          <w:sz w:val="24"/>
          <w:szCs w:val="24"/>
        </w:rPr>
        <w:t xml:space="preserve">city’s </w:t>
      </w:r>
      <w:r>
        <w:rPr>
          <w:rFonts w:ascii="Times New Roman" w:eastAsia="Calibri" w:hAnsi="Times New Roman" w:cs="Times New Roman"/>
          <w:sz w:val="24"/>
          <w:szCs w:val="24"/>
        </w:rPr>
        <w:t>economy</w:t>
      </w:r>
      <w:r w:rsidR="00DD150C">
        <w:rPr>
          <w:rFonts w:ascii="Times New Roman" w:eastAsia="Calibri" w:hAnsi="Times New Roman" w:cs="Times New Roman"/>
          <w:sz w:val="24"/>
          <w:szCs w:val="24"/>
        </w:rPr>
        <w:t xml:space="preserve"> and public policy environment</w:t>
      </w:r>
      <w:r>
        <w:rPr>
          <w:rFonts w:ascii="Times New Roman" w:eastAsia="Calibri" w:hAnsi="Times New Roman" w:cs="Times New Roman"/>
          <w:sz w:val="24"/>
          <w:szCs w:val="24"/>
        </w:rPr>
        <w:t xml:space="preserve">, we </w:t>
      </w:r>
      <w:r w:rsidRPr="00E34997">
        <w:rPr>
          <w:rFonts w:ascii="Times New Roman" w:eastAsia="Calibri" w:hAnsi="Times New Roman" w:cs="Times New Roman"/>
          <w:sz w:val="24"/>
          <w:szCs w:val="24"/>
        </w:rPr>
        <w:t>compliment the CGE analysis</w:t>
      </w:r>
      <w:r>
        <w:rPr>
          <w:rFonts w:ascii="Times New Roman" w:eastAsia="Calibri" w:hAnsi="Times New Roman" w:cs="Times New Roman"/>
          <w:sz w:val="24"/>
          <w:szCs w:val="24"/>
        </w:rPr>
        <w:t xml:space="preserve"> with</w:t>
      </w:r>
      <w:r w:rsidRPr="00E34997">
        <w:rPr>
          <w:rFonts w:ascii="Times New Roman" w:eastAsia="Calibri" w:hAnsi="Times New Roman" w:cs="Times New Roman"/>
          <w:sz w:val="24"/>
          <w:szCs w:val="24"/>
        </w:rPr>
        <w:t xml:space="preserve"> the </w:t>
      </w:r>
      <w:r>
        <w:rPr>
          <w:rFonts w:ascii="Times New Roman" w:eastAsia="Calibri" w:hAnsi="Times New Roman" w:cs="Times New Roman"/>
          <w:sz w:val="24"/>
          <w:szCs w:val="24"/>
        </w:rPr>
        <w:t xml:space="preserve">use of the </w:t>
      </w:r>
      <w:r w:rsidRPr="00E34997">
        <w:rPr>
          <w:rFonts w:ascii="Times New Roman" w:eastAsia="Calibri" w:hAnsi="Times New Roman" w:cs="Times New Roman"/>
          <w:sz w:val="24"/>
          <w:szCs w:val="24"/>
        </w:rPr>
        <w:t>District of Columbia Individual Income Tax &amp; EITC Policy Micro Simulation Model (IEM)</w:t>
      </w:r>
      <w:r>
        <w:rPr>
          <w:rFonts w:ascii="Times New Roman" w:eastAsia="Calibri" w:hAnsi="Times New Roman" w:cs="Times New Roman"/>
          <w:sz w:val="24"/>
          <w:szCs w:val="24"/>
        </w:rPr>
        <w:t xml:space="preserve">. </w:t>
      </w:r>
      <w:r w:rsidR="00D9551F">
        <w:rPr>
          <w:rFonts w:ascii="Times New Roman" w:eastAsia="Calibri" w:hAnsi="Times New Roman" w:cs="Times New Roman"/>
          <w:sz w:val="24"/>
          <w:szCs w:val="24"/>
        </w:rPr>
        <w:t>Ultimately, t</w:t>
      </w:r>
      <w:r>
        <w:rPr>
          <w:rFonts w:ascii="Times New Roman" w:eastAsia="Calibri" w:hAnsi="Times New Roman" w:cs="Times New Roman"/>
          <w:sz w:val="24"/>
          <w:szCs w:val="24"/>
        </w:rPr>
        <w:t>he IEM</w:t>
      </w:r>
      <w:r w:rsidRPr="00E34997">
        <w:rPr>
          <w:rFonts w:ascii="Times New Roman" w:eastAsia="Calibri" w:hAnsi="Times New Roman" w:cs="Times New Roman"/>
          <w:sz w:val="24"/>
          <w:szCs w:val="24"/>
        </w:rPr>
        <w:t xml:space="preserve"> simulate</w:t>
      </w:r>
      <w:r w:rsidR="00AD266D">
        <w:rPr>
          <w:rFonts w:ascii="Times New Roman" w:eastAsia="Calibri" w:hAnsi="Times New Roman" w:cs="Times New Roman"/>
          <w:sz w:val="24"/>
          <w:szCs w:val="24"/>
        </w:rPr>
        <w:t>s</w:t>
      </w:r>
      <w:r w:rsidRPr="00E34997">
        <w:rPr>
          <w:rFonts w:ascii="Times New Roman" w:eastAsia="Calibri" w:hAnsi="Times New Roman" w:cs="Times New Roman"/>
          <w:sz w:val="24"/>
          <w:szCs w:val="24"/>
        </w:rPr>
        <w:t xml:space="preserve"> </w:t>
      </w:r>
      <w:r w:rsidR="00D50B6B" w:rsidRPr="00E34997">
        <w:rPr>
          <w:rFonts w:ascii="Times New Roman" w:eastAsia="Calibri" w:hAnsi="Times New Roman" w:cs="Times New Roman"/>
          <w:sz w:val="24"/>
          <w:szCs w:val="24"/>
        </w:rPr>
        <w:t xml:space="preserve">the impact of the $15 MWP on the total federal and local EITC received in the city in </w:t>
      </w:r>
      <w:r w:rsidR="00D50B6B">
        <w:rPr>
          <w:rFonts w:ascii="Times New Roman" w:eastAsia="Calibri" w:hAnsi="Times New Roman" w:cs="Times New Roman"/>
          <w:sz w:val="24"/>
          <w:szCs w:val="24"/>
        </w:rPr>
        <w:t xml:space="preserve">year </w:t>
      </w:r>
      <w:r w:rsidR="00D50B6B" w:rsidRPr="00E34997">
        <w:rPr>
          <w:rFonts w:ascii="Times New Roman" w:eastAsia="Calibri" w:hAnsi="Times New Roman" w:cs="Times New Roman"/>
          <w:sz w:val="24"/>
          <w:szCs w:val="24"/>
        </w:rPr>
        <w:t>2021</w:t>
      </w:r>
      <w:r w:rsidR="00D50B6B">
        <w:rPr>
          <w:rFonts w:ascii="Times New Roman" w:eastAsia="Calibri" w:hAnsi="Times New Roman" w:cs="Times New Roman"/>
          <w:sz w:val="24"/>
          <w:szCs w:val="24"/>
        </w:rPr>
        <w:t xml:space="preserve"> as well as </w:t>
      </w:r>
      <w:r w:rsidRPr="00E34997">
        <w:rPr>
          <w:rFonts w:ascii="Times New Roman" w:eastAsia="Calibri" w:hAnsi="Times New Roman" w:cs="Times New Roman"/>
          <w:sz w:val="24"/>
          <w:szCs w:val="24"/>
        </w:rPr>
        <w:t xml:space="preserve">the total citywide income change due to this policy (as an alternative to the CGE produced estimate) </w:t>
      </w:r>
      <w:r w:rsidR="00D50B6B">
        <w:rPr>
          <w:rFonts w:ascii="Times New Roman" w:eastAsia="Calibri" w:hAnsi="Times New Roman" w:cs="Times New Roman"/>
          <w:sz w:val="24"/>
          <w:szCs w:val="24"/>
        </w:rPr>
        <w:t>also in 2021,</w:t>
      </w:r>
      <w:r w:rsidR="00D50B6B" w:rsidRPr="00D50B6B">
        <w:rPr>
          <w:rFonts w:ascii="Times New Roman" w:hAnsi="Times New Roman" w:cs="Times New Roman"/>
          <w:sz w:val="24"/>
          <w:szCs w:val="24"/>
        </w:rPr>
        <w:t xml:space="preserve"> </w:t>
      </w:r>
      <w:r w:rsidR="00D50B6B">
        <w:rPr>
          <w:rFonts w:ascii="Times New Roman" w:hAnsi="Times New Roman" w:cs="Times New Roman"/>
          <w:sz w:val="24"/>
          <w:szCs w:val="24"/>
        </w:rPr>
        <w:t xml:space="preserve">one year </w:t>
      </w:r>
      <w:r w:rsidR="00D50B6B" w:rsidRPr="00204204">
        <w:rPr>
          <w:rFonts w:ascii="Times New Roman" w:hAnsi="Times New Roman" w:cs="Times New Roman"/>
          <w:sz w:val="24"/>
          <w:szCs w:val="24"/>
        </w:rPr>
        <w:t xml:space="preserve">after full implementation </w:t>
      </w:r>
      <w:r w:rsidR="00D50B6B">
        <w:rPr>
          <w:rFonts w:ascii="Times New Roman" w:hAnsi="Times New Roman" w:cs="Times New Roman"/>
          <w:sz w:val="24"/>
          <w:szCs w:val="24"/>
        </w:rPr>
        <w:t>of the policy in 2020.</w:t>
      </w:r>
    </w:p>
    <w:p w14:paraId="53BFFB7F" w14:textId="1D63CB88" w:rsidR="009545C7" w:rsidRPr="00E34997" w:rsidRDefault="00FA067A">
      <w:pPr>
        <w:spacing w:after="0" w:line="480" w:lineRule="auto"/>
        <w:ind w:firstLine="720"/>
        <w:rPr>
          <w:rFonts w:ascii="Times New Roman" w:eastAsia="Calibri" w:hAnsi="Times New Roman" w:cs="Times New Roman"/>
          <w:sz w:val="24"/>
          <w:szCs w:val="24"/>
        </w:rPr>
      </w:pPr>
      <w:r w:rsidRPr="00E34997">
        <w:rPr>
          <w:rFonts w:ascii="Times New Roman" w:eastAsia="Calibri" w:hAnsi="Times New Roman" w:cs="Times New Roman"/>
          <w:sz w:val="24"/>
          <w:szCs w:val="24"/>
        </w:rPr>
        <w:t xml:space="preserve">The IEM is a comparative static model that </w:t>
      </w:r>
      <w:r w:rsidR="008F5EF7">
        <w:rPr>
          <w:rFonts w:ascii="Times New Roman" w:eastAsia="Calibri" w:hAnsi="Times New Roman" w:cs="Times New Roman"/>
          <w:sz w:val="24"/>
          <w:szCs w:val="24"/>
        </w:rPr>
        <w:t>estimates</w:t>
      </w:r>
      <w:r w:rsidRPr="00BA787C">
        <w:rPr>
          <w:rFonts w:ascii="Times New Roman" w:eastAsia="Calibri" w:hAnsi="Times New Roman" w:cs="Times New Roman"/>
          <w:sz w:val="24"/>
          <w:szCs w:val="24"/>
        </w:rPr>
        <w:t xml:space="preserve"> the incomes, </w:t>
      </w:r>
      <w:r w:rsidR="00D9551F">
        <w:rPr>
          <w:rFonts w:ascii="Times New Roman" w:eastAsia="Calibri" w:hAnsi="Times New Roman" w:cs="Times New Roman"/>
          <w:sz w:val="24"/>
          <w:szCs w:val="24"/>
        </w:rPr>
        <w:t xml:space="preserve">federal and local </w:t>
      </w:r>
      <w:r w:rsidRPr="00BA787C">
        <w:rPr>
          <w:rFonts w:ascii="Times New Roman" w:eastAsia="Calibri" w:hAnsi="Times New Roman" w:cs="Times New Roman"/>
          <w:sz w:val="24"/>
          <w:szCs w:val="24"/>
        </w:rPr>
        <w:t xml:space="preserve">earned income tax credit payments, and </w:t>
      </w:r>
      <w:r w:rsidR="00D9551F">
        <w:rPr>
          <w:rFonts w:ascii="Times New Roman" w:eastAsia="Calibri" w:hAnsi="Times New Roman" w:cs="Times New Roman"/>
          <w:sz w:val="24"/>
          <w:szCs w:val="24"/>
        </w:rPr>
        <w:t xml:space="preserve">city </w:t>
      </w:r>
      <w:r w:rsidRPr="00BA787C">
        <w:rPr>
          <w:rFonts w:ascii="Times New Roman" w:eastAsia="Calibri" w:hAnsi="Times New Roman" w:cs="Times New Roman"/>
          <w:sz w:val="24"/>
          <w:szCs w:val="24"/>
        </w:rPr>
        <w:t>income tax liabilities of directly affected working residents in year 2021</w:t>
      </w:r>
      <w:r w:rsidR="008F5EF7">
        <w:rPr>
          <w:rFonts w:ascii="Times New Roman" w:eastAsia="Calibri" w:hAnsi="Times New Roman" w:cs="Times New Roman"/>
          <w:sz w:val="24"/>
          <w:szCs w:val="24"/>
        </w:rPr>
        <w:t xml:space="preserve"> both with and without the $15 MWP</w:t>
      </w:r>
      <w:r w:rsidRPr="00BA787C">
        <w:rPr>
          <w:rFonts w:ascii="Times New Roman" w:eastAsia="Calibri" w:hAnsi="Times New Roman" w:cs="Times New Roman"/>
          <w:sz w:val="24"/>
          <w:szCs w:val="24"/>
        </w:rPr>
        <w:t>.</w:t>
      </w:r>
      <w:r>
        <w:rPr>
          <w:rFonts w:ascii="Times New Roman" w:eastAsia="Calibri" w:hAnsi="Times New Roman" w:cs="Times New Roman"/>
          <w:sz w:val="24"/>
          <w:szCs w:val="24"/>
        </w:rPr>
        <w:t xml:space="preserve">  The model </w:t>
      </w:r>
      <w:r w:rsidR="00DD150C">
        <w:rPr>
          <w:rFonts w:ascii="Times New Roman" w:eastAsia="Calibri" w:hAnsi="Times New Roman" w:cs="Times New Roman"/>
          <w:sz w:val="24"/>
          <w:szCs w:val="24"/>
        </w:rPr>
        <w:t>draws upon</w:t>
      </w:r>
      <w:r w:rsidRPr="00E34997">
        <w:rPr>
          <w:rFonts w:ascii="Times New Roman" w:eastAsia="Calibri" w:hAnsi="Times New Roman" w:cs="Times New Roman"/>
          <w:sz w:val="24"/>
          <w:szCs w:val="24"/>
        </w:rPr>
        <w:t xml:space="preserve"> administrative individual income tax return data for each income tax filer in the District of Columbia.</w:t>
      </w:r>
      <w:r>
        <w:rPr>
          <w:rFonts w:ascii="Times New Roman" w:eastAsia="Calibri" w:hAnsi="Times New Roman" w:cs="Times New Roman"/>
          <w:sz w:val="24"/>
          <w:szCs w:val="24"/>
        </w:rPr>
        <w:t xml:space="preserve"> </w:t>
      </w:r>
      <w:r w:rsidR="00D9551F">
        <w:rPr>
          <w:rFonts w:ascii="Times New Roman" w:eastAsia="Calibri" w:hAnsi="Times New Roman" w:cs="Times New Roman"/>
          <w:sz w:val="24"/>
          <w:szCs w:val="24"/>
        </w:rPr>
        <w:t>And</w:t>
      </w:r>
      <w:r w:rsidR="00DD150C">
        <w:rPr>
          <w:rFonts w:ascii="Times New Roman" w:eastAsia="Calibri" w:hAnsi="Times New Roman" w:cs="Times New Roman"/>
          <w:sz w:val="24"/>
          <w:szCs w:val="24"/>
        </w:rPr>
        <w:t>,</w:t>
      </w:r>
      <w:r>
        <w:rPr>
          <w:rFonts w:ascii="Times New Roman" w:eastAsia="Calibri" w:hAnsi="Times New Roman" w:cs="Times New Roman"/>
          <w:sz w:val="24"/>
          <w:szCs w:val="24"/>
        </w:rPr>
        <w:t xml:space="preserve"> whereas the CGE model produces results in terms of jobs, the IEM produces results in terms of tax filers</w:t>
      </w:r>
      <w:r w:rsidR="00DD150C">
        <w:rPr>
          <w:rFonts w:ascii="Times New Roman" w:eastAsia="Calibri" w:hAnsi="Times New Roman" w:cs="Times New Roman"/>
          <w:sz w:val="24"/>
          <w:szCs w:val="24"/>
        </w:rPr>
        <w:t xml:space="preserve"> units</w:t>
      </w:r>
      <w:r>
        <w:rPr>
          <w:rFonts w:ascii="Times New Roman" w:eastAsia="Calibri" w:hAnsi="Times New Roman" w:cs="Times New Roman"/>
          <w:sz w:val="24"/>
          <w:szCs w:val="24"/>
        </w:rPr>
        <w:t xml:space="preserve"> (i.e. resident income earners that file city income tax returns). The former model estimates that the $15 MWP will affect 66,968 jobs in the city held by residents.  </w:t>
      </w:r>
      <w:r w:rsidR="00DD150C">
        <w:rPr>
          <w:rFonts w:ascii="Times New Roman" w:eastAsia="Calibri" w:hAnsi="Times New Roman" w:cs="Times New Roman"/>
          <w:sz w:val="24"/>
          <w:szCs w:val="24"/>
        </w:rPr>
        <w:t>We assume</w:t>
      </w:r>
      <w:r>
        <w:rPr>
          <w:rFonts w:ascii="Times New Roman" w:eastAsia="Calibri" w:hAnsi="Times New Roman" w:cs="Times New Roman"/>
          <w:sz w:val="24"/>
          <w:szCs w:val="24"/>
        </w:rPr>
        <w:t xml:space="preserve"> that for </w:t>
      </w:r>
      <w:r w:rsidR="00DD150C">
        <w:rPr>
          <w:rFonts w:ascii="Times New Roman" w:eastAsia="Calibri" w:hAnsi="Times New Roman" w:cs="Times New Roman"/>
          <w:sz w:val="24"/>
          <w:szCs w:val="24"/>
        </w:rPr>
        <w:t xml:space="preserve">the </w:t>
      </w:r>
      <w:r>
        <w:rPr>
          <w:rFonts w:ascii="Times New Roman" w:eastAsia="Calibri" w:hAnsi="Times New Roman" w:cs="Times New Roman"/>
          <w:sz w:val="24"/>
          <w:szCs w:val="24"/>
        </w:rPr>
        <w:t>population of the city’s lowest wage workers, there will be more than a few work</w:t>
      </w:r>
      <w:r w:rsidR="00AD266D">
        <w:rPr>
          <w:rFonts w:ascii="Times New Roman" w:eastAsia="Calibri" w:hAnsi="Times New Roman" w:cs="Times New Roman"/>
          <w:sz w:val="24"/>
          <w:szCs w:val="24"/>
        </w:rPr>
        <w:t>ers hold</w:t>
      </w:r>
      <w:r w:rsidR="00DD150C">
        <w:rPr>
          <w:rFonts w:ascii="Times New Roman" w:eastAsia="Calibri" w:hAnsi="Times New Roman" w:cs="Times New Roman"/>
          <w:sz w:val="24"/>
          <w:szCs w:val="24"/>
        </w:rPr>
        <w:t>ing</w:t>
      </w:r>
      <w:r w:rsidR="00AD266D">
        <w:rPr>
          <w:rFonts w:ascii="Times New Roman" w:eastAsia="Calibri" w:hAnsi="Times New Roman" w:cs="Times New Roman"/>
          <w:sz w:val="24"/>
          <w:szCs w:val="24"/>
        </w:rPr>
        <w:t xml:space="preserve"> more than one </w:t>
      </w:r>
      <w:r>
        <w:rPr>
          <w:rFonts w:ascii="Times New Roman" w:eastAsia="Calibri" w:hAnsi="Times New Roman" w:cs="Times New Roman"/>
          <w:sz w:val="24"/>
          <w:szCs w:val="24"/>
        </w:rPr>
        <w:t>job</w:t>
      </w:r>
      <w:r w:rsidR="00DD150C">
        <w:rPr>
          <w:rFonts w:ascii="Times New Roman" w:eastAsia="Calibri" w:hAnsi="Times New Roman" w:cs="Times New Roman"/>
          <w:sz w:val="24"/>
          <w:szCs w:val="24"/>
        </w:rPr>
        <w:t xml:space="preserve">; in our model, </w:t>
      </w:r>
      <w:r>
        <w:rPr>
          <w:rFonts w:ascii="Times New Roman" w:eastAsia="Calibri" w:hAnsi="Times New Roman" w:cs="Times New Roman"/>
          <w:sz w:val="24"/>
          <w:szCs w:val="24"/>
        </w:rPr>
        <w:t>this population of workers will hold</w:t>
      </w:r>
      <w:r w:rsidR="00DD150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AD266D">
        <w:rPr>
          <w:rFonts w:ascii="Times New Roman" w:eastAsia="Calibri" w:hAnsi="Times New Roman" w:cs="Times New Roman"/>
          <w:sz w:val="24"/>
          <w:szCs w:val="24"/>
        </w:rPr>
        <w:t>on average</w:t>
      </w:r>
      <w:r w:rsidR="00DD150C">
        <w:rPr>
          <w:rFonts w:ascii="Times New Roman" w:eastAsia="Calibri" w:hAnsi="Times New Roman" w:cs="Times New Roman"/>
          <w:sz w:val="24"/>
          <w:szCs w:val="24"/>
        </w:rPr>
        <w:t>,</w:t>
      </w:r>
      <w:r w:rsidR="00AD266D">
        <w:rPr>
          <w:rFonts w:ascii="Times New Roman" w:eastAsia="Calibri" w:hAnsi="Times New Roman" w:cs="Times New Roman"/>
          <w:sz w:val="24"/>
          <w:szCs w:val="24"/>
        </w:rPr>
        <w:t xml:space="preserve"> </w:t>
      </w:r>
      <w:r>
        <w:rPr>
          <w:rFonts w:ascii="Times New Roman" w:eastAsia="Calibri" w:hAnsi="Times New Roman" w:cs="Times New Roman"/>
          <w:sz w:val="24"/>
          <w:szCs w:val="24"/>
        </w:rPr>
        <w:t>1.10 jobs.</w:t>
      </w:r>
      <w:r w:rsidR="00D9551F" w:rsidRPr="00D9551F">
        <w:rPr>
          <w:rStyle w:val="FootnoteReference"/>
          <w:rFonts w:ascii="Times New Roman" w:eastAsia="Calibri" w:hAnsi="Times New Roman" w:cs="Times New Roman"/>
          <w:sz w:val="24"/>
          <w:szCs w:val="24"/>
        </w:rPr>
        <w:t xml:space="preserve"> </w:t>
      </w:r>
      <w:r w:rsidR="00DD150C">
        <w:rPr>
          <w:rFonts w:ascii="Times New Roman" w:eastAsia="Calibri" w:hAnsi="Times New Roman" w:cs="Times New Roman"/>
          <w:sz w:val="24"/>
          <w:szCs w:val="24"/>
        </w:rPr>
        <w:t>C</w:t>
      </w:r>
      <w:r>
        <w:rPr>
          <w:rFonts w:ascii="Times New Roman" w:eastAsia="Calibri" w:hAnsi="Times New Roman" w:cs="Times New Roman"/>
          <w:sz w:val="24"/>
          <w:szCs w:val="24"/>
        </w:rPr>
        <w:t xml:space="preserve">onsequently, </w:t>
      </w:r>
      <w:r w:rsidR="00D9551F">
        <w:rPr>
          <w:rFonts w:ascii="Times New Roman" w:eastAsia="Calibri" w:hAnsi="Times New Roman" w:cs="Times New Roman"/>
          <w:sz w:val="24"/>
          <w:szCs w:val="24"/>
        </w:rPr>
        <w:t xml:space="preserve">there </w:t>
      </w:r>
      <w:r>
        <w:rPr>
          <w:rFonts w:ascii="Times New Roman" w:eastAsia="Calibri" w:hAnsi="Times New Roman" w:cs="Times New Roman"/>
          <w:sz w:val="24"/>
          <w:szCs w:val="24"/>
        </w:rPr>
        <w:t>will be 60,748</w:t>
      </w:r>
      <w:r w:rsidR="006B2745">
        <w:rPr>
          <w:rStyle w:val="FootnoteReference"/>
          <w:rFonts w:ascii="Times New Roman" w:eastAsia="Calibri" w:hAnsi="Times New Roman" w:cs="Times New Roman"/>
          <w:sz w:val="24"/>
          <w:szCs w:val="24"/>
        </w:rPr>
        <w:footnoteReference w:id="14"/>
      </w:r>
      <w:r>
        <w:rPr>
          <w:rFonts w:ascii="Times New Roman" w:eastAsia="Calibri" w:hAnsi="Times New Roman" w:cs="Times New Roman"/>
          <w:sz w:val="24"/>
          <w:szCs w:val="24"/>
        </w:rPr>
        <w:t xml:space="preserve"> </w:t>
      </w:r>
      <w:r w:rsidR="00D50B6B">
        <w:rPr>
          <w:rFonts w:ascii="Times New Roman" w:eastAsia="Calibri" w:hAnsi="Times New Roman" w:cs="Times New Roman"/>
          <w:sz w:val="24"/>
          <w:szCs w:val="24"/>
        </w:rPr>
        <w:t>income</w:t>
      </w:r>
      <w:r w:rsidR="00DD150C">
        <w:rPr>
          <w:rFonts w:ascii="Times New Roman" w:eastAsia="Calibri" w:hAnsi="Times New Roman" w:cs="Times New Roman"/>
          <w:sz w:val="24"/>
          <w:szCs w:val="24"/>
        </w:rPr>
        <w:t>-</w:t>
      </w:r>
      <w:r w:rsidR="00D50B6B">
        <w:rPr>
          <w:rFonts w:ascii="Times New Roman" w:eastAsia="Calibri" w:hAnsi="Times New Roman" w:cs="Times New Roman"/>
          <w:sz w:val="24"/>
          <w:szCs w:val="24"/>
        </w:rPr>
        <w:t xml:space="preserve">earning </w:t>
      </w:r>
      <w:r>
        <w:rPr>
          <w:rFonts w:ascii="Times New Roman" w:eastAsia="Calibri" w:hAnsi="Times New Roman" w:cs="Times New Roman"/>
          <w:sz w:val="24"/>
          <w:szCs w:val="24"/>
        </w:rPr>
        <w:t>city residents directly affected by this policy change</w:t>
      </w:r>
      <w:r w:rsidR="009A0CC0">
        <w:rPr>
          <w:rFonts w:ascii="Times New Roman" w:eastAsia="Calibri" w:hAnsi="Times New Roman" w:cs="Times New Roman"/>
          <w:sz w:val="24"/>
          <w:szCs w:val="24"/>
        </w:rPr>
        <w:t xml:space="preserve">, and we report the results of our simulation on the $15 MWP and the EITC in section VI. </w:t>
      </w:r>
    </w:p>
    <w:p w14:paraId="0F3D73BD" w14:textId="77777777" w:rsidR="00FA067A" w:rsidRPr="00AA108E" w:rsidRDefault="00FA067A" w:rsidP="00FA067A">
      <w:pPr>
        <w:spacing w:after="0" w:line="480" w:lineRule="auto"/>
        <w:rPr>
          <w:rFonts w:ascii="Times New Roman" w:eastAsia="Calibri" w:hAnsi="Times New Roman" w:cs="Times New Roman"/>
          <w:i/>
          <w:sz w:val="24"/>
          <w:szCs w:val="24"/>
        </w:rPr>
      </w:pPr>
      <w:r w:rsidRPr="00AA108E">
        <w:rPr>
          <w:rFonts w:ascii="Times New Roman" w:eastAsia="Calibri" w:hAnsi="Times New Roman" w:cs="Times New Roman"/>
          <w:i/>
          <w:sz w:val="24"/>
          <w:szCs w:val="24"/>
        </w:rPr>
        <w:lastRenderedPageBreak/>
        <w:t>Income Tax Data</w:t>
      </w:r>
    </w:p>
    <w:p w14:paraId="3131B2D4" w14:textId="0F998372" w:rsidR="00FA067A" w:rsidRDefault="00FA067A" w:rsidP="00FA067A">
      <w:pPr>
        <w:spacing w:after="0" w:line="480" w:lineRule="auto"/>
        <w:ind w:firstLine="720"/>
        <w:rPr>
          <w:rFonts w:ascii="Times New Roman" w:hAnsi="Times New Roman" w:cs="Times New Roman"/>
          <w:sz w:val="24"/>
          <w:szCs w:val="24"/>
        </w:rPr>
      </w:pPr>
      <w:r w:rsidRPr="00BA787C">
        <w:rPr>
          <w:rFonts w:ascii="Times New Roman" w:eastAsia="Calibri" w:hAnsi="Times New Roman" w:cs="Times New Roman"/>
          <w:sz w:val="24"/>
          <w:szCs w:val="24"/>
        </w:rPr>
        <w:t>At the outset, there were over 350,000 District of Columbia resident</w:t>
      </w:r>
      <w:r w:rsidR="009A0CC0">
        <w:rPr>
          <w:rFonts w:ascii="Times New Roman" w:eastAsia="Calibri" w:hAnsi="Times New Roman" w:cs="Times New Roman"/>
          <w:sz w:val="24"/>
          <w:szCs w:val="24"/>
        </w:rPr>
        <w:t>s</w:t>
      </w:r>
      <w:r w:rsidRPr="00BA787C">
        <w:rPr>
          <w:rFonts w:ascii="Times New Roman" w:eastAsia="Calibri" w:hAnsi="Times New Roman" w:cs="Times New Roman"/>
          <w:sz w:val="24"/>
          <w:szCs w:val="24"/>
        </w:rPr>
        <w:t xml:space="preserve"> that </w:t>
      </w:r>
      <w:r w:rsidR="00F84C2E">
        <w:rPr>
          <w:rFonts w:ascii="Times New Roman" w:eastAsia="Calibri" w:hAnsi="Times New Roman" w:cs="Times New Roman"/>
          <w:sz w:val="24"/>
          <w:szCs w:val="24"/>
        </w:rPr>
        <w:t>filed</w:t>
      </w:r>
      <w:r w:rsidRPr="00BA787C">
        <w:rPr>
          <w:rFonts w:ascii="Times New Roman" w:eastAsia="Calibri" w:hAnsi="Times New Roman" w:cs="Times New Roman"/>
          <w:sz w:val="24"/>
          <w:szCs w:val="24"/>
        </w:rPr>
        <w:t xml:space="preserve"> </w:t>
      </w:r>
      <w:r w:rsidR="009A0CC0">
        <w:rPr>
          <w:rFonts w:ascii="Times New Roman" w:eastAsia="Calibri" w:hAnsi="Times New Roman" w:cs="Times New Roman"/>
          <w:sz w:val="24"/>
          <w:szCs w:val="24"/>
        </w:rPr>
        <w:t xml:space="preserve">under </w:t>
      </w:r>
      <w:r w:rsidRPr="00BA787C">
        <w:rPr>
          <w:rFonts w:ascii="Times New Roman" w:eastAsia="Calibri" w:hAnsi="Times New Roman" w:cs="Times New Roman"/>
          <w:sz w:val="24"/>
          <w:szCs w:val="24"/>
        </w:rPr>
        <w:t>the District of Columb</w:t>
      </w:r>
      <w:r w:rsidR="006B2745">
        <w:rPr>
          <w:rFonts w:ascii="Times New Roman" w:eastAsia="Calibri" w:hAnsi="Times New Roman" w:cs="Times New Roman"/>
          <w:sz w:val="24"/>
          <w:szCs w:val="24"/>
        </w:rPr>
        <w:t>ia Individual Income Tax</w:t>
      </w:r>
      <w:r w:rsidRPr="00BA787C">
        <w:rPr>
          <w:rFonts w:ascii="Times New Roman" w:eastAsia="Calibri" w:hAnsi="Times New Roman" w:cs="Times New Roman"/>
          <w:sz w:val="24"/>
          <w:szCs w:val="24"/>
        </w:rPr>
        <w:t xml:space="preserve">.  Individual income tax </w:t>
      </w:r>
      <w:r>
        <w:rPr>
          <w:rFonts w:ascii="Times New Roman" w:eastAsia="Calibri" w:hAnsi="Times New Roman" w:cs="Times New Roman"/>
          <w:sz w:val="24"/>
          <w:szCs w:val="24"/>
        </w:rPr>
        <w:t xml:space="preserve">returns used in the policy simulation model </w:t>
      </w:r>
      <w:r w:rsidRPr="00BA787C">
        <w:rPr>
          <w:rFonts w:ascii="Times New Roman" w:eastAsia="Calibri" w:hAnsi="Times New Roman" w:cs="Times New Roman"/>
          <w:sz w:val="24"/>
          <w:szCs w:val="24"/>
        </w:rPr>
        <w:t>were limited to 12-month residents with annual wage earnings between $3,000 and $32,000</w:t>
      </w:r>
      <w:r w:rsidR="00A52B18">
        <w:rPr>
          <w:rFonts w:ascii="Times New Roman" w:eastAsia="Calibri" w:hAnsi="Times New Roman" w:cs="Times New Roman"/>
          <w:sz w:val="24"/>
          <w:szCs w:val="24"/>
        </w:rPr>
        <w:t>.</w:t>
      </w:r>
      <w:r>
        <w:rPr>
          <w:rStyle w:val="FootnoteReference"/>
          <w:rFonts w:ascii="Times New Roman" w:eastAsia="Calibri" w:hAnsi="Times New Roman" w:cs="Times New Roman"/>
          <w:sz w:val="24"/>
          <w:szCs w:val="24"/>
        </w:rPr>
        <w:footnoteReference w:id="15"/>
      </w:r>
      <w:r w:rsidRPr="00BA787C">
        <w:rPr>
          <w:rFonts w:ascii="Times New Roman" w:eastAsia="Calibri" w:hAnsi="Times New Roman" w:cs="Times New Roman"/>
          <w:sz w:val="24"/>
          <w:szCs w:val="24"/>
        </w:rPr>
        <w:t xml:space="preserve">  Under these criteria, there are </w:t>
      </w:r>
      <w:r w:rsidR="006F7D8E">
        <w:rPr>
          <w:rFonts w:ascii="Times New Roman" w:eastAsia="Calibri" w:hAnsi="Times New Roman" w:cs="Times New Roman"/>
          <w:sz w:val="24"/>
          <w:szCs w:val="24"/>
        </w:rPr>
        <w:t>93,462</w:t>
      </w:r>
      <w:r w:rsidRPr="00BA787C">
        <w:rPr>
          <w:rFonts w:ascii="Times New Roman" w:eastAsia="Calibri" w:hAnsi="Times New Roman" w:cs="Times New Roman"/>
          <w:sz w:val="24"/>
          <w:szCs w:val="24"/>
        </w:rPr>
        <w:t xml:space="preserve"> relevant tax filing records for working District residents. </w:t>
      </w:r>
      <w:r>
        <w:rPr>
          <w:rFonts w:ascii="Times New Roman" w:eastAsia="Calibri" w:hAnsi="Times New Roman" w:cs="Times New Roman"/>
          <w:sz w:val="24"/>
          <w:szCs w:val="24"/>
        </w:rPr>
        <w:t xml:space="preserve"> </w:t>
      </w:r>
      <w:r w:rsidR="00877C07">
        <w:rPr>
          <w:rFonts w:ascii="Times New Roman" w:eastAsia="Calibri" w:hAnsi="Times New Roman" w:cs="Times New Roman"/>
          <w:sz w:val="24"/>
          <w:szCs w:val="24"/>
        </w:rPr>
        <w:t xml:space="preserve">From this population, we randomly select 60,748 filers (per the initial estimate of affected residents from the BLS data) </w:t>
      </w:r>
      <w:r w:rsidRPr="00BA787C">
        <w:rPr>
          <w:rFonts w:ascii="Times New Roman" w:eastAsia="Calibri" w:hAnsi="Times New Roman" w:cs="Times New Roman"/>
          <w:sz w:val="24"/>
          <w:szCs w:val="24"/>
        </w:rPr>
        <w:t>to represent tax-filing District residents working i</w:t>
      </w:r>
      <w:r>
        <w:rPr>
          <w:rFonts w:ascii="Times New Roman" w:eastAsia="Calibri" w:hAnsi="Times New Roman" w:cs="Times New Roman"/>
          <w:sz w:val="24"/>
          <w:szCs w:val="24"/>
        </w:rPr>
        <w:t>n the city between 201</w:t>
      </w:r>
      <w:r w:rsidR="00B719B8">
        <w:rPr>
          <w:rFonts w:ascii="Times New Roman" w:eastAsia="Calibri" w:hAnsi="Times New Roman" w:cs="Times New Roman"/>
          <w:sz w:val="24"/>
          <w:szCs w:val="24"/>
        </w:rPr>
        <w:t>4</w:t>
      </w:r>
      <w:r>
        <w:rPr>
          <w:rFonts w:ascii="Times New Roman" w:eastAsia="Calibri" w:hAnsi="Times New Roman" w:cs="Times New Roman"/>
          <w:sz w:val="24"/>
          <w:szCs w:val="24"/>
        </w:rPr>
        <w:t xml:space="preserve"> and 2021</w:t>
      </w:r>
      <w:r w:rsidRPr="00BA787C">
        <w:rPr>
          <w:rFonts w:ascii="Times New Roman" w:eastAsia="Calibri" w:hAnsi="Times New Roman" w:cs="Times New Roman"/>
          <w:sz w:val="24"/>
          <w:szCs w:val="24"/>
        </w:rPr>
        <w:t xml:space="preserve"> who are </w:t>
      </w:r>
      <w:r w:rsidR="006F7D8E">
        <w:rPr>
          <w:rFonts w:ascii="Times New Roman" w:eastAsia="Calibri" w:hAnsi="Times New Roman" w:cs="Times New Roman"/>
          <w:sz w:val="24"/>
          <w:szCs w:val="24"/>
        </w:rPr>
        <w:t xml:space="preserve">directly </w:t>
      </w:r>
      <w:r w:rsidRPr="00BA787C">
        <w:rPr>
          <w:rFonts w:ascii="Times New Roman" w:eastAsia="Calibri" w:hAnsi="Times New Roman" w:cs="Times New Roman"/>
          <w:sz w:val="24"/>
          <w:szCs w:val="24"/>
        </w:rPr>
        <w:t>impacted by the $15 MWP.</w:t>
      </w:r>
      <w:r w:rsidRPr="00BA787C">
        <w:rPr>
          <w:rFonts w:ascii="Times New Roman" w:eastAsia="Calibri" w:hAnsi="Times New Roman" w:cs="Times New Roman"/>
          <w:sz w:val="24"/>
          <w:szCs w:val="24"/>
          <w:vertAlign w:val="superscript"/>
        </w:rPr>
        <w:footnoteReference w:id="16"/>
      </w:r>
      <w:r>
        <w:rPr>
          <w:rFonts w:ascii="Times New Roman" w:eastAsia="Calibri" w:hAnsi="Times New Roman" w:cs="Times New Roman"/>
          <w:sz w:val="24"/>
          <w:szCs w:val="24"/>
        </w:rPr>
        <w:t xml:space="preserve"> </w:t>
      </w:r>
      <w:r w:rsidR="00C72D24">
        <w:rPr>
          <w:rFonts w:ascii="Times New Roman" w:eastAsia="Calibri" w:hAnsi="Times New Roman" w:cs="Times New Roman"/>
          <w:sz w:val="24"/>
          <w:szCs w:val="24"/>
        </w:rPr>
        <w:t>W</w:t>
      </w:r>
      <w:r>
        <w:rPr>
          <w:rFonts w:ascii="Times New Roman" w:hAnsi="Times New Roman" w:cs="Times New Roman"/>
          <w:sz w:val="24"/>
          <w:szCs w:val="24"/>
        </w:rPr>
        <w:t xml:space="preserve">e estimate the annual total wages for </w:t>
      </w:r>
      <w:r w:rsidR="0021019F">
        <w:rPr>
          <w:rFonts w:ascii="Times New Roman" w:hAnsi="Times New Roman" w:cs="Times New Roman"/>
          <w:sz w:val="24"/>
          <w:szCs w:val="24"/>
        </w:rPr>
        <w:t xml:space="preserve">each </w:t>
      </w:r>
      <w:r>
        <w:rPr>
          <w:rFonts w:ascii="Times New Roman" w:hAnsi="Times New Roman" w:cs="Times New Roman"/>
          <w:sz w:val="24"/>
          <w:szCs w:val="24"/>
        </w:rPr>
        <w:t xml:space="preserve">worker/tax filer </w:t>
      </w:r>
      <w:r w:rsidR="0021019F">
        <w:rPr>
          <w:rFonts w:ascii="Times New Roman" w:hAnsi="Times New Roman" w:cs="Times New Roman"/>
          <w:sz w:val="24"/>
          <w:szCs w:val="24"/>
        </w:rPr>
        <w:t xml:space="preserve">in this </w:t>
      </w:r>
      <w:r>
        <w:rPr>
          <w:rFonts w:ascii="Times New Roman" w:hAnsi="Times New Roman" w:cs="Times New Roman"/>
          <w:sz w:val="24"/>
          <w:szCs w:val="24"/>
        </w:rPr>
        <w:t xml:space="preserve">population for both the </w:t>
      </w:r>
      <w:r w:rsidRPr="0019679E">
        <w:rPr>
          <w:rFonts w:ascii="Times New Roman" w:hAnsi="Times New Roman" w:cs="Times New Roman"/>
          <w:sz w:val="24"/>
          <w:szCs w:val="24"/>
        </w:rPr>
        <w:t>$11.50 MWP</w:t>
      </w:r>
      <w:r>
        <w:rPr>
          <w:rFonts w:ascii="Times New Roman" w:hAnsi="Times New Roman" w:cs="Times New Roman"/>
          <w:sz w:val="24"/>
          <w:szCs w:val="24"/>
        </w:rPr>
        <w:t xml:space="preserve"> (</w:t>
      </w:r>
      <w:r w:rsidRPr="0019679E">
        <w:rPr>
          <w:rFonts w:ascii="Times New Roman" w:hAnsi="Times New Roman" w:cs="Times New Roman"/>
          <w:sz w:val="24"/>
          <w:szCs w:val="24"/>
        </w:rPr>
        <w:t xml:space="preserve">baseline) and </w:t>
      </w:r>
      <w:r>
        <w:rPr>
          <w:rFonts w:ascii="Times New Roman" w:hAnsi="Times New Roman" w:cs="Times New Roman"/>
          <w:sz w:val="24"/>
          <w:szCs w:val="24"/>
        </w:rPr>
        <w:t xml:space="preserve">the </w:t>
      </w:r>
      <w:r w:rsidRPr="00DB3C27">
        <w:rPr>
          <w:rFonts w:ascii="Times New Roman" w:hAnsi="Times New Roman" w:cs="Times New Roman"/>
          <w:sz w:val="24"/>
          <w:szCs w:val="24"/>
        </w:rPr>
        <w:t>$1</w:t>
      </w:r>
      <w:r>
        <w:rPr>
          <w:rFonts w:ascii="Times New Roman" w:hAnsi="Times New Roman" w:cs="Times New Roman"/>
          <w:sz w:val="24"/>
          <w:szCs w:val="24"/>
        </w:rPr>
        <w:t>5</w:t>
      </w:r>
      <w:r w:rsidRPr="00DB3C27">
        <w:rPr>
          <w:rFonts w:ascii="Times New Roman" w:hAnsi="Times New Roman" w:cs="Times New Roman"/>
          <w:sz w:val="24"/>
          <w:szCs w:val="24"/>
        </w:rPr>
        <w:t xml:space="preserve"> MWP</w:t>
      </w:r>
      <w:r>
        <w:rPr>
          <w:rFonts w:ascii="Times New Roman" w:hAnsi="Times New Roman" w:cs="Times New Roman"/>
          <w:sz w:val="24"/>
          <w:szCs w:val="24"/>
        </w:rPr>
        <w:t xml:space="preserve"> (policy simulation</w:t>
      </w:r>
      <w:r w:rsidRPr="0019679E">
        <w:rPr>
          <w:rFonts w:ascii="Times New Roman" w:hAnsi="Times New Roman" w:cs="Times New Roman"/>
          <w:sz w:val="24"/>
          <w:szCs w:val="24"/>
        </w:rPr>
        <w:t>)</w:t>
      </w:r>
      <w:r>
        <w:rPr>
          <w:rFonts w:ascii="Times New Roman" w:hAnsi="Times New Roman" w:cs="Times New Roman"/>
          <w:sz w:val="24"/>
          <w:szCs w:val="24"/>
        </w:rPr>
        <w:t xml:space="preserve"> annually until year 202</w:t>
      </w:r>
      <w:r w:rsidR="0021019F">
        <w:rPr>
          <w:rFonts w:ascii="Times New Roman" w:hAnsi="Times New Roman" w:cs="Times New Roman"/>
          <w:sz w:val="24"/>
          <w:szCs w:val="24"/>
        </w:rPr>
        <w:t>1</w:t>
      </w:r>
      <w:r>
        <w:rPr>
          <w:rFonts w:ascii="Times New Roman" w:hAnsi="Times New Roman" w:cs="Times New Roman"/>
          <w:sz w:val="24"/>
          <w:szCs w:val="24"/>
        </w:rPr>
        <w:t xml:space="preserve">. </w:t>
      </w:r>
    </w:p>
    <w:p w14:paraId="22ED2271" w14:textId="77777777" w:rsidR="00971182" w:rsidRDefault="00971182" w:rsidP="00FA067A">
      <w:pPr>
        <w:spacing w:after="0" w:line="480" w:lineRule="auto"/>
        <w:ind w:firstLine="720"/>
        <w:rPr>
          <w:rFonts w:ascii="Times New Roman" w:eastAsia="Calibri" w:hAnsi="Times New Roman" w:cs="Times New Roman"/>
          <w:sz w:val="24"/>
          <w:szCs w:val="24"/>
        </w:rPr>
      </w:pPr>
    </w:p>
    <w:p w14:paraId="5AA64256" w14:textId="77777777" w:rsidR="007800C3" w:rsidRPr="00ED5ABB" w:rsidRDefault="007800C3" w:rsidP="007800C3">
      <w:pPr>
        <w:pStyle w:val="ListParagraph"/>
        <w:numPr>
          <w:ilvl w:val="0"/>
          <w:numId w:val="8"/>
        </w:numPr>
        <w:rPr>
          <w:rFonts w:ascii="Times New Roman" w:hAnsi="Times New Roman" w:cs="Times New Roman"/>
          <w:b/>
          <w:sz w:val="24"/>
          <w:szCs w:val="24"/>
        </w:rPr>
      </w:pPr>
      <w:r w:rsidRPr="00ED5ABB">
        <w:rPr>
          <w:rFonts w:ascii="Times New Roman" w:hAnsi="Times New Roman" w:cs="Times New Roman"/>
          <w:b/>
          <w:sz w:val="24"/>
          <w:szCs w:val="24"/>
        </w:rPr>
        <w:t>Results</w:t>
      </w:r>
    </w:p>
    <w:p w14:paraId="374BB67C" w14:textId="77777777" w:rsidR="000B58AF" w:rsidRPr="00AA108E" w:rsidRDefault="000B58AF" w:rsidP="00921D4A">
      <w:pPr>
        <w:spacing w:line="480" w:lineRule="auto"/>
        <w:rPr>
          <w:rFonts w:ascii="Times New Roman" w:hAnsi="Times New Roman" w:cs="Times New Roman"/>
          <w:i/>
          <w:sz w:val="24"/>
          <w:szCs w:val="24"/>
        </w:rPr>
      </w:pPr>
      <w:r w:rsidRPr="00AA108E">
        <w:rPr>
          <w:rFonts w:ascii="Times New Roman" w:hAnsi="Times New Roman" w:cs="Times New Roman"/>
          <w:i/>
          <w:sz w:val="24"/>
          <w:szCs w:val="24"/>
        </w:rPr>
        <w:t>Employment Impacts</w:t>
      </w:r>
    </w:p>
    <w:p w14:paraId="6EA47355" w14:textId="20065D46" w:rsidR="00794C38" w:rsidRDefault="009A0CC0" w:rsidP="009F0695">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087970">
        <w:rPr>
          <w:rFonts w:ascii="Times New Roman" w:hAnsi="Times New Roman" w:cs="Times New Roman"/>
          <w:sz w:val="24"/>
          <w:szCs w:val="24"/>
        </w:rPr>
        <w:t xml:space="preserve">he </w:t>
      </w:r>
      <w:r w:rsidR="0011453E">
        <w:rPr>
          <w:rFonts w:ascii="Times New Roman" w:hAnsi="Times New Roman" w:cs="Times New Roman"/>
          <w:sz w:val="24"/>
          <w:szCs w:val="24"/>
        </w:rPr>
        <w:t xml:space="preserve">CGE </w:t>
      </w:r>
      <w:r w:rsidR="00087970">
        <w:rPr>
          <w:rFonts w:ascii="Times New Roman" w:hAnsi="Times New Roman" w:cs="Times New Roman"/>
          <w:sz w:val="24"/>
          <w:szCs w:val="24"/>
        </w:rPr>
        <w:t xml:space="preserve">model </w:t>
      </w:r>
      <w:r>
        <w:rPr>
          <w:rFonts w:ascii="Times New Roman" w:hAnsi="Times New Roman" w:cs="Times New Roman"/>
          <w:sz w:val="24"/>
          <w:szCs w:val="24"/>
        </w:rPr>
        <w:t xml:space="preserve">produces </w:t>
      </w:r>
      <w:r w:rsidR="00087970">
        <w:rPr>
          <w:rFonts w:ascii="Times New Roman" w:hAnsi="Times New Roman" w:cs="Times New Roman"/>
          <w:sz w:val="24"/>
          <w:szCs w:val="24"/>
        </w:rPr>
        <w:t xml:space="preserve">employment impacts </w:t>
      </w:r>
      <w:r>
        <w:rPr>
          <w:rFonts w:ascii="Times New Roman" w:hAnsi="Times New Roman" w:cs="Times New Roman"/>
          <w:sz w:val="24"/>
          <w:szCs w:val="24"/>
        </w:rPr>
        <w:t>based on the five simulated policy scenarios</w:t>
      </w:r>
      <w:r w:rsidR="00087970">
        <w:rPr>
          <w:rFonts w:ascii="Times New Roman" w:hAnsi="Times New Roman" w:cs="Times New Roman"/>
          <w:sz w:val="24"/>
          <w:szCs w:val="24"/>
        </w:rPr>
        <w:t>.  In 2021</w:t>
      </w:r>
      <w:r>
        <w:rPr>
          <w:rFonts w:ascii="Times New Roman" w:hAnsi="Times New Roman" w:cs="Times New Roman"/>
          <w:sz w:val="24"/>
          <w:szCs w:val="24"/>
        </w:rPr>
        <w:t xml:space="preserve"> </w:t>
      </w:r>
      <w:r w:rsidR="00087970">
        <w:rPr>
          <w:rFonts w:ascii="Times New Roman" w:hAnsi="Times New Roman" w:cs="Times New Roman"/>
          <w:sz w:val="24"/>
          <w:szCs w:val="24"/>
        </w:rPr>
        <w:t>the model estimates</w:t>
      </w:r>
      <w:r>
        <w:rPr>
          <w:rFonts w:ascii="Times New Roman" w:hAnsi="Times New Roman" w:cs="Times New Roman"/>
          <w:sz w:val="24"/>
          <w:szCs w:val="24"/>
        </w:rPr>
        <w:t>,</w:t>
      </w:r>
      <w:r w:rsidR="00087970">
        <w:rPr>
          <w:rFonts w:ascii="Times New Roman" w:hAnsi="Times New Roman" w:cs="Times New Roman"/>
          <w:sz w:val="24"/>
          <w:szCs w:val="24"/>
        </w:rPr>
        <w:t xml:space="preserve"> for scenario 1</w:t>
      </w:r>
      <w:r>
        <w:rPr>
          <w:rFonts w:ascii="Times New Roman" w:hAnsi="Times New Roman" w:cs="Times New Roman"/>
          <w:sz w:val="24"/>
          <w:szCs w:val="24"/>
        </w:rPr>
        <w:t>,</w:t>
      </w:r>
      <w:r w:rsidR="00087970">
        <w:rPr>
          <w:rFonts w:ascii="Times New Roman" w:hAnsi="Times New Roman" w:cs="Times New Roman"/>
          <w:sz w:val="24"/>
          <w:szCs w:val="24"/>
        </w:rPr>
        <w:t xml:space="preserve"> that 1,347 city residents will become unemployed because of the $15 MWP </w:t>
      </w:r>
      <w:r w:rsidR="00C55809">
        <w:rPr>
          <w:rFonts w:ascii="Times New Roman" w:hAnsi="Times New Roman" w:cs="Times New Roman"/>
          <w:sz w:val="24"/>
          <w:szCs w:val="24"/>
        </w:rPr>
        <w:t xml:space="preserve">(Figure 2). </w:t>
      </w:r>
      <w:r w:rsidR="00087970">
        <w:rPr>
          <w:rFonts w:ascii="Times New Roman" w:hAnsi="Times New Roman" w:cs="Times New Roman"/>
          <w:sz w:val="24"/>
          <w:szCs w:val="24"/>
        </w:rPr>
        <w:t xml:space="preserve">For </w:t>
      </w:r>
      <w:r w:rsidR="0057505A">
        <w:rPr>
          <w:rFonts w:ascii="Times New Roman" w:hAnsi="Times New Roman" w:cs="Times New Roman"/>
          <w:sz w:val="24"/>
          <w:szCs w:val="24"/>
        </w:rPr>
        <w:t>S</w:t>
      </w:r>
      <w:r w:rsidR="00087970">
        <w:rPr>
          <w:rFonts w:ascii="Times New Roman" w:hAnsi="Times New Roman" w:cs="Times New Roman"/>
          <w:sz w:val="24"/>
          <w:szCs w:val="24"/>
        </w:rPr>
        <w:t xml:space="preserve">cenario 2, the </w:t>
      </w:r>
      <w:r w:rsidR="006B2745">
        <w:rPr>
          <w:rFonts w:ascii="Times New Roman" w:hAnsi="Times New Roman" w:cs="Times New Roman"/>
          <w:sz w:val="24"/>
          <w:szCs w:val="24"/>
        </w:rPr>
        <w:t>level</w:t>
      </w:r>
      <w:r w:rsidR="00087970">
        <w:rPr>
          <w:rFonts w:ascii="Times New Roman" w:hAnsi="Times New Roman" w:cs="Times New Roman"/>
          <w:sz w:val="24"/>
          <w:szCs w:val="24"/>
        </w:rPr>
        <w:t xml:space="preserve"> of the </w:t>
      </w:r>
      <w:r w:rsidR="00932555">
        <w:rPr>
          <w:rFonts w:ascii="Times New Roman" w:hAnsi="Times New Roman" w:cs="Times New Roman"/>
          <w:sz w:val="24"/>
          <w:szCs w:val="24"/>
        </w:rPr>
        <w:t xml:space="preserve">resident </w:t>
      </w:r>
      <w:r w:rsidR="00087970">
        <w:rPr>
          <w:rFonts w:ascii="Times New Roman" w:hAnsi="Times New Roman" w:cs="Times New Roman"/>
          <w:sz w:val="24"/>
          <w:szCs w:val="24"/>
        </w:rPr>
        <w:t>unemployed increase</w:t>
      </w:r>
      <w:r>
        <w:rPr>
          <w:rFonts w:ascii="Times New Roman" w:hAnsi="Times New Roman" w:cs="Times New Roman"/>
          <w:sz w:val="24"/>
          <w:szCs w:val="24"/>
        </w:rPr>
        <w:t xml:space="preserve"> </w:t>
      </w:r>
      <w:r w:rsidR="00087970">
        <w:rPr>
          <w:rFonts w:ascii="Times New Roman" w:hAnsi="Times New Roman" w:cs="Times New Roman"/>
          <w:sz w:val="24"/>
          <w:szCs w:val="24"/>
        </w:rPr>
        <w:t>to 1,680</w:t>
      </w:r>
      <w:r>
        <w:rPr>
          <w:rFonts w:ascii="Times New Roman" w:hAnsi="Times New Roman" w:cs="Times New Roman"/>
          <w:sz w:val="24"/>
          <w:szCs w:val="24"/>
        </w:rPr>
        <w:t>,</w:t>
      </w:r>
      <w:r w:rsidR="0011453E">
        <w:rPr>
          <w:rFonts w:ascii="Times New Roman" w:hAnsi="Times New Roman" w:cs="Times New Roman"/>
          <w:sz w:val="24"/>
          <w:szCs w:val="24"/>
        </w:rPr>
        <w:t xml:space="preserve"> and for </w:t>
      </w:r>
      <w:r w:rsidR="0057505A">
        <w:rPr>
          <w:rFonts w:ascii="Times New Roman" w:hAnsi="Times New Roman" w:cs="Times New Roman"/>
          <w:sz w:val="24"/>
          <w:szCs w:val="24"/>
        </w:rPr>
        <w:t>S</w:t>
      </w:r>
      <w:r w:rsidR="00087970">
        <w:rPr>
          <w:rFonts w:ascii="Times New Roman" w:hAnsi="Times New Roman" w:cs="Times New Roman"/>
          <w:sz w:val="24"/>
          <w:szCs w:val="24"/>
        </w:rPr>
        <w:t xml:space="preserve">cenario 3 </w:t>
      </w:r>
      <w:r w:rsidR="0057505A">
        <w:rPr>
          <w:rFonts w:ascii="Times New Roman" w:hAnsi="Times New Roman" w:cs="Times New Roman"/>
          <w:sz w:val="24"/>
          <w:szCs w:val="24"/>
        </w:rPr>
        <w:t xml:space="preserve">the </w:t>
      </w:r>
      <w:r>
        <w:rPr>
          <w:rFonts w:ascii="Times New Roman" w:hAnsi="Times New Roman" w:cs="Times New Roman"/>
          <w:sz w:val="24"/>
          <w:szCs w:val="24"/>
        </w:rPr>
        <w:t>unemployment</w:t>
      </w:r>
      <w:r w:rsidR="0057505A">
        <w:rPr>
          <w:rFonts w:ascii="Times New Roman" w:hAnsi="Times New Roman" w:cs="Times New Roman"/>
          <w:sz w:val="24"/>
          <w:szCs w:val="24"/>
        </w:rPr>
        <w:t xml:space="preserve"> estimate </w:t>
      </w:r>
      <w:r>
        <w:rPr>
          <w:rFonts w:ascii="Times New Roman" w:hAnsi="Times New Roman" w:cs="Times New Roman"/>
          <w:sz w:val="24"/>
          <w:szCs w:val="24"/>
        </w:rPr>
        <w:t>falls</w:t>
      </w:r>
      <w:r w:rsidR="0057505A">
        <w:rPr>
          <w:rFonts w:ascii="Times New Roman" w:hAnsi="Times New Roman" w:cs="Times New Roman"/>
          <w:sz w:val="24"/>
          <w:szCs w:val="24"/>
        </w:rPr>
        <w:t xml:space="preserve"> </w:t>
      </w:r>
      <w:r w:rsidR="00FA2D54">
        <w:rPr>
          <w:rFonts w:ascii="Times New Roman" w:hAnsi="Times New Roman" w:cs="Times New Roman"/>
          <w:sz w:val="24"/>
          <w:szCs w:val="24"/>
        </w:rPr>
        <w:t xml:space="preserve">to 1,160. Scenario 4 </w:t>
      </w:r>
      <w:r w:rsidR="00932555">
        <w:rPr>
          <w:rFonts w:ascii="Times New Roman" w:hAnsi="Times New Roman" w:cs="Times New Roman"/>
          <w:sz w:val="24"/>
          <w:szCs w:val="24"/>
        </w:rPr>
        <w:t xml:space="preserve">further </w:t>
      </w:r>
      <w:r w:rsidR="00FA2D54">
        <w:rPr>
          <w:rFonts w:ascii="Times New Roman" w:hAnsi="Times New Roman" w:cs="Times New Roman"/>
          <w:sz w:val="24"/>
          <w:szCs w:val="24"/>
        </w:rPr>
        <w:t>lower</w:t>
      </w:r>
      <w:r w:rsidR="0057505A">
        <w:rPr>
          <w:rFonts w:ascii="Times New Roman" w:hAnsi="Times New Roman" w:cs="Times New Roman"/>
          <w:sz w:val="24"/>
          <w:szCs w:val="24"/>
        </w:rPr>
        <w:t>s</w:t>
      </w:r>
      <w:r w:rsidR="00FA2D54">
        <w:rPr>
          <w:rFonts w:ascii="Times New Roman" w:hAnsi="Times New Roman" w:cs="Times New Roman"/>
          <w:sz w:val="24"/>
          <w:szCs w:val="24"/>
        </w:rPr>
        <w:t xml:space="preserve"> the </w:t>
      </w:r>
      <w:r w:rsidR="00394E47">
        <w:rPr>
          <w:rFonts w:ascii="Times New Roman" w:hAnsi="Times New Roman" w:cs="Times New Roman"/>
          <w:sz w:val="24"/>
          <w:szCs w:val="24"/>
        </w:rPr>
        <w:t xml:space="preserve">level of job loss to </w:t>
      </w:r>
      <w:r w:rsidR="00FA2D54">
        <w:rPr>
          <w:rFonts w:ascii="Times New Roman" w:hAnsi="Times New Roman" w:cs="Times New Roman"/>
          <w:sz w:val="24"/>
          <w:szCs w:val="24"/>
        </w:rPr>
        <w:t>1,074</w:t>
      </w:r>
      <w:r w:rsidR="0057505A">
        <w:rPr>
          <w:rFonts w:ascii="Times New Roman" w:hAnsi="Times New Roman" w:cs="Times New Roman"/>
          <w:sz w:val="24"/>
          <w:szCs w:val="24"/>
        </w:rPr>
        <w:t xml:space="preserve">.  </w:t>
      </w:r>
      <w:r w:rsidR="00394E47">
        <w:rPr>
          <w:rFonts w:ascii="Times New Roman" w:hAnsi="Times New Roman" w:cs="Times New Roman"/>
          <w:sz w:val="24"/>
          <w:szCs w:val="24"/>
        </w:rPr>
        <w:t xml:space="preserve">Finally, </w:t>
      </w:r>
      <w:r w:rsidR="0057505A">
        <w:rPr>
          <w:rFonts w:ascii="Times New Roman" w:hAnsi="Times New Roman" w:cs="Times New Roman"/>
          <w:sz w:val="24"/>
          <w:szCs w:val="24"/>
        </w:rPr>
        <w:t>for S</w:t>
      </w:r>
      <w:r w:rsidR="00FA2D54">
        <w:rPr>
          <w:rFonts w:ascii="Times New Roman" w:hAnsi="Times New Roman" w:cs="Times New Roman"/>
          <w:sz w:val="24"/>
          <w:szCs w:val="24"/>
        </w:rPr>
        <w:t xml:space="preserve">cenario </w:t>
      </w:r>
      <w:r w:rsidR="0057505A">
        <w:rPr>
          <w:rFonts w:ascii="Times New Roman" w:hAnsi="Times New Roman" w:cs="Times New Roman"/>
          <w:sz w:val="24"/>
          <w:szCs w:val="24"/>
        </w:rPr>
        <w:t xml:space="preserve">5, </w:t>
      </w:r>
      <w:r w:rsidR="00FA2D54">
        <w:rPr>
          <w:rFonts w:ascii="Times New Roman" w:hAnsi="Times New Roman" w:cs="Times New Roman"/>
          <w:sz w:val="24"/>
          <w:szCs w:val="24"/>
        </w:rPr>
        <w:t xml:space="preserve">the $15 minimum wage </w:t>
      </w:r>
      <w:r w:rsidR="00394E47">
        <w:rPr>
          <w:rFonts w:ascii="Times New Roman" w:hAnsi="Times New Roman" w:cs="Times New Roman"/>
          <w:sz w:val="24"/>
          <w:szCs w:val="24"/>
        </w:rPr>
        <w:t xml:space="preserve">is treated as </w:t>
      </w:r>
      <w:r w:rsidR="00FA2D54">
        <w:rPr>
          <w:rFonts w:ascii="Times New Roman" w:hAnsi="Times New Roman" w:cs="Times New Roman"/>
          <w:sz w:val="24"/>
          <w:szCs w:val="24"/>
        </w:rPr>
        <w:t>an efficiency wage</w:t>
      </w:r>
      <w:r w:rsidR="00394E47">
        <w:rPr>
          <w:rFonts w:ascii="Times New Roman" w:hAnsi="Times New Roman" w:cs="Times New Roman"/>
          <w:sz w:val="24"/>
          <w:szCs w:val="24"/>
        </w:rPr>
        <w:t xml:space="preserve">, </w:t>
      </w:r>
      <w:r w:rsidR="00FA2D54">
        <w:rPr>
          <w:rFonts w:ascii="Times New Roman" w:hAnsi="Times New Roman" w:cs="Times New Roman"/>
          <w:sz w:val="24"/>
          <w:szCs w:val="24"/>
        </w:rPr>
        <w:t>result</w:t>
      </w:r>
      <w:r w:rsidR="00394E47">
        <w:rPr>
          <w:rFonts w:ascii="Times New Roman" w:hAnsi="Times New Roman" w:cs="Times New Roman"/>
          <w:sz w:val="24"/>
          <w:szCs w:val="24"/>
        </w:rPr>
        <w:t>ing</w:t>
      </w:r>
      <w:r w:rsidR="00FA2D54">
        <w:rPr>
          <w:rFonts w:ascii="Times New Roman" w:hAnsi="Times New Roman" w:cs="Times New Roman"/>
          <w:sz w:val="24"/>
          <w:szCs w:val="24"/>
        </w:rPr>
        <w:t xml:space="preserve"> in</w:t>
      </w:r>
      <w:r w:rsidR="00394E47">
        <w:rPr>
          <w:rFonts w:ascii="Times New Roman" w:hAnsi="Times New Roman" w:cs="Times New Roman"/>
          <w:sz w:val="24"/>
          <w:szCs w:val="24"/>
        </w:rPr>
        <w:t xml:space="preserve"> only</w:t>
      </w:r>
      <w:r w:rsidR="00FA2D54">
        <w:rPr>
          <w:rFonts w:ascii="Times New Roman" w:hAnsi="Times New Roman" w:cs="Times New Roman"/>
          <w:sz w:val="24"/>
          <w:szCs w:val="24"/>
        </w:rPr>
        <w:t xml:space="preserve"> 109</w:t>
      </w:r>
      <w:r w:rsidR="00394E47">
        <w:rPr>
          <w:rFonts w:ascii="Times New Roman" w:hAnsi="Times New Roman" w:cs="Times New Roman"/>
          <w:sz w:val="24"/>
          <w:szCs w:val="24"/>
        </w:rPr>
        <w:t xml:space="preserve"> additional</w:t>
      </w:r>
      <w:r w:rsidR="0075726E">
        <w:rPr>
          <w:rFonts w:ascii="Times New Roman" w:hAnsi="Times New Roman" w:cs="Times New Roman"/>
          <w:sz w:val="24"/>
          <w:szCs w:val="24"/>
        </w:rPr>
        <w:t xml:space="preserve"> unemployed </w:t>
      </w:r>
      <w:r w:rsidR="0075726E">
        <w:rPr>
          <w:rFonts w:ascii="Times New Roman" w:hAnsi="Times New Roman" w:cs="Times New Roman"/>
          <w:sz w:val="24"/>
          <w:szCs w:val="24"/>
        </w:rPr>
        <w:lastRenderedPageBreak/>
        <w:t xml:space="preserve">residents in 2021. As we </w:t>
      </w:r>
      <w:r w:rsidR="00F22E7F">
        <w:rPr>
          <w:rFonts w:ascii="Times New Roman" w:hAnsi="Times New Roman" w:cs="Times New Roman"/>
          <w:sz w:val="24"/>
          <w:szCs w:val="24"/>
        </w:rPr>
        <w:t xml:space="preserve">move </w:t>
      </w:r>
      <w:r w:rsidR="006B2745">
        <w:rPr>
          <w:rFonts w:ascii="Times New Roman" w:hAnsi="Times New Roman" w:cs="Times New Roman"/>
          <w:sz w:val="24"/>
          <w:szCs w:val="24"/>
        </w:rPr>
        <w:t xml:space="preserve">past </w:t>
      </w:r>
      <w:r w:rsidR="0075726E">
        <w:rPr>
          <w:rFonts w:ascii="Times New Roman" w:hAnsi="Times New Roman" w:cs="Times New Roman"/>
          <w:sz w:val="24"/>
          <w:szCs w:val="24"/>
        </w:rPr>
        <w:t>scenarios</w:t>
      </w:r>
      <w:r w:rsidR="00F22E7F">
        <w:rPr>
          <w:rFonts w:ascii="Times New Roman" w:hAnsi="Times New Roman" w:cs="Times New Roman"/>
          <w:sz w:val="24"/>
          <w:szCs w:val="24"/>
        </w:rPr>
        <w:t xml:space="preserve"> 1 and 2</w:t>
      </w:r>
      <w:r w:rsidR="0075726E">
        <w:rPr>
          <w:rFonts w:ascii="Times New Roman" w:hAnsi="Times New Roman" w:cs="Times New Roman"/>
          <w:sz w:val="24"/>
          <w:szCs w:val="24"/>
        </w:rPr>
        <w:t xml:space="preserve">, the </w:t>
      </w:r>
      <w:r w:rsidR="00394E47">
        <w:rPr>
          <w:rFonts w:ascii="Times New Roman" w:hAnsi="Times New Roman" w:cs="Times New Roman"/>
          <w:sz w:val="24"/>
          <w:szCs w:val="24"/>
        </w:rPr>
        <w:t xml:space="preserve">job loss </w:t>
      </w:r>
      <w:r w:rsidR="00F22E7F">
        <w:rPr>
          <w:rFonts w:ascii="Times New Roman" w:hAnsi="Times New Roman" w:cs="Times New Roman"/>
          <w:sz w:val="24"/>
          <w:szCs w:val="24"/>
        </w:rPr>
        <w:t xml:space="preserve">responses </w:t>
      </w:r>
      <w:r w:rsidR="0075726E">
        <w:rPr>
          <w:rFonts w:ascii="Times New Roman" w:hAnsi="Times New Roman" w:cs="Times New Roman"/>
          <w:sz w:val="24"/>
          <w:szCs w:val="24"/>
        </w:rPr>
        <w:t>lessen</w:t>
      </w:r>
      <w:r w:rsidR="00877C07">
        <w:rPr>
          <w:rFonts w:ascii="Times New Roman" w:hAnsi="Times New Roman" w:cs="Times New Roman"/>
          <w:sz w:val="24"/>
          <w:szCs w:val="24"/>
        </w:rPr>
        <w:t xml:space="preserve"> as behavioral responses offset some of the higher labor costs.</w:t>
      </w:r>
    </w:p>
    <w:p w14:paraId="226891B0" w14:textId="50D590B9" w:rsidR="00594757" w:rsidRDefault="00F22E7F" w:rsidP="0059475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results</w:t>
      </w:r>
      <w:r w:rsidR="00594757">
        <w:rPr>
          <w:rFonts w:ascii="Times New Roman" w:hAnsi="Times New Roman" w:cs="Times New Roman"/>
          <w:sz w:val="24"/>
          <w:szCs w:val="24"/>
        </w:rPr>
        <w:t xml:space="preserve"> inform us that</w:t>
      </w:r>
      <w:r>
        <w:rPr>
          <w:rFonts w:ascii="Times New Roman" w:hAnsi="Times New Roman" w:cs="Times New Roman"/>
          <w:sz w:val="24"/>
          <w:szCs w:val="24"/>
        </w:rPr>
        <w:t>,</w:t>
      </w:r>
      <w:r w:rsidR="00594757">
        <w:rPr>
          <w:rFonts w:ascii="Times New Roman" w:hAnsi="Times New Roman" w:cs="Times New Roman"/>
          <w:sz w:val="24"/>
          <w:szCs w:val="24"/>
        </w:rPr>
        <w:t xml:space="preserve"> even if </w:t>
      </w:r>
      <w:r>
        <w:rPr>
          <w:rFonts w:ascii="Times New Roman" w:hAnsi="Times New Roman" w:cs="Times New Roman"/>
          <w:sz w:val="24"/>
          <w:szCs w:val="24"/>
        </w:rPr>
        <w:t>job loss is lower from one scenario to another</w:t>
      </w:r>
      <w:r w:rsidR="00594757">
        <w:rPr>
          <w:rFonts w:ascii="Times New Roman" w:hAnsi="Times New Roman" w:cs="Times New Roman"/>
          <w:sz w:val="24"/>
          <w:szCs w:val="24"/>
        </w:rPr>
        <w:t xml:space="preserve">, </w:t>
      </w:r>
      <w:r w:rsidR="00114170">
        <w:rPr>
          <w:rFonts w:ascii="Times New Roman" w:hAnsi="Times New Roman" w:cs="Times New Roman"/>
          <w:sz w:val="24"/>
          <w:szCs w:val="24"/>
        </w:rPr>
        <w:t xml:space="preserve">higher labor costs produce </w:t>
      </w:r>
      <w:r w:rsidR="00594757">
        <w:rPr>
          <w:rFonts w:ascii="Times New Roman" w:hAnsi="Times New Roman" w:cs="Times New Roman"/>
          <w:sz w:val="24"/>
          <w:szCs w:val="24"/>
        </w:rPr>
        <w:t>adverse consequen</w:t>
      </w:r>
      <w:r w:rsidR="00932555">
        <w:rPr>
          <w:rFonts w:ascii="Times New Roman" w:hAnsi="Times New Roman" w:cs="Times New Roman"/>
          <w:sz w:val="24"/>
          <w:szCs w:val="24"/>
        </w:rPr>
        <w:t>ces</w:t>
      </w:r>
      <w:r w:rsidR="00594757">
        <w:rPr>
          <w:rFonts w:ascii="Times New Roman" w:hAnsi="Times New Roman" w:cs="Times New Roman"/>
          <w:sz w:val="24"/>
          <w:szCs w:val="24"/>
        </w:rPr>
        <w:t xml:space="preserve"> for the city’s economy</w:t>
      </w:r>
      <w:r w:rsidR="006B2745">
        <w:rPr>
          <w:rFonts w:ascii="Times New Roman" w:hAnsi="Times New Roman" w:cs="Times New Roman"/>
          <w:sz w:val="24"/>
          <w:szCs w:val="24"/>
        </w:rPr>
        <w:t>.</w:t>
      </w:r>
      <w:r w:rsidR="00114170">
        <w:rPr>
          <w:rFonts w:ascii="Times New Roman" w:hAnsi="Times New Roman" w:cs="Times New Roman"/>
          <w:sz w:val="24"/>
          <w:szCs w:val="24"/>
        </w:rPr>
        <w:t xml:space="preserve"> City businesses </w:t>
      </w:r>
      <w:r>
        <w:rPr>
          <w:rFonts w:ascii="Times New Roman" w:hAnsi="Times New Roman" w:cs="Times New Roman"/>
          <w:sz w:val="24"/>
          <w:szCs w:val="24"/>
        </w:rPr>
        <w:t>absorbing</w:t>
      </w:r>
      <w:r w:rsidR="00114170">
        <w:rPr>
          <w:rFonts w:ascii="Times New Roman" w:hAnsi="Times New Roman" w:cs="Times New Roman"/>
          <w:sz w:val="24"/>
          <w:szCs w:val="24"/>
        </w:rPr>
        <w:t xml:space="preserve"> higher labor costs </w:t>
      </w:r>
      <w:r>
        <w:rPr>
          <w:rFonts w:ascii="Times New Roman" w:hAnsi="Times New Roman" w:cs="Times New Roman"/>
          <w:sz w:val="24"/>
          <w:szCs w:val="24"/>
        </w:rPr>
        <w:t>may, in turn,</w:t>
      </w:r>
      <w:r w:rsidR="00114170">
        <w:rPr>
          <w:rFonts w:ascii="Times New Roman" w:hAnsi="Times New Roman" w:cs="Times New Roman"/>
          <w:sz w:val="24"/>
          <w:szCs w:val="24"/>
        </w:rPr>
        <w:t xml:space="preserve"> raise prices</w:t>
      </w:r>
      <w:r>
        <w:rPr>
          <w:rFonts w:ascii="Times New Roman" w:hAnsi="Times New Roman" w:cs="Times New Roman"/>
          <w:sz w:val="24"/>
          <w:szCs w:val="24"/>
        </w:rPr>
        <w:t>. This could render</w:t>
      </w:r>
      <w:r w:rsidR="00877C07">
        <w:rPr>
          <w:rFonts w:ascii="Times New Roman" w:hAnsi="Times New Roman" w:cs="Times New Roman"/>
          <w:sz w:val="24"/>
          <w:szCs w:val="24"/>
        </w:rPr>
        <w:t xml:space="preserve"> them </w:t>
      </w:r>
      <w:r>
        <w:rPr>
          <w:rFonts w:ascii="Times New Roman" w:hAnsi="Times New Roman" w:cs="Times New Roman"/>
          <w:sz w:val="24"/>
          <w:szCs w:val="24"/>
        </w:rPr>
        <w:t xml:space="preserve">less competitive with respect to prices in comparison to </w:t>
      </w:r>
      <w:r w:rsidR="00114170">
        <w:rPr>
          <w:rFonts w:ascii="Times New Roman" w:hAnsi="Times New Roman" w:cs="Times New Roman"/>
          <w:sz w:val="24"/>
          <w:szCs w:val="24"/>
        </w:rPr>
        <w:t xml:space="preserve">nearby competitors in </w:t>
      </w:r>
      <w:r>
        <w:rPr>
          <w:rFonts w:ascii="Times New Roman" w:hAnsi="Times New Roman" w:cs="Times New Roman"/>
          <w:sz w:val="24"/>
          <w:szCs w:val="24"/>
        </w:rPr>
        <w:t xml:space="preserve">the </w:t>
      </w:r>
      <w:r w:rsidR="00114170">
        <w:rPr>
          <w:rFonts w:ascii="Times New Roman" w:hAnsi="Times New Roman" w:cs="Times New Roman"/>
          <w:sz w:val="24"/>
          <w:szCs w:val="24"/>
        </w:rPr>
        <w:t xml:space="preserve">neighboring counties </w:t>
      </w:r>
      <w:r>
        <w:rPr>
          <w:rFonts w:ascii="Times New Roman" w:hAnsi="Times New Roman" w:cs="Times New Roman"/>
          <w:sz w:val="24"/>
          <w:szCs w:val="24"/>
        </w:rPr>
        <w:t xml:space="preserve">of </w:t>
      </w:r>
      <w:r w:rsidR="00114170">
        <w:rPr>
          <w:rFonts w:ascii="Times New Roman" w:hAnsi="Times New Roman" w:cs="Times New Roman"/>
          <w:sz w:val="24"/>
          <w:szCs w:val="24"/>
        </w:rPr>
        <w:t>Maryland and Virginia</w:t>
      </w:r>
      <w:r>
        <w:rPr>
          <w:rFonts w:ascii="Times New Roman" w:hAnsi="Times New Roman" w:cs="Times New Roman"/>
          <w:sz w:val="24"/>
          <w:szCs w:val="24"/>
        </w:rPr>
        <w:t>, many which border the District</w:t>
      </w:r>
      <w:r w:rsidR="006B2745">
        <w:rPr>
          <w:rFonts w:ascii="Times New Roman" w:hAnsi="Times New Roman" w:cs="Times New Roman"/>
          <w:sz w:val="24"/>
          <w:szCs w:val="24"/>
        </w:rPr>
        <w:t xml:space="preserve"> and have lower minimum wages</w:t>
      </w:r>
      <w:r w:rsidR="00594757">
        <w:rPr>
          <w:rFonts w:ascii="Times New Roman" w:hAnsi="Times New Roman" w:cs="Times New Roman"/>
          <w:sz w:val="24"/>
          <w:szCs w:val="24"/>
        </w:rPr>
        <w:t xml:space="preserve">. </w:t>
      </w:r>
      <w:r w:rsidR="00877C07">
        <w:rPr>
          <w:rFonts w:ascii="Times New Roman" w:hAnsi="Times New Roman" w:cs="Times New Roman"/>
          <w:sz w:val="24"/>
          <w:szCs w:val="24"/>
        </w:rPr>
        <w:t>We find that</w:t>
      </w:r>
      <w:r>
        <w:rPr>
          <w:rFonts w:ascii="Times New Roman" w:hAnsi="Times New Roman" w:cs="Times New Roman"/>
          <w:sz w:val="24"/>
          <w:szCs w:val="24"/>
        </w:rPr>
        <w:t>,</w:t>
      </w:r>
      <w:r w:rsidR="00877C07">
        <w:rPr>
          <w:rFonts w:ascii="Times New Roman" w:hAnsi="Times New Roman" w:cs="Times New Roman"/>
          <w:sz w:val="24"/>
          <w:szCs w:val="24"/>
        </w:rPr>
        <w:t xml:space="preserve"> </w:t>
      </w:r>
      <w:r w:rsidR="0057505A">
        <w:rPr>
          <w:rFonts w:ascii="Times New Roman" w:hAnsi="Times New Roman" w:cs="Times New Roman"/>
          <w:sz w:val="24"/>
          <w:szCs w:val="24"/>
        </w:rPr>
        <w:t>on average</w:t>
      </w:r>
      <w:r>
        <w:rPr>
          <w:rFonts w:ascii="Times New Roman" w:hAnsi="Times New Roman" w:cs="Times New Roman"/>
          <w:sz w:val="24"/>
          <w:szCs w:val="24"/>
        </w:rPr>
        <w:t>,</w:t>
      </w:r>
      <w:r w:rsidR="0057505A">
        <w:rPr>
          <w:rFonts w:ascii="Times New Roman" w:hAnsi="Times New Roman" w:cs="Times New Roman"/>
          <w:sz w:val="24"/>
          <w:szCs w:val="24"/>
        </w:rPr>
        <w:t xml:space="preserve"> </w:t>
      </w:r>
      <w:r w:rsidR="00877C07">
        <w:rPr>
          <w:rFonts w:ascii="Times New Roman" w:hAnsi="Times New Roman" w:cs="Times New Roman"/>
          <w:sz w:val="24"/>
          <w:szCs w:val="24"/>
        </w:rPr>
        <w:t xml:space="preserve">prices are expected to rise 0.2% above baseline levels in 2021 for all </w:t>
      </w:r>
      <w:r w:rsidR="00536A98">
        <w:rPr>
          <w:rFonts w:ascii="Times New Roman" w:hAnsi="Times New Roman" w:cs="Times New Roman"/>
          <w:sz w:val="24"/>
          <w:szCs w:val="24"/>
        </w:rPr>
        <w:t>goods and services sold in the city</w:t>
      </w:r>
      <w:r w:rsidR="0057505A">
        <w:rPr>
          <w:rFonts w:ascii="Times New Roman" w:hAnsi="Times New Roman" w:cs="Times New Roman"/>
          <w:sz w:val="24"/>
          <w:szCs w:val="24"/>
        </w:rPr>
        <w:t>,</w:t>
      </w:r>
      <w:r w:rsidR="00877C07">
        <w:rPr>
          <w:rFonts w:ascii="Times New Roman" w:hAnsi="Times New Roman" w:cs="Times New Roman"/>
          <w:sz w:val="24"/>
          <w:szCs w:val="24"/>
        </w:rPr>
        <w:t xml:space="preserve"> with the highest increase occurring in the food service </w:t>
      </w:r>
      <w:r>
        <w:rPr>
          <w:rFonts w:ascii="Times New Roman" w:hAnsi="Times New Roman" w:cs="Times New Roman"/>
          <w:sz w:val="24"/>
          <w:szCs w:val="24"/>
        </w:rPr>
        <w:t xml:space="preserve">and </w:t>
      </w:r>
      <w:r w:rsidR="00877C07">
        <w:rPr>
          <w:rFonts w:ascii="Times New Roman" w:hAnsi="Times New Roman" w:cs="Times New Roman"/>
          <w:sz w:val="24"/>
          <w:szCs w:val="24"/>
        </w:rPr>
        <w:t xml:space="preserve">restaurant sector with an expected </w:t>
      </w:r>
      <w:r w:rsidR="0057505A">
        <w:rPr>
          <w:rFonts w:ascii="Times New Roman" w:hAnsi="Times New Roman" w:cs="Times New Roman"/>
          <w:sz w:val="24"/>
          <w:szCs w:val="24"/>
        </w:rPr>
        <w:t xml:space="preserve">average </w:t>
      </w:r>
      <w:r w:rsidR="00877C07">
        <w:rPr>
          <w:rFonts w:ascii="Times New Roman" w:hAnsi="Times New Roman" w:cs="Times New Roman"/>
          <w:sz w:val="24"/>
          <w:szCs w:val="24"/>
        </w:rPr>
        <w:t>increase of almost 1.5% higher than the baseline in 2021. These price increases impact every</w:t>
      </w:r>
      <w:r w:rsidR="00536A98">
        <w:rPr>
          <w:rFonts w:ascii="Times New Roman" w:hAnsi="Times New Roman" w:cs="Times New Roman"/>
          <w:sz w:val="24"/>
          <w:szCs w:val="24"/>
        </w:rPr>
        <w:t xml:space="preserve"> </w:t>
      </w:r>
      <w:r w:rsidR="00877C07">
        <w:rPr>
          <w:rFonts w:ascii="Times New Roman" w:hAnsi="Times New Roman" w:cs="Times New Roman"/>
          <w:sz w:val="24"/>
          <w:szCs w:val="24"/>
        </w:rPr>
        <w:t>consume</w:t>
      </w:r>
      <w:r w:rsidR="00536A98">
        <w:rPr>
          <w:rFonts w:ascii="Times New Roman" w:hAnsi="Times New Roman" w:cs="Times New Roman"/>
          <w:sz w:val="24"/>
          <w:szCs w:val="24"/>
        </w:rPr>
        <w:t>r</w:t>
      </w:r>
      <w:r w:rsidR="00877C07">
        <w:rPr>
          <w:rFonts w:ascii="Times New Roman" w:hAnsi="Times New Roman" w:cs="Times New Roman"/>
          <w:sz w:val="24"/>
          <w:szCs w:val="24"/>
        </w:rPr>
        <w:t xml:space="preserve"> in the city</w:t>
      </w:r>
      <w:r>
        <w:rPr>
          <w:rFonts w:ascii="Times New Roman" w:hAnsi="Times New Roman" w:cs="Times New Roman"/>
          <w:sz w:val="24"/>
          <w:szCs w:val="24"/>
        </w:rPr>
        <w:t>,</w:t>
      </w:r>
      <w:r w:rsidR="00877C07">
        <w:rPr>
          <w:rFonts w:ascii="Times New Roman" w:hAnsi="Times New Roman" w:cs="Times New Roman"/>
          <w:sz w:val="24"/>
          <w:szCs w:val="24"/>
        </w:rPr>
        <w:t xml:space="preserve"> and are the primary driver for the </w:t>
      </w:r>
      <w:r>
        <w:rPr>
          <w:rFonts w:ascii="Times New Roman" w:hAnsi="Times New Roman" w:cs="Times New Roman"/>
          <w:sz w:val="24"/>
          <w:szCs w:val="24"/>
        </w:rPr>
        <w:t xml:space="preserve">forecasted </w:t>
      </w:r>
      <w:r w:rsidR="00877C07">
        <w:rPr>
          <w:rFonts w:ascii="Times New Roman" w:hAnsi="Times New Roman" w:cs="Times New Roman"/>
          <w:sz w:val="24"/>
          <w:szCs w:val="24"/>
        </w:rPr>
        <w:t xml:space="preserve">loss of business competitiveness </w:t>
      </w:r>
      <w:r>
        <w:rPr>
          <w:rFonts w:ascii="Times New Roman" w:hAnsi="Times New Roman" w:cs="Times New Roman"/>
          <w:sz w:val="24"/>
          <w:szCs w:val="24"/>
        </w:rPr>
        <w:t xml:space="preserve">among </w:t>
      </w:r>
      <w:r w:rsidR="00877C07">
        <w:rPr>
          <w:rFonts w:ascii="Times New Roman" w:hAnsi="Times New Roman" w:cs="Times New Roman"/>
          <w:sz w:val="24"/>
          <w:szCs w:val="24"/>
        </w:rPr>
        <w:t xml:space="preserve">DC businesses relative to their Virginia and Maryland counterparts. </w:t>
      </w:r>
    </w:p>
    <w:p w14:paraId="5BA18AE7" w14:textId="4B934068" w:rsidR="00114170" w:rsidRDefault="00C55809" w:rsidP="009F069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w:t>
      </w:r>
      <w:r w:rsidR="000F45C7">
        <w:rPr>
          <w:rFonts w:ascii="Times New Roman" w:hAnsi="Times New Roman" w:cs="Times New Roman"/>
          <w:sz w:val="24"/>
          <w:szCs w:val="24"/>
        </w:rPr>
        <w:t xml:space="preserve">result </w:t>
      </w:r>
      <w:r>
        <w:rPr>
          <w:rFonts w:ascii="Times New Roman" w:hAnsi="Times New Roman" w:cs="Times New Roman"/>
          <w:sz w:val="24"/>
          <w:szCs w:val="24"/>
        </w:rPr>
        <w:t>becomes apparent in F</w:t>
      </w:r>
      <w:r w:rsidR="00114170">
        <w:rPr>
          <w:rFonts w:ascii="Times New Roman" w:hAnsi="Times New Roman" w:cs="Times New Roman"/>
          <w:sz w:val="24"/>
          <w:szCs w:val="24"/>
        </w:rPr>
        <w:t xml:space="preserve">igure </w:t>
      </w:r>
      <w:r>
        <w:rPr>
          <w:rFonts w:ascii="Times New Roman" w:hAnsi="Times New Roman" w:cs="Times New Roman"/>
          <w:sz w:val="24"/>
          <w:szCs w:val="24"/>
        </w:rPr>
        <w:t>3</w:t>
      </w:r>
      <w:r w:rsidR="000F45C7">
        <w:rPr>
          <w:rFonts w:ascii="Times New Roman" w:hAnsi="Times New Roman" w:cs="Times New Roman"/>
          <w:sz w:val="24"/>
          <w:szCs w:val="24"/>
        </w:rPr>
        <w:t>, which shows</w:t>
      </w:r>
      <w:r w:rsidR="00114170">
        <w:rPr>
          <w:rFonts w:ascii="Times New Roman" w:hAnsi="Times New Roman" w:cs="Times New Roman"/>
          <w:sz w:val="24"/>
          <w:szCs w:val="24"/>
        </w:rPr>
        <w:t xml:space="preserve"> that the city’s gross state </w:t>
      </w:r>
      <w:r>
        <w:rPr>
          <w:rFonts w:ascii="Times New Roman" w:hAnsi="Times New Roman" w:cs="Times New Roman"/>
          <w:sz w:val="24"/>
          <w:szCs w:val="24"/>
        </w:rPr>
        <w:t xml:space="preserve">product </w:t>
      </w:r>
      <w:r w:rsidR="000F45C7">
        <w:rPr>
          <w:rFonts w:ascii="Times New Roman" w:hAnsi="Times New Roman" w:cs="Times New Roman"/>
          <w:sz w:val="24"/>
          <w:szCs w:val="24"/>
        </w:rPr>
        <w:t xml:space="preserve">falls under </w:t>
      </w:r>
      <w:r w:rsidR="00114170">
        <w:rPr>
          <w:rFonts w:ascii="Times New Roman" w:hAnsi="Times New Roman" w:cs="Times New Roman"/>
          <w:sz w:val="24"/>
          <w:szCs w:val="24"/>
        </w:rPr>
        <w:t>all</w:t>
      </w:r>
      <w:r w:rsidR="000F45C7">
        <w:rPr>
          <w:rFonts w:ascii="Times New Roman" w:hAnsi="Times New Roman" w:cs="Times New Roman"/>
          <w:sz w:val="24"/>
          <w:szCs w:val="24"/>
        </w:rPr>
        <w:t xml:space="preserve"> five</w:t>
      </w:r>
      <w:r w:rsidR="00114170">
        <w:rPr>
          <w:rFonts w:ascii="Times New Roman" w:hAnsi="Times New Roman" w:cs="Times New Roman"/>
          <w:sz w:val="24"/>
          <w:szCs w:val="24"/>
        </w:rPr>
        <w:t xml:space="preserve"> scenarios.  The model indicates </w:t>
      </w:r>
      <w:r>
        <w:rPr>
          <w:rFonts w:ascii="Times New Roman" w:hAnsi="Times New Roman" w:cs="Times New Roman"/>
          <w:sz w:val="24"/>
          <w:szCs w:val="24"/>
        </w:rPr>
        <w:t>the</w:t>
      </w:r>
      <w:r w:rsidR="00114170">
        <w:rPr>
          <w:rFonts w:ascii="Times New Roman" w:hAnsi="Times New Roman" w:cs="Times New Roman"/>
          <w:sz w:val="24"/>
          <w:szCs w:val="24"/>
        </w:rPr>
        <w:t xml:space="preserve"> </w:t>
      </w:r>
      <w:r w:rsidR="00932555">
        <w:rPr>
          <w:rFonts w:ascii="Times New Roman" w:hAnsi="Times New Roman" w:cs="Times New Roman"/>
          <w:sz w:val="24"/>
          <w:szCs w:val="24"/>
        </w:rPr>
        <w:t xml:space="preserve">principal </w:t>
      </w:r>
      <w:r w:rsidR="00114170">
        <w:rPr>
          <w:rFonts w:ascii="Times New Roman" w:hAnsi="Times New Roman" w:cs="Times New Roman"/>
          <w:sz w:val="24"/>
          <w:szCs w:val="24"/>
        </w:rPr>
        <w:t xml:space="preserve">driver </w:t>
      </w:r>
      <w:r w:rsidR="000F45C7">
        <w:rPr>
          <w:rFonts w:ascii="Times New Roman" w:hAnsi="Times New Roman" w:cs="Times New Roman"/>
          <w:sz w:val="24"/>
          <w:szCs w:val="24"/>
        </w:rPr>
        <w:t xml:space="preserve">of </w:t>
      </w:r>
      <w:r w:rsidR="00114170">
        <w:rPr>
          <w:rFonts w:ascii="Times New Roman" w:hAnsi="Times New Roman" w:cs="Times New Roman"/>
          <w:sz w:val="24"/>
          <w:szCs w:val="24"/>
        </w:rPr>
        <w:t>this t</w:t>
      </w:r>
      <w:r w:rsidR="000F45C7">
        <w:rPr>
          <w:rFonts w:ascii="Times New Roman" w:hAnsi="Times New Roman" w:cs="Times New Roman"/>
          <w:sz w:val="24"/>
          <w:szCs w:val="24"/>
        </w:rPr>
        <w:t>o be</w:t>
      </w:r>
      <w:r w:rsidR="00114170">
        <w:rPr>
          <w:rFonts w:ascii="Times New Roman" w:hAnsi="Times New Roman" w:cs="Times New Roman"/>
          <w:sz w:val="24"/>
          <w:szCs w:val="24"/>
        </w:rPr>
        <w:t xml:space="preserve"> higher prices</w:t>
      </w:r>
      <w:r w:rsidR="000F45C7">
        <w:rPr>
          <w:rFonts w:ascii="Times New Roman" w:hAnsi="Times New Roman" w:cs="Times New Roman"/>
          <w:sz w:val="24"/>
          <w:szCs w:val="24"/>
        </w:rPr>
        <w:t xml:space="preserve">, </w:t>
      </w:r>
      <w:r w:rsidR="00114170">
        <w:rPr>
          <w:rFonts w:ascii="Times New Roman" w:hAnsi="Times New Roman" w:cs="Times New Roman"/>
          <w:sz w:val="24"/>
          <w:szCs w:val="24"/>
        </w:rPr>
        <w:t>caus</w:t>
      </w:r>
      <w:r w:rsidR="000F45C7">
        <w:rPr>
          <w:rFonts w:ascii="Times New Roman" w:hAnsi="Times New Roman" w:cs="Times New Roman"/>
          <w:sz w:val="24"/>
          <w:szCs w:val="24"/>
        </w:rPr>
        <w:t xml:space="preserve">ing </w:t>
      </w:r>
      <w:r w:rsidR="00114170">
        <w:rPr>
          <w:rFonts w:ascii="Times New Roman" w:hAnsi="Times New Roman" w:cs="Times New Roman"/>
          <w:sz w:val="24"/>
          <w:szCs w:val="24"/>
        </w:rPr>
        <w:t xml:space="preserve">many </w:t>
      </w:r>
      <w:r>
        <w:rPr>
          <w:rFonts w:ascii="Times New Roman" w:hAnsi="Times New Roman" w:cs="Times New Roman"/>
          <w:sz w:val="24"/>
          <w:szCs w:val="24"/>
        </w:rPr>
        <w:t>consumers</w:t>
      </w:r>
      <w:r w:rsidR="00114170">
        <w:rPr>
          <w:rFonts w:ascii="Times New Roman" w:hAnsi="Times New Roman" w:cs="Times New Roman"/>
          <w:sz w:val="24"/>
          <w:szCs w:val="24"/>
        </w:rPr>
        <w:t xml:space="preserve"> that would </w:t>
      </w:r>
      <w:r w:rsidR="00536A98">
        <w:rPr>
          <w:rFonts w:ascii="Times New Roman" w:hAnsi="Times New Roman" w:cs="Times New Roman"/>
          <w:sz w:val="24"/>
          <w:szCs w:val="24"/>
        </w:rPr>
        <w:t>otherwise purchase</w:t>
      </w:r>
      <w:r w:rsidR="00114170">
        <w:rPr>
          <w:rFonts w:ascii="Times New Roman" w:hAnsi="Times New Roman" w:cs="Times New Roman"/>
          <w:sz w:val="24"/>
          <w:szCs w:val="24"/>
        </w:rPr>
        <w:t xml:space="preserve"> </w:t>
      </w:r>
      <w:r w:rsidR="004A3A91">
        <w:rPr>
          <w:rFonts w:ascii="Times New Roman" w:hAnsi="Times New Roman" w:cs="Times New Roman"/>
          <w:sz w:val="24"/>
          <w:szCs w:val="24"/>
        </w:rPr>
        <w:t xml:space="preserve">some </w:t>
      </w:r>
      <w:r w:rsidR="00932555">
        <w:rPr>
          <w:rFonts w:ascii="Times New Roman" w:hAnsi="Times New Roman" w:cs="Times New Roman"/>
          <w:sz w:val="24"/>
          <w:szCs w:val="24"/>
        </w:rPr>
        <w:t>goods in services i</w:t>
      </w:r>
      <w:r w:rsidR="00114170">
        <w:rPr>
          <w:rFonts w:ascii="Times New Roman" w:hAnsi="Times New Roman" w:cs="Times New Roman"/>
          <w:sz w:val="24"/>
          <w:szCs w:val="24"/>
        </w:rPr>
        <w:t>n the city</w:t>
      </w:r>
      <w:r w:rsidR="000555FA">
        <w:rPr>
          <w:rFonts w:ascii="Times New Roman" w:hAnsi="Times New Roman" w:cs="Times New Roman"/>
          <w:sz w:val="24"/>
          <w:szCs w:val="24"/>
        </w:rPr>
        <w:t xml:space="preserve"> </w:t>
      </w:r>
      <w:r w:rsidR="000F45C7">
        <w:rPr>
          <w:rFonts w:ascii="Times New Roman" w:hAnsi="Times New Roman" w:cs="Times New Roman"/>
          <w:sz w:val="24"/>
          <w:szCs w:val="24"/>
        </w:rPr>
        <w:t xml:space="preserve">to </w:t>
      </w:r>
      <w:r w:rsidR="00536A98">
        <w:rPr>
          <w:rFonts w:ascii="Times New Roman" w:hAnsi="Times New Roman" w:cs="Times New Roman"/>
          <w:sz w:val="24"/>
          <w:szCs w:val="24"/>
        </w:rPr>
        <w:t xml:space="preserve">now </w:t>
      </w:r>
      <w:r w:rsidR="00114170">
        <w:rPr>
          <w:rFonts w:ascii="Times New Roman" w:hAnsi="Times New Roman" w:cs="Times New Roman"/>
          <w:sz w:val="24"/>
          <w:szCs w:val="24"/>
        </w:rPr>
        <w:t xml:space="preserve">do so </w:t>
      </w:r>
      <w:r>
        <w:rPr>
          <w:rFonts w:ascii="Times New Roman" w:hAnsi="Times New Roman" w:cs="Times New Roman"/>
          <w:sz w:val="24"/>
          <w:szCs w:val="24"/>
        </w:rPr>
        <w:t>fr</w:t>
      </w:r>
      <w:r w:rsidR="00932555">
        <w:rPr>
          <w:rFonts w:ascii="Times New Roman" w:hAnsi="Times New Roman" w:cs="Times New Roman"/>
          <w:sz w:val="24"/>
          <w:szCs w:val="24"/>
        </w:rPr>
        <w:t>o</w:t>
      </w:r>
      <w:r>
        <w:rPr>
          <w:rFonts w:ascii="Times New Roman" w:hAnsi="Times New Roman" w:cs="Times New Roman"/>
          <w:sz w:val="24"/>
          <w:szCs w:val="24"/>
        </w:rPr>
        <w:t>m Maryland and Virginia businesses</w:t>
      </w:r>
      <w:r w:rsidR="00932555">
        <w:rPr>
          <w:rFonts w:ascii="Times New Roman" w:hAnsi="Times New Roman" w:cs="Times New Roman"/>
          <w:sz w:val="24"/>
          <w:szCs w:val="24"/>
        </w:rPr>
        <w:t>, if at all</w:t>
      </w:r>
      <w:r>
        <w:rPr>
          <w:rFonts w:ascii="Times New Roman" w:hAnsi="Times New Roman" w:cs="Times New Roman"/>
          <w:sz w:val="24"/>
          <w:szCs w:val="24"/>
        </w:rPr>
        <w:t>.</w:t>
      </w:r>
      <w:r w:rsidR="00333730">
        <w:rPr>
          <w:rFonts w:ascii="Times New Roman" w:hAnsi="Times New Roman" w:cs="Times New Roman"/>
          <w:sz w:val="24"/>
          <w:szCs w:val="24"/>
        </w:rPr>
        <w:t xml:space="preserve">  That is, city businesses exports less to consumers in the regional economy </w:t>
      </w:r>
      <w:r w:rsidR="00536A98">
        <w:rPr>
          <w:rFonts w:ascii="Times New Roman" w:hAnsi="Times New Roman" w:cs="Times New Roman"/>
          <w:sz w:val="24"/>
          <w:szCs w:val="24"/>
        </w:rPr>
        <w:t xml:space="preserve">and city residents import more </w:t>
      </w:r>
      <w:r w:rsidR="00333730">
        <w:rPr>
          <w:rFonts w:ascii="Times New Roman" w:hAnsi="Times New Roman" w:cs="Times New Roman"/>
          <w:sz w:val="24"/>
          <w:szCs w:val="24"/>
        </w:rPr>
        <w:t xml:space="preserve">than </w:t>
      </w:r>
      <w:r w:rsidR="000F45C7">
        <w:rPr>
          <w:rFonts w:ascii="Times New Roman" w:hAnsi="Times New Roman" w:cs="Times New Roman"/>
          <w:sz w:val="24"/>
          <w:szCs w:val="24"/>
        </w:rPr>
        <w:t xml:space="preserve">prior to </w:t>
      </w:r>
      <w:r w:rsidR="00333730">
        <w:rPr>
          <w:rFonts w:ascii="Times New Roman" w:hAnsi="Times New Roman" w:cs="Times New Roman"/>
          <w:sz w:val="24"/>
          <w:szCs w:val="24"/>
        </w:rPr>
        <w:t>the new policy.</w:t>
      </w:r>
    </w:p>
    <w:p w14:paraId="19423216" w14:textId="0D210A49" w:rsidR="000B58AF" w:rsidRPr="009F0695" w:rsidRDefault="00594757" w:rsidP="009F0695">
      <w:pPr>
        <w:spacing w:line="480" w:lineRule="auto"/>
        <w:rPr>
          <w:rFonts w:ascii="Times New Roman" w:hAnsi="Times New Roman" w:cs="Times New Roman"/>
          <w:sz w:val="24"/>
          <w:szCs w:val="24"/>
        </w:rPr>
      </w:pPr>
      <w:r>
        <w:rPr>
          <w:rFonts w:ascii="Times New Roman" w:hAnsi="Times New Roman" w:cs="Times New Roman"/>
          <w:sz w:val="24"/>
          <w:szCs w:val="24"/>
        </w:rPr>
        <w:tab/>
      </w:r>
      <w:r w:rsidR="000B58AF" w:rsidRPr="00921D4A">
        <w:rPr>
          <w:rFonts w:ascii="Times New Roman" w:hAnsi="Times New Roman" w:cs="Times New Roman"/>
          <w:sz w:val="24"/>
          <w:szCs w:val="24"/>
        </w:rPr>
        <w:t xml:space="preserve">Minimum wage partial equilibrium analyses </w:t>
      </w:r>
      <w:r w:rsidR="00794C38">
        <w:rPr>
          <w:rFonts w:ascii="Times New Roman" w:hAnsi="Times New Roman" w:cs="Times New Roman"/>
          <w:sz w:val="24"/>
          <w:szCs w:val="24"/>
        </w:rPr>
        <w:t xml:space="preserve">typically </w:t>
      </w:r>
      <w:r w:rsidR="000B58AF" w:rsidRPr="00921D4A">
        <w:rPr>
          <w:rFonts w:ascii="Times New Roman" w:hAnsi="Times New Roman" w:cs="Times New Roman"/>
          <w:sz w:val="24"/>
          <w:szCs w:val="24"/>
        </w:rPr>
        <w:t xml:space="preserve">provide explicit employment </w:t>
      </w:r>
      <w:proofErr w:type="spellStart"/>
      <w:r w:rsidR="000B58AF" w:rsidRPr="00921D4A">
        <w:rPr>
          <w:rFonts w:ascii="Times New Roman" w:hAnsi="Times New Roman" w:cs="Times New Roman"/>
          <w:sz w:val="24"/>
          <w:szCs w:val="24"/>
        </w:rPr>
        <w:t>elasticities</w:t>
      </w:r>
      <w:proofErr w:type="spellEnd"/>
      <w:r w:rsidR="000B58AF" w:rsidRPr="00921D4A">
        <w:rPr>
          <w:rFonts w:ascii="Times New Roman" w:hAnsi="Times New Roman" w:cs="Times New Roman"/>
          <w:sz w:val="24"/>
          <w:szCs w:val="24"/>
        </w:rPr>
        <w:t xml:space="preserve"> </w:t>
      </w:r>
      <w:r w:rsidR="000F45C7">
        <w:rPr>
          <w:rFonts w:ascii="Times New Roman" w:hAnsi="Times New Roman" w:cs="Times New Roman"/>
          <w:sz w:val="24"/>
          <w:szCs w:val="24"/>
        </w:rPr>
        <w:t>generated from</w:t>
      </w:r>
      <w:r w:rsidR="000F45C7" w:rsidRPr="00921D4A">
        <w:rPr>
          <w:rFonts w:ascii="Times New Roman" w:hAnsi="Times New Roman" w:cs="Times New Roman"/>
          <w:sz w:val="24"/>
          <w:szCs w:val="24"/>
        </w:rPr>
        <w:t xml:space="preserve"> </w:t>
      </w:r>
      <w:r w:rsidR="000B58AF" w:rsidRPr="00921D4A">
        <w:rPr>
          <w:rFonts w:ascii="Times New Roman" w:hAnsi="Times New Roman" w:cs="Times New Roman"/>
          <w:sz w:val="24"/>
          <w:szCs w:val="24"/>
        </w:rPr>
        <w:t xml:space="preserve">regression </w:t>
      </w:r>
      <w:r w:rsidR="000F45C7">
        <w:rPr>
          <w:rFonts w:ascii="Times New Roman" w:hAnsi="Times New Roman" w:cs="Times New Roman"/>
          <w:sz w:val="24"/>
          <w:szCs w:val="24"/>
        </w:rPr>
        <w:t>analysis</w:t>
      </w:r>
      <w:r w:rsidR="000B58AF" w:rsidRPr="00921D4A">
        <w:rPr>
          <w:rFonts w:ascii="Times New Roman" w:hAnsi="Times New Roman" w:cs="Times New Roman"/>
          <w:sz w:val="24"/>
          <w:szCs w:val="24"/>
        </w:rPr>
        <w:t xml:space="preserve">, while </w:t>
      </w:r>
      <w:r w:rsidR="00794C38">
        <w:rPr>
          <w:rFonts w:ascii="Times New Roman" w:hAnsi="Times New Roman" w:cs="Times New Roman"/>
          <w:sz w:val="24"/>
          <w:szCs w:val="24"/>
        </w:rPr>
        <w:t xml:space="preserve">the </w:t>
      </w:r>
      <w:r w:rsidR="000B58AF" w:rsidRPr="00921D4A">
        <w:rPr>
          <w:rFonts w:ascii="Times New Roman" w:hAnsi="Times New Roman" w:cs="Times New Roman"/>
          <w:sz w:val="24"/>
          <w:szCs w:val="24"/>
        </w:rPr>
        <w:t>CGE</w:t>
      </w:r>
      <w:r w:rsidR="008562DD">
        <w:rPr>
          <w:rFonts w:ascii="Times New Roman" w:hAnsi="Times New Roman" w:cs="Times New Roman"/>
          <w:sz w:val="24"/>
          <w:szCs w:val="24"/>
        </w:rPr>
        <w:t xml:space="preserve"> </w:t>
      </w:r>
      <w:r w:rsidR="000B58AF" w:rsidRPr="00921D4A">
        <w:rPr>
          <w:rFonts w:ascii="Times New Roman" w:hAnsi="Times New Roman" w:cs="Times New Roman"/>
          <w:sz w:val="24"/>
          <w:szCs w:val="24"/>
        </w:rPr>
        <w:t>model</w:t>
      </w:r>
      <w:r w:rsidR="00794C38">
        <w:rPr>
          <w:rFonts w:ascii="Times New Roman" w:hAnsi="Times New Roman" w:cs="Times New Roman"/>
          <w:sz w:val="24"/>
          <w:szCs w:val="24"/>
        </w:rPr>
        <w:t xml:space="preserve"> used </w:t>
      </w:r>
      <w:r w:rsidR="000F45C7">
        <w:rPr>
          <w:rFonts w:ascii="Times New Roman" w:hAnsi="Times New Roman" w:cs="Times New Roman"/>
          <w:sz w:val="24"/>
          <w:szCs w:val="24"/>
        </w:rPr>
        <w:t xml:space="preserve">here </w:t>
      </w:r>
      <w:r w:rsidR="008562DD">
        <w:rPr>
          <w:rFonts w:ascii="Times New Roman" w:hAnsi="Times New Roman" w:cs="Times New Roman"/>
          <w:sz w:val="24"/>
          <w:szCs w:val="24"/>
        </w:rPr>
        <w:t>has regression derived elasticity parameters</w:t>
      </w:r>
      <w:r w:rsidR="000F45C7">
        <w:rPr>
          <w:rFonts w:ascii="Times New Roman" w:hAnsi="Times New Roman" w:cs="Times New Roman"/>
          <w:sz w:val="24"/>
          <w:szCs w:val="24"/>
        </w:rPr>
        <w:t xml:space="preserve"> embedded. Accordingly, t</w:t>
      </w:r>
      <w:r w:rsidR="000B58AF" w:rsidRPr="00921D4A">
        <w:rPr>
          <w:rFonts w:ascii="Times New Roman" w:hAnsi="Times New Roman" w:cs="Times New Roman"/>
          <w:sz w:val="24"/>
          <w:szCs w:val="24"/>
        </w:rPr>
        <w:t>he CGE model provide</w:t>
      </w:r>
      <w:r w:rsidR="000F45C7">
        <w:rPr>
          <w:rFonts w:ascii="Times New Roman" w:hAnsi="Times New Roman" w:cs="Times New Roman"/>
          <w:sz w:val="24"/>
          <w:szCs w:val="24"/>
        </w:rPr>
        <w:t>s</w:t>
      </w:r>
      <w:r w:rsidR="000B58AF" w:rsidRPr="00921D4A">
        <w:rPr>
          <w:rFonts w:ascii="Times New Roman" w:hAnsi="Times New Roman" w:cs="Times New Roman"/>
          <w:sz w:val="24"/>
          <w:szCs w:val="24"/>
        </w:rPr>
        <w:t xml:space="preserve"> annual </w:t>
      </w:r>
      <w:r w:rsidR="000B58AF" w:rsidRPr="00921D4A">
        <w:rPr>
          <w:rFonts w:ascii="Times New Roman" w:hAnsi="Times New Roman" w:cs="Times New Roman"/>
          <w:sz w:val="24"/>
          <w:szCs w:val="24"/>
        </w:rPr>
        <w:lastRenderedPageBreak/>
        <w:t xml:space="preserve">employment impacts for the </w:t>
      </w:r>
      <w:r w:rsidR="000F45C7" w:rsidRPr="00921D4A">
        <w:rPr>
          <w:rFonts w:ascii="Times New Roman" w:hAnsi="Times New Roman" w:cs="Times New Roman"/>
          <w:sz w:val="24"/>
          <w:szCs w:val="24"/>
        </w:rPr>
        <w:t>city</w:t>
      </w:r>
      <w:r w:rsidR="000F45C7">
        <w:rPr>
          <w:rFonts w:ascii="Times New Roman" w:hAnsi="Times New Roman" w:cs="Times New Roman"/>
          <w:sz w:val="24"/>
          <w:szCs w:val="24"/>
        </w:rPr>
        <w:t xml:space="preserve"> labor</w:t>
      </w:r>
      <w:r w:rsidR="000B58AF" w:rsidRPr="00921D4A">
        <w:rPr>
          <w:rFonts w:ascii="Times New Roman" w:hAnsi="Times New Roman" w:cs="Times New Roman"/>
          <w:sz w:val="24"/>
          <w:szCs w:val="24"/>
        </w:rPr>
        <w:t xml:space="preserve"> market</w:t>
      </w:r>
      <w:r w:rsidR="000F45C7">
        <w:rPr>
          <w:rFonts w:ascii="Times New Roman" w:hAnsi="Times New Roman" w:cs="Times New Roman"/>
          <w:sz w:val="24"/>
          <w:szCs w:val="24"/>
        </w:rPr>
        <w:t>, a</w:t>
      </w:r>
      <w:r w:rsidR="000B58AF" w:rsidRPr="00921D4A">
        <w:rPr>
          <w:rFonts w:ascii="Times New Roman" w:hAnsi="Times New Roman" w:cs="Times New Roman"/>
          <w:sz w:val="24"/>
          <w:szCs w:val="24"/>
        </w:rPr>
        <w:t>nd from these estimated job losses,</w:t>
      </w:r>
      <w:r w:rsidR="00CA411E">
        <w:rPr>
          <w:rFonts w:ascii="Times New Roman" w:hAnsi="Times New Roman" w:cs="Times New Roman"/>
          <w:sz w:val="24"/>
          <w:szCs w:val="24"/>
        </w:rPr>
        <w:t xml:space="preserve"> </w:t>
      </w:r>
      <w:r w:rsidR="000B58AF" w:rsidRPr="00921D4A">
        <w:rPr>
          <w:rFonts w:ascii="Times New Roman" w:hAnsi="Times New Roman" w:cs="Times New Roman"/>
          <w:sz w:val="24"/>
          <w:szCs w:val="24"/>
        </w:rPr>
        <w:t xml:space="preserve">total employment </w:t>
      </w:r>
      <w:proofErr w:type="spellStart"/>
      <w:r w:rsidR="000B58AF" w:rsidRPr="00921D4A">
        <w:rPr>
          <w:rFonts w:ascii="Times New Roman" w:hAnsi="Times New Roman" w:cs="Times New Roman"/>
          <w:sz w:val="24"/>
          <w:szCs w:val="24"/>
        </w:rPr>
        <w:t>elasticities</w:t>
      </w:r>
      <w:proofErr w:type="spellEnd"/>
      <w:r w:rsidR="000B58AF" w:rsidRPr="00921D4A">
        <w:rPr>
          <w:rFonts w:ascii="Times New Roman" w:hAnsi="Times New Roman" w:cs="Times New Roman"/>
          <w:sz w:val="24"/>
          <w:szCs w:val="24"/>
        </w:rPr>
        <w:t xml:space="preserve"> for the city’s work force can be </w:t>
      </w:r>
      <w:r w:rsidR="006103E1">
        <w:rPr>
          <w:rFonts w:ascii="Times New Roman" w:hAnsi="Times New Roman" w:cs="Times New Roman"/>
          <w:sz w:val="24"/>
          <w:szCs w:val="24"/>
        </w:rPr>
        <w:t>calculated</w:t>
      </w:r>
      <w:r w:rsidR="000B58AF" w:rsidRPr="00921D4A">
        <w:rPr>
          <w:rFonts w:ascii="Times New Roman" w:hAnsi="Times New Roman" w:cs="Times New Roman"/>
          <w:sz w:val="24"/>
          <w:szCs w:val="24"/>
        </w:rPr>
        <w:t xml:space="preserve">. Figure </w:t>
      </w:r>
      <w:r w:rsidR="00877C07">
        <w:rPr>
          <w:rFonts w:ascii="Times New Roman" w:hAnsi="Times New Roman" w:cs="Times New Roman"/>
          <w:sz w:val="24"/>
          <w:szCs w:val="24"/>
        </w:rPr>
        <w:t xml:space="preserve">4 </w:t>
      </w:r>
      <w:r w:rsidR="000B58AF" w:rsidRPr="00921D4A">
        <w:rPr>
          <w:rFonts w:ascii="Times New Roman" w:hAnsi="Times New Roman" w:cs="Times New Roman"/>
          <w:sz w:val="24"/>
          <w:szCs w:val="24"/>
        </w:rPr>
        <w:t xml:space="preserve">provides city employment </w:t>
      </w:r>
      <w:proofErr w:type="spellStart"/>
      <w:r w:rsidR="000B58AF" w:rsidRPr="00921D4A">
        <w:rPr>
          <w:rFonts w:ascii="Times New Roman" w:hAnsi="Times New Roman" w:cs="Times New Roman"/>
          <w:sz w:val="24"/>
          <w:szCs w:val="24"/>
        </w:rPr>
        <w:t>elasticities</w:t>
      </w:r>
      <w:proofErr w:type="spellEnd"/>
      <w:r w:rsidR="000B58AF" w:rsidRPr="00921D4A">
        <w:rPr>
          <w:rFonts w:ascii="Times New Roman" w:hAnsi="Times New Roman" w:cs="Times New Roman"/>
          <w:sz w:val="24"/>
          <w:szCs w:val="24"/>
        </w:rPr>
        <w:t xml:space="preserve"> for 2021 </w:t>
      </w:r>
      <w:r w:rsidR="000F45C7">
        <w:rPr>
          <w:rFonts w:ascii="Times New Roman" w:hAnsi="Times New Roman" w:cs="Times New Roman"/>
          <w:sz w:val="24"/>
          <w:szCs w:val="24"/>
        </w:rPr>
        <w:t>across</w:t>
      </w:r>
      <w:r w:rsidR="000F45C7" w:rsidRPr="00921D4A">
        <w:rPr>
          <w:rFonts w:ascii="Times New Roman" w:hAnsi="Times New Roman" w:cs="Times New Roman"/>
          <w:sz w:val="24"/>
          <w:szCs w:val="24"/>
        </w:rPr>
        <w:t xml:space="preserve"> </w:t>
      </w:r>
      <w:r w:rsidR="00D3596E">
        <w:rPr>
          <w:rFonts w:ascii="Times New Roman" w:hAnsi="Times New Roman" w:cs="Times New Roman"/>
          <w:sz w:val="24"/>
          <w:szCs w:val="24"/>
        </w:rPr>
        <w:t xml:space="preserve">the </w:t>
      </w:r>
      <w:r w:rsidR="000B58AF" w:rsidRPr="00921D4A">
        <w:rPr>
          <w:rFonts w:ascii="Times New Roman" w:hAnsi="Times New Roman" w:cs="Times New Roman"/>
          <w:sz w:val="24"/>
          <w:szCs w:val="24"/>
        </w:rPr>
        <w:t xml:space="preserve">three </w:t>
      </w:r>
      <w:r w:rsidR="00794C38">
        <w:rPr>
          <w:rFonts w:ascii="Times New Roman" w:hAnsi="Times New Roman" w:cs="Times New Roman"/>
          <w:sz w:val="24"/>
          <w:szCs w:val="24"/>
        </w:rPr>
        <w:t xml:space="preserve">key </w:t>
      </w:r>
      <w:r w:rsidR="000B58AF" w:rsidRPr="00921D4A">
        <w:rPr>
          <w:rFonts w:ascii="Times New Roman" w:hAnsi="Times New Roman" w:cs="Times New Roman"/>
          <w:sz w:val="24"/>
          <w:szCs w:val="24"/>
        </w:rPr>
        <w:t>scenarios</w:t>
      </w:r>
      <w:r w:rsidR="00793423">
        <w:rPr>
          <w:rFonts w:ascii="Times New Roman" w:hAnsi="Times New Roman" w:cs="Times New Roman"/>
          <w:sz w:val="24"/>
          <w:szCs w:val="24"/>
        </w:rPr>
        <w:t>, placing them in</w:t>
      </w:r>
      <w:r w:rsidR="000B58AF" w:rsidRPr="00921D4A">
        <w:rPr>
          <w:rFonts w:ascii="Times New Roman" w:hAnsi="Times New Roman" w:cs="Times New Roman"/>
          <w:sz w:val="24"/>
          <w:szCs w:val="24"/>
        </w:rPr>
        <w:t xml:space="preserve"> </w:t>
      </w:r>
      <w:r w:rsidR="00793423">
        <w:rPr>
          <w:rFonts w:ascii="Times New Roman" w:hAnsi="Times New Roman" w:cs="Times New Roman"/>
          <w:sz w:val="24"/>
          <w:szCs w:val="24"/>
        </w:rPr>
        <w:t>comparison</w:t>
      </w:r>
      <w:r w:rsidR="000B58AF" w:rsidRPr="00921D4A">
        <w:rPr>
          <w:rFonts w:ascii="Times New Roman" w:hAnsi="Times New Roman" w:cs="Times New Roman"/>
          <w:sz w:val="24"/>
          <w:szCs w:val="24"/>
        </w:rPr>
        <w:t xml:space="preserve"> </w:t>
      </w:r>
      <w:r w:rsidR="00793423">
        <w:rPr>
          <w:rFonts w:ascii="Times New Roman" w:hAnsi="Times New Roman" w:cs="Times New Roman"/>
          <w:sz w:val="24"/>
          <w:szCs w:val="24"/>
        </w:rPr>
        <w:t xml:space="preserve">with a </w:t>
      </w:r>
      <w:r w:rsidR="000B58AF" w:rsidRPr="00921D4A">
        <w:rPr>
          <w:rFonts w:ascii="Times New Roman" w:hAnsi="Times New Roman" w:cs="Times New Roman"/>
          <w:sz w:val="24"/>
          <w:szCs w:val="24"/>
        </w:rPr>
        <w:t>select</w:t>
      </w:r>
      <w:r w:rsidR="00793423">
        <w:rPr>
          <w:rFonts w:ascii="Times New Roman" w:hAnsi="Times New Roman" w:cs="Times New Roman"/>
          <w:sz w:val="24"/>
          <w:szCs w:val="24"/>
        </w:rPr>
        <w:t xml:space="preserve"> set</w:t>
      </w:r>
      <w:r w:rsidR="000B58AF" w:rsidRPr="00921D4A">
        <w:rPr>
          <w:rFonts w:ascii="Times New Roman" w:hAnsi="Times New Roman" w:cs="Times New Roman"/>
          <w:sz w:val="24"/>
          <w:szCs w:val="24"/>
        </w:rPr>
        <w:t xml:space="preserve"> minimum wage studies.</w:t>
      </w:r>
    </w:p>
    <w:p w14:paraId="1B884857" w14:textId="34F7B035" w:rsidR="000B58AF" w:rsidRDefault="000B58AF" w:rsidP="00921D4A">
      <w:pPr>
        <w:spacing w:line="480" w:lineRule="auto"/>
        <w:ind w:firstLine="720"/>
        <w:rPr>
          <w:rFonts w:ascii="Times New Roman" w:hAnsi="Times New Roman" w:cs="Times New Roman"/>
          <w:sz w:val="24"/>
          <w:szCs w:val="24"/>
        </w:rPr>
      </w:pPr>
      <w:r w:rsidRPr="00921D4A">
        <w:rPr>
          <w:rFonts w:ascii="Times New Roman" w:hAnsi="Times New Roman" w:cs="Times New Roman"/>
          <w:sz w:val="24"/>
          <w:szCs w:val="24"/>
        </w:rPr>
        <w:t>Under Scenario 2 (</w:t>
      </w:r>
      <w:r w:rsidR="00B11C8C">
        <w:rPr>
          <w:rFonts w:ascii="Times New Roman" w:hAnsi="Times New Roman" w:cs="Times New Roman"/>
          <w:sz w:val="24"/>
          <w:szCs w:val="24"/>
        </w:rPr>
        <w:t xml:space="preserve">a </w:t>
      </w:r>
      <w:r w:rsidRPr="00921D4A">
        <w:rPr>
          <w:rFonts w:ascii="Times New Roman" w:hAnsi="Times New Roman" w:cs="Times New Roman"/>
          <w:sz w:val="24"/>
          <w:szCs w:val="24"/>
        </w:rPr>
        <w:t>worst case), the CGE model yields an employment elasticity of</w:t>
      </w:r>
      <w:r w:rsidR="00AD3FCC">
        <w:rPr>
          <w:rFonts w:ascii="Times New Roman" w:hAnsi="Times New Roman" w:cs="Times New Roman"/>
          <w:sz w:val="24"/>
          <w:szCs w:val="24"/>
        </w:rPr>
        <w:t xml:space="preserve"> </w:t>
      </w:r>
      <w:r w:rsidRPr="00921D4A">
        <w:rPr>
          <w:rFonts w:ascii="Times New Roman" w:hAnsi="Times New Roman" w:cs="Times New Roman"/>
          <w:sz w:val="24"/>
          <w:szCs w:val="24"/>
        </w:rPr>
        <w:t xml:space="preserve">-0.11, similar to </w:t>
      </w:r>
      <w:proofErr w:type="spellStart"/>
      <w:r w:rsidRPr="00921D4A">
        <w:rPr>
          <w:rFonts w:ascii="Times New Roman" w:hAnsi="Times New Roman" w:cs="Times New Roman"/>
          <w:sz w:val="24"/>
          <w:szCs w:val="24"/>
        </w:rPr>
        <w:t>Neumark</w:t>
      </w:r>
      <w:proofErr w:type="spellEnd"/>
      <w:r w:rsidRPr="00921D4A">
        <w:rPr>
          <w:rFonts w:ascii="Times New Roman" w:hAnsi="Times New Roman" w:cs="Times New Roman"/>
          <w:sz w:val="24"/>
          <w:szCs w:val="24"/>
        </w:rPr>
        <w:t>, Sala &amp;</w:t>
      </w:r>
      <w:r w:rsidR="003C4E7E">
        <w:rPr>
          <w:rFonts w:ascii="Times New Roman" w:hAnsi="Times New Roman" w:cs="Times New Roman"/>
          <w:sz w:val="24"/>
          <w:szCs w:val="24"/>
        </w:rPr>
        <w:t xml:space="preserve"> </w:t>
      </w:r>
      <w:proofErr w:type="spellStart"/>
      <w:r w:rsidRPr="00921D4A">
        <w:rPr>
          <w:rFonts w:ascii="Times New Roman" w:hAnsi="Times New Roman" w:cs="Times New Roman"/>
          <w:sz w:val="24"/>
          <w:szCs w:val="24"/>
        </w:rPr>
        <w:t>Wascher</w:t>
      </w:r>
      <w:proofErr w:type="spellEnd"/>
      <w:r w:rsidRPr="00921D4A">
        <w:rPr>
          <w:rFonts w:ascii="Times New Roman" w:hAnsi="Times New Roman" w:cs="Times New Roman"/>
          <w:sz w:val="24"/>
          <w:szCs w:val="24"/>
        </w:rPr>
        <w:t xml:space="preserve"> (2014) who </w:t>
      </w:r>
      <w:r w:rsidR="00A57B15" w:rsidRPr="00921D4A">
        <w:rPr>
          <w:rFonts w:ascii="Times New Roman" w:hAnsi="Times New Roman" w:cs="Times New Roman"/>
          <w:sz w:val="24"/>
          <w:szCs w:val="24"/>
        </w:rPr>
        <w:t xml:space="preserve">find </w:t>
      </w:r>
      <w:r w:rsidR="00A57B15">
        <w:rPr>
          <w:rFonts w:ascii="Times New Roman" w:hAnsi="Times New Roman" w:cs="Times New Roman"/>
          <w:sz w:val="24"/>
          <w:szCs w:val="24"/>
        </w:rPr>
        <w:t>relatively</w:t>
      </w:r>
      <w:r w:rsidR="00794C38">
        <w:rPr>
          <w:rFonts w:ascii="Times New Roman" w:hAnsi="Times New Roman" w:cs="Times New Roman"/>
          <w:sz w:val="24"/>
          <w:szCs w:val="24"/>
        </w:rPr>
        <w:t xml:space="preserve"> high </w:t>
      </w:r>
      <w:r w:rsidR="00AD3FCC">
        <w:rPr>
          <w:rFonts w:ascii="Times New Roman" w:hAnsi="Times New Roman" w:cs="Times New Roman"/>
          <w:sz w:val="24"/>
          <w:szCs w:val="24"/>
        </w:rPr>
        <w:t>job loss</w:t>
      </w:r>
      <w:r w:rsidR="00AD3FCC" w:rsidRPr="00921D4A">
        <w:rPr>
          <w:rFonts w:ascii="Times New Roman" w:hAnsi="Times New Roman" w:cs="Times New Roman"/>
          <w:sz w:val="24"/>
          <w:szCs w:val="24"/>
        </w:rPr>
        <w:t xml:space="preserve"> </w:t>
      </w:r>
      <w:r w:rsidR="00AD3FCC">
        <w:rPr>
          <w:rFonts w:ascii="Times New Roman" w:hAnsi="Times New Roman" w:cs="Times New Roman"/>
          <w:sz w:val="24"/>
          <w:szCs w:val="24"/>
        </w:rPr>
        <w:t>impacts</w:t>
      </w:r>
      <w:r w:rsidR="00AD3FCC" w:rsidRPr="00921D4A">
        <w:rPr>
          <w:rFonts w:ascii="Times New Roman" w:hAnsi="Times New Roman" w:cs="Times New Roman"/>
          <w:sz w:val="24"/>
          <w:szCs w:val="24"/>
        </w:rPr>
        <w:t xml:space="preserve"> </w:t>
      </w:r>
      <w:r w:rsidRPr="00921D4A">
        <w:rPr>
          <w:rFonts w:ascii="Times New Roman" w:hAnsi="Times New Roman" w:cs="Times New Roman"/>
          <w:sz w:val="24"/>
          <w:szCs w:val="24"/>
        </w:rPr>
        <w:t xml:space="preserve">among teens, and </w:t>
      </w:r>
      <w:proofErr w:type="spellStart"/>
      <w:r w:rsidRPr="00921D4A">
        <w:rPr>
          <w:rFonts w:ascii="Times New Roman" w:hAnsi="Times New Roman" w:cs="Times New Roman"/>
          <w:sz w:val="24"/>
          <w:szCs w:val="24"/>
        </w:rPr>
        <w:t>Sabia</w:t>
      </w:r>
      <w:proofErr w:type="spellEnd"/>
      <w:r w:rsidRPr="00921D4A">
        <w:rPr>
          <w:rFonts w:ascii="Times New Roman" w:hAnsi="Times New Roman" w:cs="Times New Roman"/>
          <w:sz w:val="24"/>
          <w:szCs w:val="24"/>
        </w:rPr>
        <w:t xml:space="preserve">, </w:t>
      </w:r>
      <w:proofErr w:type="spellStart"/>
      <w:r w:rsidRPr="00921D4A">
        <w:rPr>
          <w:rFonts w:ascii="Times New Roman" w:hAnsi="Times New Roman" w:cs="Times New Roman"/>
          <w:sz w:val="24"/>
          <w:szCs w:val="24"/>
        </w:rPr>
        <w:t>Burkhauser</w:t>
      </w:r>
      <w:proofErr w:type="spellEnd"/>
      <w:r w:rsidR="003C4E7E">
        <w:rPr>
          <w:rFonts w:ascii="Times New Roman" w:hAnsi="Times New Roman" w:cs="Times New Roman"/>
          <w:sz w:val="24"/>
          <w:szCs w:val="24"/>
        </w:rPr>
        <w:t xml:space="preserve"> </w:t>
      </w:r>
      <w:r w:rsidRPr="00921D4A">
        <w:rPr>
          <w:rFonts w:ascii="Times New Roman" w:hAnsi="Times New Roman" w:cs="Times New Roman"/>
          <w:sz w:val="24"/>
          <w:szCs w:val="24"/>
        </w:rPr>
        <w:t xml:space="preserve">&amp; Hansen (2012), who </w:t>
      </w:r>
      <w:r w:rsidR="00794C38">
        <w:rPr>
          <w:rFonts w:ascii="Times New Roman" w:hAnsi="Times New Roman" w:cs="Times New Roman"/>
          <w:sz w:val="24"/>
          <w:szCs w:val="24"/>
        </w:rPr>
        <w:t xml:space="preserve">also </w:t>
      </w:r>
      <w:r w:rsidRPr="00921D4A">
        <w:rPr>
          <w:rFonts w:ascii="Times New Roman" w:hAnsi="Times New Roman" w:cs="Times New Roman"/>
          <w:sz w:val="24"/>
          <w:szCs w:val="24"/>
        </w:rPr>
        <w:t xml:space="preserve">find </w:t>
      </w:r>
      <w:r w:rsidR="00794C38">
        <w:rPr>
          <w:rFonts w:ascii="Times New Roman" w:hAnsi="Times New Roman" w:cs="Times New Roman"/>
          <w:sz w:val="24"/>
          <w:szCs w:val="24"/>
        </w:rPr>
        <w:t xml:space="preserve">high </w:t>
      </w:r>
      <w:r w:rsidR="000502DB">
        <w:rPr>
          <w:rFonts w:ascii="Times New Roman" w:hAnsi="Times New Roman" w:cs="Times New Roman"/>
          <w:sz w:val="24"/>
          <w:szCs w:val="24"/>
        </w:rPr>
        <w:t>job loss</w:t>
      </w:r>
      <w:r w:rsidRPr="00921D4A">
        <w:rPr>
          <w:rFonts w:ascii="Times New Roman" w:hAnsi="Times New Roman" w:cs="Times New Roman"/>
          <w:sz w:val="24"/>
          <w:szCs w:val="24"/>
        </w:rPr>
        <w:t xml:space="preserve"> effects among workers with only a high school diploma. Under Scenario 4 (a most likely case), the CGE model produced an employment elasticity of -0.09, similar to the minimum wage </w:t>
      </w:r>
      <w:proofErr w:type="spellStart"/>
      <w:r w:rsidRPr="00921D4A">
        <w:rPr>
          <w:rFonts w:ascii="Times New Roman" w:hAnsi="Times New Roman" w:cs="Times New Roman"/>
          <w:sz w:val="24"/>
          <w:szCs w:val="24"/>
        </w:rPr>
        <w:t>elasticities</w:t>
      </w:r>
      <w:proofErr w:type="spellEnd"/>
      <w:r w:rsidRPr="00921D4A">
        <w:rPr>
          <w:rFonts w:ascii="Times New Roman" w:hAnsi="Times New Roman" w:cs="Times New Roman"/>
          <w:sz w:val="24"/>
          <w:szCs w:val="24"/>
        </w:rPr>
        <w:t xml:space="preserve"> found by </w:t>
      </w:r>
      <w:proofErr w:type="spellStart"/>
      <w:r w:rsidRPr="00921D4A">
        <w:rPr>
          <w:rFonts w:ascii="Times New Roman" w:hAnsi="Times New Roman" w:cs="Times New Roman"/>
          <w:sz w:val="24"/>
          <w:szCs w:val="24"/>
        </w:rPr>
        <w:t>Belman</w:t>
      </w:r>
      <w:proofErr w:type="spellEnd"/>
      <w:r w:rsidR="003C4E7E">
        <w:rPr>
          <w:rFonts w:ascii="Times New Roman" w:hAnsi="Times New Roman" w:cs="Times New Roman"/>
          <w:sz w:val="24"/>
          <w:szCs w:val="24"/>
        </w:rPr>
        <w:t xml:space="preserve"> </w:t>
      </w:r>
      <w:r w:rsidRPr="00921D4A">
        <w:rPr>
          <w:rFonts w:ascii="Times New Roman" w:hAnsi="Times New Roman" w:cs="Times New Roman"/>
          <w:sz w:val="24"/>
          <w:szCs w:val="24"/>
        </w:rPr>
        <w:t>&amp;</w:t>
      </w:r>
      <w:r w:rsidR="003C4E7E">
        <w:rPr>
          <w:rFonts w:ascii="Times New Roman" w:hAnsi="Times New Roman" w:cs="Times New Roman"/>
          <w:sz w:val="24"/>
          <w:szCs w:val="24"/>
        </w:rPr>
        <w:t xml:space="preserve"> </w:t>
      </w:r>
      <w:proofErr w:type="spellStart"/>
      <w:r w:rsidRPr="00921D4A">
        <w:rPr>
          <w:rFonts w:ascii="Times New Roman" w:hAnsi="Times New Roman" w:cs="Times New Roman"/>
          <w:sz w:val="24"/>
          <w:szCs w:val="24"/>
        </w:rPr>
        <w:t>Wolfson</w:t>
      </w:r>
      <w:proofErr w:type="spellEnd"/>
      <w:r w:rsidRPr="00921D4A">
        <w:rPr>
          <w:rFonts w:ascii="Times New Roman" w:hAnsi="Times New Roman" w:cs="Times New Roman"/>
          <w:sz w:val="24"/>
          <w:szCs w:val="24"/>
        </w:rPr>
        <w:t xml:space="preserve"> (2014), an aggregation of more than 70 studies. And, under Scenario 5 (a best case), the CGE produced an employment elasticity of practically zero, which is similar to </w:t>
      </w:r>
      <w:proofErr w:type="spellStart"/>
      <w:r w:rsidRPr="00921D4A">
        <w:rPr>
          <w:rFonts w:ascii="Times New Roman" w:hAnsi="Times New Roman" w:cs="Times New Roman"/>
          <w:sz w:val="24"/>
          <w:szCs w:val="24"/>
        </w:rPr>
        <w:t>Dube</w:t>
      </w:r>
      <w:proofErr w:type="spellEnd"/>
      <w:r w:rsidRPr="00921D4A">
        <w:rPr>
          <w:rFonts w:ascii="Times New Roman" w:hAnsi="Times New Roman" w:cs="Times New Roman"/>
          <w:sz w:val="24"/>
          <w:szCs w:val="24"/>
        </w:rPr>
        <w:t xml:space="preserve">, Lester &amp; Reich (2010) for service workers, Card &amp; Krueger (2000) for fast food </w:t>
      </w:r>
      <w:r w:rsidRPr="00680849">
        <w:rPr>
          <w:rFonts w:ascii="Times New Roman" w:hAnsi="Times New Roman" w:cs="Times New Roman"/>
          <w:sz w:val="24"/>
          <w:szCs w:val="24"/>
        </w:rPr>
        <w:t>workers, and Addison, Blackburn &amp;</w:t>
      </w:r>
      <w:r w:rsidR="003C4E7E" w:rsidRPr="00680849">
        <w:rPr>
          <w:rFonts w:ascii="Times New Roman" w:hAnsi="Times New Roman" w:cs="Times New Roman"/>
          <w:sz w:val="24"/>
          <w:szCs w:val="24"/>
        </w:rPr>
        <w:t xml:space="preserve"> </w:t>
      </w:r>
      <w:proofErr w:type="spellStart"/>
      <w:r w:rsidRPr="00680849">
        <w:rPr>
          <w:rFonts w:ascii="Times New Roman" w:hAnsi="Times New Roman" w:cs="Times New Roman"/>
          <w:sz w:val="24"/>
          <w:szCs w:val="24"/>
        </w:rPr>
        <w:t>Cotti</w:t>
      </w:r>
      <w:proofErr w:type="spellEnd"/>
      <w:r w:rsidRPr="00680849">
        <w:rPr>
          <w:rFonts w:ascii="Times New Roman" w:hAnsi="Times New Roman" w:cs="Times New Roman"/>
          <w:sz w:val="24"/>
          <w:szCs w:val="24"/>
        </w:rPr>
        <w:t xml:space="preserve"> (2014) for restaurant and bar sector workers </w:t>
      </w:r>
      <w:r w:rsidR="00680849" w:rsidRPr="00680849">
        <w:rPr>
          <w:rFonts w:ascii="Times New Roman" w:hAnsi="Times New Roman" w:cs="Times New Roman"/>
          <w:sz w:val="24"/>
          <w:szCs w:val="24"/>
        </w:rPr>
        <w:t>(</w:t>
      </w:r>
      <w:r w:rsidR="005C7F07" w:rsidRPr="00680849">
        <w:rPr>
          <w:rFonts w:ascii="Times New Roman" w:hAnsi="Times New Roman" w:cs="Times New Roman"/>
          <w:sz w:val="24"/>
          <w:szCs w:val="24"/>
        </w:rPr>
        <w:t xml:space="preserve">Appendix 1 provides the </w:t>
      </w:r>
      <w:r w:rsidR="00CF75F8">
        <w:rPr>
          <w:rFonts w:ascii="Times New Roman" w:hAnsi="Times New Roman" w:cs="Times New Roman"/>
          <w:sz w:val="24"/>
          <w:szCs w:val="24"/>
        </w:rPr>
        <w:t>labor demand</w:t>
      </w:r>
      <w:r w:rsidR="005C7F07" w:rsidRPr="00680849">
        <w:rPr>
          <w:rFonts w:ascii="Times New Roman" w:hAnsi="Times New Roman" w:cs="Times New Roman"/>
          <w:sz w:val="24"/>
          <w:szCs w:val="24"/>
        </w:rPr>
        <w:t xml:space="preserve"> elasticity measures for select industries most impacted by the $15 MWP</w:t>
      </w:r>
      <w:r w:rsidR="00680849" w:rsidRPr="00680849">
        <w:rPr>
          <w:rFonts w:ascii="Times New Roman" w:hAnsi="Times New Roman" w:cs="Times New Roman"/>
          <w:sz w:val="24"/>
          <w:szCs w:val="24"/>
        </w:rPr>
        <w:t>)</w:t>
      </w:r>
      <w:r w:rsidR="00AD3FCC">
        <w:rPr>
          <w:rFonts w:ascii="Times New Roman" w:hAnsi="Times New Roman" w:cs="Times New Roman"/>
          <w:sz w:val="24"/>
          <w:szCs w:val="24"/>
        </w:rPr>
        <w:t>.</w:t>
      </w:r>
    </w:p>
    <w:p w14:paraId="1F55B1C5" w14:textId="6EDE2DE4" w:rsidR="000B58AF" w:rsidRDefault="000B58AF">
      <w:pPr>
        <w:spacing w:line="480" w:lineRule="auto"/>
        <w:ind w:firstLine="720"/>
        <w:rPr>
          <w:rFonts w:ascii="Times New Roman" w:hAnsi="Times New Roman" w:cs="Times New Roman"/>
          <w:sz w:val="24"/>
          <w:szCs w:val="24"/>
        </w:rPr>
      </w:pPr>
      <w:r w:rsidRPr="00D74068">
        <w:rPr>
          <w:rFonts w:ascii="Times New Roman" w:hAnsi="Times New Roman" w:cs="Times New Roman"/>
          <w:sz w:val="24"/>
          <w:szCs w:val="24"/>
        </w:rPr>
        <w:t xml:space="preserve">With the CGE model’s annual job loss forecast, we are able to produce a </w:t>
      </w:r>
      <w:r w:rsidR="00A00903" w:rsidRPr="00D74068">
        <w:rPr>
          <w:rFonts w:ascii="Times New Roman" w:hAnsi="Times New Roman" w:cs="Times New Roman"/>
          <w:sz w:val="24"/>
          <w:szCs w:val="24"/>
        </w:rPr>
        <w:t>short-term</w:t>
      </w:r>
      <w:r w:rsidRPr="00D74068">
        <w:rPr>
          <w:rFonts w:ascii="Times New Roman" w:hAnsi="Times New Roman" w:cs="Times New Roman"/>
          <w:sz w:val="24"/>
          <w:szCs w:val="24"/>
        </w:rPr>
        <w:t xml:space="preserve"> impact in 2021 and a </w:t>
      </w:r>
      <w:r w:rsidR="00A00903" w:rsidRPr="00D74068">
        <w:rPr>
          <w:rFonts w:ascii="Times New Roman" w:hAnsi="Times New Roman" w:cs="Times New Roman"/>
          <w:sz w:val="24"/>
          <w:szCs w:val="24"/>
        </w:rPr>
        <w:t>long-term</w:t>
      </w:r>
      <w:r w:rsidRPr="00D74068">
        <w:rPr>
          <w:rFonts w:ascii="Times New Roman" w:hAnsi="Times New Roman" w:cs="Times New Roman"/>
          <w:sz w:val="24"/>
          <w:szCs w:val="24"/>
        </w:rPr>
        <w:t xml:space="preserve"> impact in 2026</w:t>
      </w:r>
      <w:r w:rsidR="001B6207" w:rsidRPr="00D74068">
        <w:rPr>
          <w:rFonts w:ascii="Times New Roman" w:hAnsi="Times New Roman" w:cs="Times New Roman"/>
          <w:sz w:val="24"/>
          <w:szCs w:val="24"/>
        </w:rPr>
        <w:t xml:space="preserve"> for the District of Colombia</w:t>
      </w:r>
      <w:r w:rsidR="000047EA" w:rsidRPr="00D74068">
        <w:rPr>
          <w:rFonts w:ascii="Times New Roman" w:hAnsi="Times New Roman" w:cs="Times New Roman"/>
          <w:sz w:val="24"/>
          <w:szCs w:val="24"/>
        </w:rPr>
        <w:t xml:space="preserve"> (Table 5)</w:t>
      </w:r>
      <w:r w:rsidRPr="00D74068">
        <w:rPr>
          <w:rFonts w:ascii="Times New Roman" w:hAnsi="Times New Roman" w:cs="Times New Roman"/>
          <w:sz w:val="24"/>
          <w:szCs w:val="24"/>
        </w:rPr>
        <w:t xml:space="preserve">. </w:t>
      </w:r>
      <w:r w:rsidR="000047EA" w:rsidRPr="00D74068">
        <w:rPr>
          <w:rFonts w:ascii="Times New Roman" w:hAnsi="Times New Roman" w:cs="Times New Roman"/>
          <w:sz w:val="24"/>
          <w:szCs w:val="24"/>
        </w:rPr>
        <w:t xml:space="preserve">In addition to the city’s minimum wage being </w:t>
      </w:r>
      <w:r w:rsidR="00D74068" w:rsidRPr="00D74068">
        <w:rPr>
          <w:rFonts w:ascii="Times New Roman" w:hAnsi="Times New Roman" w:cs="Times New Roman"/>
          <w:sz w:val="24"/>
          <w:szCs w:val="24"/>
        </w:rPr>
        <w:t>annually</w:t>
      </w:r>
      <w:r w:rsidR="000047EA" w:rsidRPr="00D74068">
        <w:rPr>
          <w:rFonts w:ascii="Times New Roman" w:hAnsi="Times New Roman" w:cs="Times New Roman"/>
          <w:sz w:val="24"/>
          <w:szCs w:val="24"/>
        </w:rPr>
        <w:t xml:space="preserve"> adjusted to the area’s consumer price index, t</w:t>
      </w:r>
      <w:r w:rsidR="0046315D" w:rsidRPr="00D74068">
        <w:rPr>
          <w:rFonts w:ascii="Times New Roman" w:hAnsi="Times New Roman" w:cs="Times New Roman"/>
          <w:sz w:val="24"/>
          <w:szCs w:val="24"/>
        </w:rPr>
        <w:t xml:space="preserve">he difference </w:t>
      </w:r>
      <w:r w:rsidR="000047EA" w:rsidRPr="00D74068">
        <w:rPr>
          <w:rFonts w:ascii="Times New Roman" w:hAnsi="Times New Roman" w:cs="Times New Roman"/>
          <w:sz w:val="24"/>
          <w:szCs w:val="24"/>
        </w:rPr>
        <w:t xml:space="preserve">in the two sets of impacts </w:t>
      </w:r>
      <w:r w:rsidR="00C775C1" w:rsidRPr="00D74068">
        <w:rPr>
          <w:rFonts w:ascii="Times New Roman" w:hAnsi="Times New Roman" w:cs="Times New Roman"/>
          <w:sz w:val="24"/>
          <w:szCs w:val="24"/>
        </w:rPr>
        <w:t xml:space="preserve">in the table stem from </w:t>
      </w:r>
      <w:r w:rsidR="000047EA" w:rsidRPr="00D74068">
        <w:rPr>
          <w:rFonts w:ascii="Times New Roman" w:hAnsi="Times New Roman" w:cs="Times New Roman"/>
          <w:sz w:val="24"/>
          <w:szCs w:val="24"/>
        </w:rPr>
        <w:t>the adjustment process (</w:t>
      </w:r>
      <w:r w:rsidR="00D74068" w:rsidRPr="00D74068">
        <w:rPr>
          <w:rFonts w:ascii="Times New Roman" w:hAnsi="Times New Roman" w:cs="Times New Roman"/>
          <w:sz w:val="24"/>
          <w:szCs w:val="24"/>
        </w:rPr>
        <w:t xml:space="preserve">i.e. </w:t>
      </w:r>
      <w:r w:rsidR="000047EA" w:rsidRPr="00D74068">
        <w:rPr>
          <w:rFonts w:ascii="Times New Roman" w:hAnsi="Times New Roman" w:cs="Times New Roman"/>
          <w:sz w:val="24"/>
          <w:szCs w:val="24"/>
        </w:rPr>
        <w:t>changes in prices, capital intensity and other productivity dynamics) of the regional economy and the subsequent behavioral change</w:t>
      </w:r>
      <w:r w:rsidR="00D74068" w:rsidRPr="00D74068">
        <w:rPr>
          <w:rFonts w:ascii="Times New Roman" w:hAnsi="Times New Roman" w:cs="Times New Roman"/>
          <w:sz w:val="24"/>
          <w:szCs w:val="24"/>
        </w:rPr>
        <w:t>s</w:t>
      </w:r>
      <w:r w:rsidR="000047EA" w:rsidRPr="00D74068">
        <w:rPr>
          <w:rFonts w:ascii="Times New Roman" w:hAnsi="Times New Roman" w:cs="Times New Roman"/>
          <w:sz w:val="24"/>
          <w:szCs w:val="24"/>
        </w:rPr>
        <w:t xml:space="preserve"> of its economic agents</w:t>
      </w:r>
      <w:r w:rsidR="00CE4E10">
        <w:rPr>
          <w:rFonts w:ascii="Times New Roman" w:hAnsi="Times New Roman" w:cs="Times New Roman"/>
          <w:sz w:val="24"/>
          <w:szCs w:val="24"/>
        </w:rPr>
        <w:t xml:space="preserve">, which we describe in greater detail within </w:t>
      </w:r>
      <w:r w:rsidR="00D74068" w:rsidRPr="00D74068">
        <w:rPr>
          <w:rFonts w:ascii="Times New Roman" w:hAnsi="Times New Roman" w:cs="Times New Roman"/>
          <w:sz w:val="24"/>
          <w:szCs w:val="24"/>
        </w:rPr>
        <w:t xml:space="preserve">Appendix A. </w:t>
      </w:r>
      <w:r w:rsidRPr="00D74068">
        <w:rPr>
          <w:rFonts w:ascii="Times New Roman" w:hAnsi="Times New Roman" w:cs="Times New Roman"/>
          <w:sz w:val="24"/>
          <w:szCs w:val="24"/>
        </w:rPr>
        <w:t xml:space="preserve">Table </w:t>
      </w:r>
      <w:r w:rsidR="00877C07" w:rsidRPr="00D74068">
        <w:rPr>
          <w:rFonts w:ascii="Times New Roman" w:hAnsi="Times New Roman" w:cs="Times New Roman"/>
          <w:sz w:val="24"/>
          <w:szCs w:val="24"/>
        </w:rPr>
        <w:t xml:space="preserve">5 </w:t>
      </w:r>
      <w:r w:rsidRPr="00D74068">
        <w:rPr>
          <w:rFonts w:ascii="Times New Roman" w:hAnsi="Times New Roman" w:cs="Times New Roman"/>
          <w:sz w:val="24"/>
          <w:szCs w:val="24"/>
        </w:rPr>
        <w:t>shows that</w:t>
      </w:r>
      <w:r w:rsidRPr="00921D4A">
        <w:rPr>
          <w:rFonts w:ascii="Times New Roman" w:hAnsi="Times New Roman" w:cs="Times New Roman"/>
          <w:sz w:val="24"/>
          <w:szCs w:val="24"/>
        </w:rPr>
        <w:t xml:space="preserve"> in </w:t>
      </w:r>
      <w:r w:rsidR="004B0A3B">
        <w:rPr>
          <w:rFonts w:ascii="Times New Roman" w:hAnsi="Times New Roman" w:cs="Times New Roman"/>
          <w:sz w:val="24"/>
          <w:szCs w:val="24"/>
        </w:rPr>
        <w:t>the</w:t>
      </w:r>
      <w:r w:rsidR="004B0A3B" w:rsidRPr="00921D4A">
        <w:rPr>
          <w:rFonts w:ascii="Times New Roman" w:hAnsi="Times New Roman" w:cs="Times New Roman"/>
          <w:sz w:val="24"/>
          <w:szCs w:val="24"/>
        </w:rPr>
        <w:t xml:space="preserve"> </w:t>
      </w:r>
      <w:r w:rsidR="00A00903" w:rsidRPr="000B58AF">
        <w:rPr>
          <w:rFonts w:ascii="Times New Roman" w:hAnsi="Times New Roman" w:cs="Times New Roman"/>
          <w:sz w:val="24"/>
          <w:szCs w:val="24"/>
        </w:rPr>
        <w:t>worst-case</w:t>
      </w:r>
      <w:r w:rsidRPr="00921D4A">
        <w:rPr>
          <w:rFonts w:ascii="Times New Roman" w:hAnsi="Times New Roman" w:cs="Times New Roman"/>
          <w:sz w:val="24"/>
          <w:szCs w:val="24"/>
        </w:rPr>
        <w:t xml:space="preserve"> scenario, </w:t>
      </w:r>
      <w:r w:rsidR="00A00903" w:rsidRPr="000B58AF">
        <w:rPr>
          <w:rFonts w:ascii="Times New Roman" w:hAnsi="Times New Roman" w:cs="Times New Roman"/>
          <w:sz w:val="24"/>
          <w:szCs w:val="24"/>
        </w:rPr>
        <w:t>1,680</w:t>
      </w:r>
      <w:r w:rsidRPr="00921D4A">
        <w:rPr>
          <w:rFonts w:ascii="Times New Roman" w:hAnsi="Times New Roman" w:cs="Times New Roman"/>
          <w:sz w:val="24"/>
          <w:szCs w:val="24"/>
        </w:rPr>
        <w:t xml:space="preserve"> and 2,757 </w:t>
      </w:r>
      <w:r w:rsidR="004B0A3B">
        <w:rPr>
          <w:rFonts w:ascii="Times New Roman" w:hAnsi="Times New Roman" w:cs="Times New Roman"/>
          <w:sz w:val="24"/>
          <w:szCs w:val="24"/>
        </w:rPr>
        <w:t>DC residents</w:t>
      </w:r>
      <w:r w:rsidR="00FA6245">
        <w:rPr>
          <w:rFonts w:ascii="Times New Roman" w:hAnsi="Times New Roman" w:cs="Times New Roman"/>
          <w:sz w:val="24"/>
          <w:szCs w:val="24"/>
        </w:rPr>
        <w:t xml:space="preserve"> </w:t>
      </w:r>
      <w:r w:rsidRPr="00921D4A">
        <w:rPr>
          <w:rFonts w:ascii="Times New Roman" w:hAnsi="Times New Roman" w:cs="Times New Roman"/>
          <w:sz w:val="24"/>
          <w:szCs w:val="24"/>
        </w:rPr>
        <w:t>are estimated to lose their job in 2021 and 2026, respectively.</w:t>
      </w:r>
      <w:r w:rsidR="004B5DC1">
        <w:rPr>
          <w:rFonts w:ascii="Times New Roman" w:hAnsi="Times New Roman" w:cs="Times New Roman"/>
          <w:sz w:val="24"/>
          <w:szCs w:val="24"/>
        </w:rPr>
        <w:t xml:space="preserve"> </w:t>
      </w:r>
      <w:r w:rsidR="004B5DC1" w:rsidRPr="00921D4A">
        <w:rPr>
          <w:rFonts w:ascii="Times New Roman" w:hAnsi="Times New Roman" w:cs="Times New Roman"/>
          <w:sz w:val="24"/>
          <w:szCs w:val="24"/>
        </w:rPr>
        <w:t>In the most likely scenario</w:t>
      </w:r>
      <w:r w:rsidR="004B5DC1">
        <w:rPr>
          <w:rFonts w:ascii="Times New Roman" w:hAnsi="Times New Roman" w:cs="Times New Roman"/>
          <w:sz w:val="24"/>
          <w:szCs w:val="24"/>
        </w:rPr>
        <w:t xml:space="preserve">, </w:t>
      </w:r>
      <w:r w:rsidR="004B5DC1" w:rsidRPr="000B58AF">
        <w:rPr>
          <w:rFonts w:ascii="Times New Roman" w:hAnsi="Times New Roman" w:cs="Times New Roman"/>
          <w:sz w:val="24"/>
          <w:szCs w:val="24"/>
        </w:rPr>
        <w:t>1,</w:t>
      </w:r>
      <w:r w:rsidR="004B5DC1">
        <w:rPr>
          <w:rFonts w:ascii="Times New Roman" w:hAnsi="Times New Roman" w:cs="Times New Roman"/>
          <w:sz w:val="24"/>
          <w:szCs w:val="24"/>
        </w:rPr>
        <w:t>074</w:t>
      </w:r>
      <w:r w:rsidR="004B5DC1" w:rsidRPr="00921D4A">
        <w:rPr>
          <w:rFonts w:ascii="Times New Roman" w:hAnsi="Times New Roman" w:cs="Times New Roman"/>
          <w:sz w:val="24"/>
          <w:szCs w:val="24"/>
        </w:rPr>
        <w:t xml:space="preserve"> </w:t>
      </w:r>
      <w:r w:rsidR="004B5DC1" w:rsidRPr="00921D4A">
        <w:rPr>
          <w:rFonts w:ascii="Times New Roman" w:hAnsi="Times New Roman" w:cs="Times New Roman"/>
          <w:sz w:val="24"/>
          <w:szCs w:val="24"/>
        </w:rPr>
        <w:lastRenderedPageBreak/>
        <w:t xml:space="preserve">and </w:t>
      </w:r>
      <w:r w:rsidR="004B5DC1">
        <w:rPr>
          <w:rFonts w:ascii="Times New Roman" w:hAnsi="Times New Roman" w:cs="Times New Roman"/>
          <w:sz w:val="24"/>
          <w:szCs w:val="24"/>
        </w:rPr>
        <w:t>1,</w:t>
      </w:r>
      <w:r w:rsidR="004B0A3B">
        <w:rPr>
          <w:rFonts w:ascii="Times New Roman" w:hAnsi="Times New Roman" w:cs="Times New Roman"/>
          <w:sz w:val="24"/>
          <w:szCs w:val="24"/>
        </w:rPr>
        <w:t xml:space="preserve">860 city residents </w:t>
      </w:r>
      <w:r w:rsidR="004B5DC1" w:rsidRPr="00921D4A">
        <w:rPr>
          <w:rFonts w:ascii="Times New Roman" w:hAnsi="Times New Roman" w:cs="Times New Roman"/>
          <w:sz w:val="24"/>
          <w:szCs w:val="24"/>
        </w:rPr>
        <w:t xml:space="preserve">will </w:t>
      </w:r>
      <w:r w:rsidR="004B0A3B">
        <w:rPr>
          <w:rFonts w:ascii="Times New Roman" w:hAnsi="Times New Roman" w:cs="Times New Roman"/>
          <w:sz w:val="24"/>
          <w:szCs w:val="24"/>
        </w:rPr>
        <w:t>experience job loss</w:t>
      </w:r>
      <w:r w:rsidR="004B5DC1" w:rsidRPr="00921D4A">
        <w:rPr>
          <w:rFonts w:ascii="Times New Roman" w:hAnsi="Times New Roman" w:cs="Times New Roman"/>
          <w:sz w:val="24"/>
          <w:szCs w:val="24"/>
        </w:rPr>
        <w:t xml:space="preserve"> in 2021 and 2026, respectively.</w:t>
      </w:r>
      <w:r w:rsidR="004B5DC1">
        <w:rPr>
          <w:rFonts w:ascii="Times New Roman" w:hAnsi="Times New Roman" w:cs="Times New Roman"/>
          <w:sz w:val="24"/>
          <w:szCs w:val="24"/>
        </w:rPr>
        <w:t xml:space="preserve"> </w:t>
      </w:r>
      <w:r w:rsidR="004B0A3B">
        <w:rPr>
          <w:rFonts w:ascii="Times New Roman" w:hAnsi="Times New Roman" w:cs="Times New Roman"/>
          <w:sz w:val="24"/>
          <w:szCs w:val="24"/>
        </w:rPr>
        <w:t>I</w:t>
      </w:r>
      <w:r w:rsidR="004B5DC1" w:rsidRPr="00921D4A">
        <w:rPr>
          <w:rFonts w:ascii="Times New Roman" w:hAnsi="Times New Roman" w:cs="Times New Roman"/>
          <w:sz w:val="24"/>
          <w:szCs w:val="24"/>
        </w:rPr>
        <w:t xml:space="preserve">n the </w:t>
      </w:r>
      <w:r w:rsidR="004B0A3B" w:rsidRPr="00921D4A">
        <w:rPr>
          <w:rFonts w:ascii="Times New Roman" w:hAnsi="Times New Roman" w:cs="Times New Roman"/>
          <w:sz w:val="24"/>
          <w:szCs w:val="24"/>
        </w:rPr>
        <w:t>best-case</w:t>
      </w:r>
      <w:r w:rsidR="004B5DC1">
        <w:rPr>
          <w:rFonts w:ascii="Times New Roman" w:hAnsi="Times New Roman" w:cs="Times New Roman"/>
          <w:sz w:val="24"/>
          <w:szCs w:val="24"/>
        </w:rPr>
        <w:t xml:space="preserve"> </w:t>
      </w:r>
      <w:r w:rsidR="004B5DC1" w:rsidRPr="00921D4A">
        <w:rPr>
          <w:rFonts w:ascii="Times New Roman" w:hAnsi="Times New Roman" w:cs="Times New Roman"/>
          <w:sz w:val="24"/>
          <w:szCs w:val="24"/>
        </w:rPr>
        <w:t xml:space="preserve">scenario, where affected businesses tend to offset the vast majority of the higher labor cost with significant productivity and efficiency gains, only 109 and 358 </w:t>
      </w:r>
      <w:r w:rsidR="004B5DC1">
        <w:rPr>
          <w:rFonts w:ascii="Times New Roman" w:hAnsi="Times New Roman" w:cs="Times New Roman"/>
          <w:sz w:val="24"/>
          <w:szCs w:val="24"/>
        </w:rPr>
        <w:t>city</w:t>
      </w:r>
      <w:r w:rsidR="004B5DC1" w:rsidRPr="00921D4A" w:rsidDel="00FA6245">
        <w:rPr>
          <w:rFonts w:ascii="Times New Roman" w:hAnsi="Times New Roman" w:cs="Times New Roman"/>
          <w:sz w:val="24"/>
          <w:szCs w:val="24"/>
        </w:rPr>
        <w:t xml:space="preserve"> </w:t>
      </w:r>
      <w:r w:rsidR="004B0A3B">
        <w:rPr>
          <w:rFonts w:ascii="Times New Roman" w:hAnsi="Times New Roman" w:cs="Times New Roman"/>
          <w:sz w:val="24"/>
          <w:szCs w:val="24"/>
        </w:rPr>
        <w:t xml:space="preserve">resident workers </w:t>
      </w:r>
      <w:r w:rsidR="004B5DC1" w:rsidRPr="00921D4A">
        <w:rPr>
          <w:rFonts w:ascii="Times New Roman" w:hAnsi="Times New Roman" w:cs="Times New Roman"/>
          <w:sz w:val="24"/>
          <w:szCs w:val="24"/>
        </w:rPr>
        <w:t xml:space="preserve">are estimated to lose their job in 2021 and 2026, respectively. </w:t>
      </w:r>
      <w:r w:rsidR="00A00903">
        <w:rPr>
          <w:rFonts w:ascii="Times New Roman" w:hAnsi="Times New Roman" w:cs="Times New Roman"/>
          <w:sz w:val="24"/>
          <w:szCs w:val="24"/>
        </w:rPr>
        <w:t xml:space="preserve">Interestingly, </w:t>
      </w:r>
      <w:r w:rsidR="0096025D">
        <w:rPr>
          <w:rFonts w:ascii="Times New Roman" w:hAnsi="Times New Roman" w:cs="Times New Roman"/>
          <w:sz w:val="24"/>
          <w:szCs w:val="24"/>
        </w:rPr>
        <w:t xml:space="preserve">Table </w:t>
      </w:r>
      <w:r w:rsidR="00877C07">
        <w:rPr>
          <w:rFonts w:ascii="Times New Roman" w:hAnsi="Times New Roman" w:cs="Times New Roman"/>
          <w:sz w:val="24"/>
          <w:szCs w:val="24"/>
        </w:rPr>
        <w:t xml:space="preserve">5 </w:t>
      </w:r>
      <w:r w:rsidR="0096025D">
        <w:rPr>
          <w:rFonts w:ascii="Times New Roman" w:hAnsi="Times New Roman" w:cs="Times New Roman"/>
          <w:sz w:val="24"/>
          <w:szCs w:val="24"/>
        </w:rPr>
        <w:t>shows that city residents accounted for 60-65 percent of the job losses in the short term</w:t>
      </w:r>
      <w:r w:rsidR="00093423">
        <w:rPr>
          <w:rFonts w:ascii="Times New Roman" w:hAnsi="Times New Roman" w:cs="Times New Roman"/>
          <w:sz w:val="24"/>
          <w:szCs w:val="24"/>
        </w:rPr>
        <w:t xml:space="preserve">, but, </w:t>
      </w:r>
      <w:r w:rsidR="0096025D">
        <w:rPr>
          <w:rFonts w:ascii="Times New Roman" w:hAnsi="Times New Roman" w:cs="Times New Roman"/>
          <w:sz w:val="24"/>
          <w:szCs w:val="24"/>
        </w:rPr>
        <w:t>five years later</w:t>
      </w:r>
      <w:r w:rsidR="00093423">
        <w:rPr>
          <w:rFonts w:ascii="Times New Roman" w:hAnsi="Times New Roman" w:cs="Times New Roman"/>
          <w:sz w:val="24"/>
          <w:szCs w:val="24"/>
        </w:rPr>
        <w:t xml:space="preserve"> in the longer-term</w:t>
      </w:r>
      <w:r w:rsidR="0096025D">
        <w:rPr>
          <w:rFonts w:ascii="Times New Roman" w:hAnsi="Times New Roman" w:cs="Times New Roman"/>
          <w:sz w:val="24"/>
          <w:szCs w:val="24"/>
        </w:rPr>
        <w:t>, account for 77-82 percent of the job losses.</w:t>
      </w:r>
      <w:r w:rsidR="00647A92">
        <w:rPr>
          <w:rStyle w:val="FootnoteReference"/>
          <w:rFonts w:ascii="Times New Roman" w:hAnsi="Times New Roman" w:cs="Times New Roman"/>
          <w:sz w:val="24"/>
          <w:szCs w:val="24"/>
        </w:rPr>
        <w:footnoteReference w:id="17"/>
      </w:r>
      <w:r w:rsidR="0096025D">
        <w:rPr>
          <w:rFonts w:ascii="Times New Roman" w:hAnsi="Times New Roman" w:cs="Times New Roman"/>
          <w:sz w:val="24"/>
          <w:szCs w:val="24"/>
        </w:rPr>
        <w:t xml:space="preserve">  This </w:t>
      </w:r>
      <w:r w:rsidR="009B0E55">
        <w:rPr>
          <w:rFonts w:ascii="Times New Roman" w:hAnsi="Times New Roman" w:cs="Times New Roman"/>
          <w:sz w:val="24"/>
          <w:szCs w:val="24"/>
        </w:rPr>
        <w:t xml:space="preserve">reflects </w:t>
      </w:r>
      <w:r w:rsidR="0096025D" w:rsidRPr="00204204">
        <w:rPr>
          <w:rFonts w:ascii="Times New Roman" w:hAnsi="Times New Roman" w:cs="Times New Roman"/>
          <w:sz w:val="24"/>
          <w:szCs w:val="24"/>
        </w:rPr>
        <w:t>displacement effects</w:t>
      </w:r>
      <w:r w:rsidR="00093423">
        <w:rPr>
          <w:rFonts w:ascii="Times New Roman" w:hAnsi="Times New Roman" w:cs="Times New Roman"/>
          <w:sz w:val="24"/>
          <w:szCs w:val="24"/>
        </w:rPr>
        <w:t xml:space="preserve"> and</w:t>
      </w:r>
      <w:r w:rsidR="0096025D">
        <w:rPr>
          <w:rFonts w:ascii="Times New Roman" w:hAnsi="Times New Roman" w:cs="Times New Roman"/>
          <w:sz w:val="24"/>
          <w:szCs w:val="24"/>
        </w:rPr>
        <w:t xml:space="preserve"> other dynamic</w:t>
      </w:r>
      <w:r w:rsidR="0021121E">
        <w:rPr>
          <w:rFonts w:ascii="Times New Roman" w:hAnsi="Times New Roman" w:cs="Times New Roman"/>
          <w:sz w:val="24"/>
          <w:szCs w:val="24"/>
        </w:rPr>
        <w:t xml:space="preserve"> and </w:t>
      </w:r>
      <w:proofErr w:type="spellStart"/>
      <w:r w:rsidR="0021121E">
        <w:rPr>
          <w:rFonts w:ascii="Times New Roman" w:hAnsi="Times New Roman" w:cs="Times New Roman"/>
          <w:sz w:val="24"/>
          <w:szCs w:val="24"/>
        </w:rPr>
        <w:t>intertemporal</w:t>
      </w:r>
      <w:proofErr w:type="spellEnd"/>
      <w:r w:rsidR="0021121E">
        <w:rPr>
          <w:rFonts w:ascii="Times New Roman" w:hAnsi="Times New Roman" w:cs="Times New Roman"/>
          <w:sz w:val="24"/>
          <w:szCs w:val="24"/>
        </w:rPr>
        <w:t xml:space="preserve"> </w:t>
      </w:r>
      <w:r w:rsidR="0096025D">
        <w:rPr>
          <w:rFonts w:ascii="Times New Roman" w:hAnsi="Times New Roman" w:cs="Times New Roman"/>
          <w:sz w:val="24"/>
          <w:szCs w:val="24"/>
        </w:rPr>
        <w:t xml:space="preserve">economic </w:t>
      </w:r>
      <w:r w:rsidR="0096025D" w:rsidRPr="00BE66A5">
        <w:rPr>
          <w:rFonts w:ascii="Times New Roman" w:hAnsi="Times New Roman" w:cs="Times New Roman"/>
          <w:sz w:val="24"/>
          <w:szCs w:val="24"/>
        </w:rPr>
        <w:t xml:space="preserve">interactions </w:t>
      </w:r>
      <w:r w:rsidR="0096025D">
        <w:rPr>
          <w:rFonts w:ascii="Times New Roman" w:hAnsi="Times New Roman" w:cs="Times New Roman"/>
          <w:sz w:val="24"/>
          <w:szCs w:val="24"/>
        </w:rPr>
        <w:t xml:space="preserve">that will likely take place </w:t>
      </w:r>
      <w:r w:rsidR="00093423">
        <w:rPr>
          <w:rFonts w:ascii="Times New Roman" w:hAnsi="Times New Roman" w:cs="Times New Roman"/>
          <w:sz w:val="24"/>
          <w:szCs w:val="24"/>
        </w:rPr>
        <w:t xml:space="preserve">throughout </w:t>
      </w:r>
      <w:r w:rsidR="0096025D">
        <w:rPr>
          <w:rFonts w:ascii="Times New Roman" w:hAnsi="Times New Roman" w:cs="Times New Roman"/>
          <w:sz w:val="24"/>
          <w:szCs w:val="24"/>
        </w:rPr>
        <w:t>the regional economy over time</w:t>
      </w:r>
      <w:r w:rsidR="006B2745">
        <w:rPr>
          <w:rFonts w:ascii="Times New Roman" w:hAnsi="Times New Roman" w:cs="Times New Roman"/>
          <w:sz w:val="24"/>
          <w:szCs w:val="24"/>
        </w:rPr>
        <w:t>. C</w:t>
      </w:r>
      <w:r w:rsidR="00093423">
        <w:rPr>
          <w:rFonts w:ascii="Times New Roman" w:hAnsi="Times New Roman" w:cs="Times New Roman"/>
          <w:sz w:val="24"/>
          <w:szCs w:val="24"/>
        </w:rPr>
        <w:t xml:space="preserve">ity residents face </w:t>
      </w:r>
      <w:r w:rsidR="006B2745">
        <w:rPr>
          <w:rFonts w:ascii="Times New Roman" w:hAnsi="Times New Roman" w:cs="Times New Roman"/>
          <w:sz w:val="24"/>
          <w:szCs w:val="24"/>
        </w:rPr>
        <w:t xml:space="preserve">increased </w:t>
      </w:r>
      <w:r w:rsidR="00093423">
        <w:rPr>
          <w:rFonts w:ascii="Times New Roman" w:hAnsi="Times New Roman" w:cs="Times New Roman"/>
          <w:sz w:val="24"/>
          <w:szCs w:val="24"/>
        </w:rPr>
        <w:t>competition from</w:t>
      </w:r>
      <w:r w:rsidR="006B2745">
        <w:rPr>
          <w:rFonts w:ascii="Times New Roman" w:hAnsi="Times New Roman" w:cs="Times New Roman"/>
          <w:sz w:val="24"/>
          <w:szCs w:val="24"/>
        </w:rPr>
        <w:t xml:space="preserve"> job seekers across the region who have greater incentive to look for minimum wage work in DC relative to neighboring jurisdictions due to the $15 MWP. </w:t>
      </w:r>
    </w:p>
    <w:p w14:paraId="35918DB0" w14:textId="77777777" w:rsidR="000B58AF" w:rsidRPr="00AA108E" w:rsidRDefault="000B58AF" w:rsidP="00921D4A">
      <w:pPr>
        <w:spacing w:line="480" w:lineRule="auto"/>
        <w:rPr>
          <w:rFonts w:ascii="Times New Roman" w:hAnsi="Times New Roman" w:cs="Times New Roman"/>
          <w:i/>
          <w:sz w:val="24"/>
          <w:szCs w:val="24"/>
        </w:rPr>
      </w:pPr>
      <w:r w:rsidRPr="00AA108E">
        <w:rPr>
          <w:rFonts w:ascii="Times New Roman" w:hAnsi="Times New Roman" w:cs="Times New Roman"/>
          <w:i/>
          <w:sz w:val="24"/>
          <w:szCs w:val="24"/>
        </w:rPr>
        <w:t>Earned Income Tax Credit Impacts</w:t>
      </w:r>
    </w:p>
    <w:p w14:paraId="2BF5587A" w14:textId="53504D35" w:rsidR="000B58AF" w:rsidRPr="00921D4A" w:rsidRDefault="00D333D0" w:rsidP="00921D4A">
      <w:pPr>
        <w:spacing w:line="480" w:lineRule="auto"/>
        <w:ind w:firstLine="720"/>
        <w:rPr>
          <w:rFonts w:ascii="Times New Roman" w:hAnsi="Times New Roman" w:cs="Times New Roman"/>
          <w:sz w:val="24"/>
          <w:szCs w:val="24"/>
        </w:rPr>
      </w:pPr>
      <w:r>
        <w:rPr>
          <w:rFonts w:ascii="Times New Roman" w:eastAsia="Calibri" w:hAnsi="Times New Roman" w:cs="Times New Roman"/>
          <w:sz w:val="24"/>
          <w:szCs w:val="24"/>
        </w:rPr>
        <w:t>T</w:t>
      </w:r>
      <w:r w:rsidR="00E95BF0">
        <w:rPr>
          <w:rFonts w:ascii="Times New Roman" w:eastAsia="Calibri" w:hAnsi="Times New Roman" w:cs="Times New Roman"/>
          <w:sz w:val="24"/>
          <w:szCs w:val="24"/>
        </w:rPr>
        <w:t xml:space="preserve">he </w:t>
      </w:r>
      <w:r w:rsidR="00093423">
        <w:rPr>
          <w:rFonts w:ascii="Times New Roman" w:eastAsia="Calibri" w:hAnsi="Times New Roman" w:cs="Times New Roman"/>
          <w:sz w:val="24"/>
          <w:szCs w:val="24"/>
        </w:rPr>
        <w:t xml:space="preserve">Scenario 4 </w:t>
      </w:r>
      <w:r w:rsidR="00E95BF0">
        <w:rPr>
          <w:rFonts w:ascii="Times New Roman" w:eastAsia="Calibri" w:hAnsi="Times New Roman" w:cs="Times New Roman"/>
          <w:sz w:val="24"/>
          <w:szCs w:val="24"/>
        </w:rPr>
        <w:t xml:space="preserve">CGE model </w:t>
      </w:r>
      <w:r>
        <w:rPr>
          <w:rFonts w:ascii="Times New Roman" w:eastAsia="Calibri" w:hAnsi="Times New Roman" w:cs="Times New Roman"/>
          <w:sz w:val="24"/>
          <w:szCs w:val="24"/>
        </w:rPr>
        <w:t>estimates</w:t>
      </w:r>
      <w:r w:rsidR="009652CB">
        <w:rPr>
          <w:rFonts w:ascii="Times New Roman" w:eastAsia="Calibri" w:hAnsi="Times New Roman" w:cs="Times New Roman"/>
          <w:sz w:val="24"/>
          <w:szCs w:val="24"/>
        </w:rPr>
        <w:t xml:space="preserve"> reveal</w:t>
      </w:r>
      <w:r w:rsidR="009652CB" w:rsidRPr="00BA787C">
        <w:rPr>
          <w:rFonts w:ascii="Times New Roman" w:eastAsia="Calibri" w:hAnsi="Times New Roman" w:cs="Times New Roman"/>
          <w:sz w:val="24"/>
          <w:szCs w:val="24"/>
        </w:rPr>
        <w:t xml:space="preserve"> </w:t>
      </w:r>
      <w:r w:rsidR="00E95BF0" w:rsidRPr="00BA787C">
        <w:rPr>
          <w:rFonts w:ascii="Times New Roman" w:eastAsia="Calibri" w:hAnsi="Times New Roman" w:cs="Times New Roman"/>
          <w:sz w:val="24"/>
          <w:szCs w:val="24"/>
        </w:rPr>
        <w:t xml:space="preserve">that </w:t>
      </w:r>
      <w:r w:rsidR="00352D8B">
        <w:rPr>
          <w:rFonts w:ascii="Times New Roman" w:eastAsia="Calibri" w:hAnsi="Times New Roman" w:cs="Times New Roman"/>
          <w:sz w:val="24"/>
          <w:szCs w:val="24"/>
        </w:rPr>
        <w:t xml:space="preserve">approximately 1,074 residents </w:t>
      </w:r>
      <w:r w:rsidR="00A26B5F">
        <w:rPr>
          <w:rFonts w:ascii="Times New Roman" w:eastAsia="Calibri" w:hAnsi="Times New Roman" w:cs="Times New Roman"/>
          <w:sz w:val="24"/>
          <w:szCs w:val="24"/>
        </w:rPr>
        <w:t xml:space="preserve">will </w:t>
      </w:r>
      <w:r w:rsidR="00093423">
        <w:rPr>
          <w:rFonts w:ascii="Times New Roman" w:eastAsia="Calibri" w:hAnsi="Times New Roman" w:cs="Times New Roman"/>
          <w:sz w:val="24"/>
          <w:szCs w:val="24"/>
        </w:rPr>
        <w:t>be unemployed</w:t>
      </w:r>
      <w:r w:rsidR="00A26B5F">
        <w:rPr>
          <w:rFonts w:ascii="Times New Roman" w:eastAsia="Calibri" w:hAnsi="Times New Roman" w:cs="Times New Roman"/>
          <w:sz w:val="24"/>
          <w:szCs w:val="24"/>
        </w:rPr>
        <w:t xml:space="preserve"> </w:t>
      </w:r>
      <w:r w:rsidR="00E95BF0" w:rsidRPr="00BA787C">
        <w:rPr>
          <w:rFonts w:ascii="Times New Roman" w:eastAsia="Calibri" w:hAnsi="Times New Roman" w:cs="Times New Roman"/>
          <w:sz w:val="24"/>
          <w:szCs w:val="24"/>
        </w:rPr>
        <w:t>because of this policy.</w:t>
      </w:r>
      <w:r w:rsidR="000F4C19">
        <w:rPr>
          <w:rFonts w:ascii="Times New Roman" w:eastAsia="Calibri" w:hAnsi="Times New Roman" w:cs="Times New Roman"/>
          <w:sz w:val="24"/>
          <w:szCs w:val="24"/>
        </w:rPr>
        <w:t xml:space="preserve">  </w:t>
      </w:r>
      <w:r w:rsidR="00093423">
        <w:rPr>
          <w:rFonts w:ascii="Times New Roman" w:eastAsia="Calibri" w:hAnsi="Times New Roman" w:cs="Times New Roman"/>
          <w:sz w:val="24"/>
          <w:szCs w:val="24"/>
        </w:rPr>
        <w:t>Examining</w:t>
      </w:r>
      <w:r w:rsidR="00E95BF0" w:rsidRPr="00BA787C">
        <w:rPr>
          <w:rFonts w:ascii="Times New Roman" w:eastAsia="Calibri" w:hAnsi="Times New Roman" w:cs="Times New Roman"/>
          <w:sz w:val="24"/>
          <w:szCs w:val="24"/>
        </w:rPr>
        <w:t xml:space="preserve"> a random 1,</w:t>
      </w:r>
      <w:r w:rsidR="000F4C19">
        <w:rPr>
          <w:rFonts w:ascii="Times New Roman" w:eastAsia="Calibri" w:hAnsi="Times New Roman" w:cs="Times New Roman"/>
          <w:sz w:val="24"/>
          <w:szCs w:val="24"/>
        </w:rPr>
        <w:t>074</w:t>
      </w:r>
      <w:r w:rsidR="00E95BF0" w:rsidRPr="00BA787C">
        <w:rPr>
          <w:rFonts w:ascii="Times New Roman" w:eastAsia="Calibri" w:hAnsi="Times New Roman" w:cs="Times New Roman"/>
          <w:sz w:val="24"/>
          <w:szCs w:val="24"/>
        </w:rPr>
        <w:t xml:space="preserve"> tax filers from </w:t>
      </w:r>
      <w:r w:rsidR="00093423">
        <w:rPr>
          <w:rFonts w:ascii="Times New Roman" w:eastAsia="Calibri" w:hAnsi="Times New Roman" w:cs="Times New Roman"/>
          <w:sz w:val="24"/>
          <w:szCs w:val="24"/>
        </w:rPr>
        <w:t xml:space="preserve">among </w:t>
      </w:r>
      <w:r w:rsidR="00E95BF0" w:rsidRPr="00BA787C">
        <w:rPr>
          <w:rFonts w:ascii="Times New Roman" w:eastAsia="Calibri" w:hAnsi="Times New Roman" w:cs="Times New Roman"/>
          <w:sz w:val="24"/>
          <w:szCs w:val="24"/>
        </w:rPr>
        <w:t xml:space="preserve">the 60,748 resident </w:t>
      </w:r>
      <w:r w:rsidR="00A26B5F">
        <w:rPr>
          <w:rFonts w:ascii="Times New Roman" w:eastAsia="Calibri" w:hAnsi="Times New Roman" w:cs="Times New Roman"/>
          <w:sz w:val="24"/>
          <w:szCs w:val="24"/>
        </w:rPr>
        <w:t xml:space="preserve">tax </w:t>
      </w:r>
      <w:r w:rsidR="00E95BF0" w:rsidRPr="00BA787C">
        <w:rPr>
          <w:rFonts w:ascii="Times New Roman" w:eastAsia="Calibri" w:hAnsi="Times New Roman" w:cs="Times New Roman"/>
          <w:sz w:val="24"/>
          <w:szCs w:val="24"/>
        </w:rPr>
        <w:t xml:space="preserve">filers as </w:t>
      </w:r>
      <w:r w:rsidR="00BB4E2F">
        <w:rPr>
          <w:rFonts w:ascii="Times New Roman" w:eastAsia="Calibri" w:hAnsi="Times New Roman" w:cs="Times New Roman"/>
          <w:sz w:val="24"/>
          <w:szCs w:val="24"/>
        </w:rPr>
        <w:t xml:space="preserve">representative of actual </w:t>
      </w:r>
      <w:r w:rsidR="00E95BF0" w:rsidRPr="00BA787C">
        <w:rPr>
          <w:rFonts w:ascii="Times New Roman" w:eastAsia="Calibri" w:hAnsi="Times New Roman" w:cs="Times New Roman"/>
          <w:sz w:val="24"/>
          <w:szCs w:val="24"/>
        </w:rPr>
        <w:t>residents that will lose their job because of this policy</w:t>
      </w:r>
      <w:r w:rsidR="00DA0A2D">
        <w:rPr>
          <w:rFonts w:ascii="Times New Roman" w:eastAsia="Calibri" w:hAnsi="Times New Roman" w:cs="Times New Roman"/>
          <w:sz w:val="24"/>
          <w:szCs w:val="24"/>
        </w:rPr>
        <w:t>, we can provide a relatively</w:t>
      </w:r>
      <w:r w:rsidR="00BB4E2F">
        <w:rPr>
          <w:rFonts w:ascii="Times New Roman" w:eastAsia="Calibri" w:hAnsi="Times New Roman" w:cs="Times New Roman"/>
          <w:sz w:val="24"/>
          <w:szCs w:val="24"/>
        </w:rPr>
        <w:t xml:space="preserve"> </w:t>
      </w:r>
      <w:r w:rsidR="000C0173">
        <w:rPr>
          <w:rFonts w:ascii="Times New Roman" w:eastAsia="Calibri" w:hAnsi="Times New Roman" w:cs="Times New Roman"/>
          <w:sz w:val="24"/>
          <w:szCs w:val="24"/>
        </w:rPr>
        <w:t xml:space="preserve">detailed </w:t>
      </w:r>
      <w:r w:rsidR="00BB4E2F">
        <w:rPr>
          <w:rFonts w:ascii="Times New Roman" w:eastAsia="Calibri" w:hAnsi="Times New Roman" w:cs="Times New Roman"/>
          <w:sz w:val="24"/>
          <w:szCs w:val="24"/>
        </w:rPr>
        <w:t xml:space="preserve">description of the economic characteristics of such tax filers. </w:t>
      </w:r>
      <w:r w:rsidR="00DA0A2D">
        <w:rPr>
          <w:rFonts w:ascii="Times New Roman" w:eastAsia="Calibri" w:hAnsi="Times New Roman" w:cs="Times New Roman"/>
          <w:sz w:val="24"/>
          <w:szCs w:val="24"/>
        </w:rPr>
        <w:t xml:space="preserve">With these </w:t>
      </w:r>
      <w:r w:rsidR="000C0173">
        <w:rPr>
          <w:rFonts w:ascii="Times New Roman" w:eastAsia="Calibri" w:hAnsi="Times New Roman" w:cs="Times New Roman"/>
          <w:sz w:val="24"/>
          <w:szCs w:val="24"/>
        </w:rPr>
        <w:t>unemployed city workers from the CGE model</w:t>
      </w:r>
      <w:r w:rsidR="009652CB">
        <w:rPr>
          <w:rFonts w:ascii="Times New Roman" w:eastAsia="Calibri" w:hAnsi="Times New Roman" w:cs="Times New Roman"/>
          <w:sz w:val="24"/>
          <w:szCs w:val="24"/>
        </w:rPr>
        <w:t xml:space="preserve"> as inputs into the IEM</w:t>
      </w:r>
      <w:r w:rsidR="000C0173">
        <w:rPr>
          <w:rFonts w:ascii="Times New Roman" w:eastAsia="Calibri" w:hAnsi="Times New Roman" w:cs="Times New Roman"/>
          <w:sz w:val="24"/>
          <w:szCs w:val="24"/>
        </w:rPr>
        <w:t xml:space="preserve">, </w:t>
      </w:r>
      <w:r w:rsidR="00E95BF0" w:rsidRPr="00BA787C">
        <w:rPr>
          <w:rFonts w:ascii="Times New Roman" w:eastAsia="Calibri" w:hAnsi="Times New Roman" w:cs="Times New Roman"/>
          <w:sz w:val="24"/>
          <w:szCs w:val="24"/>
        </w:rPr>
        <w:t xml:space="preserve">the IEM produces a total net change in </w:t>
      </w:r>
      <w:r w:rsidR="009652CB">
        <w:rPr>
          <w:rFonts w:ascii="Times New Roman" w:eastAsia="Calibri" w:hAnsi="Times New Roman" w:cs="Times New Roman"/>
          <w:sz w:val="24"/>
          <w:szCs w:val="24"/>
        </w:rPr>
        <w:t>estimated</w:t>
      </w:r>
      <w:r w:rsidR="000C0173">
        <w:rPr>
          <w:rFonts w:ascii="Times New Roman" w:eastAsia="Calibri" w:hAnsi="Times New Roman" w:cs="Times New Roman"/>
          <w:sz w:val="24"/>
          <w:szCs w:val="24"/>
        </w:rPr>
        <w:t xml:space="preserve"> federal adjusted gross income (primarily </w:t>
      </w:r>
      <w:r w:rsidR="00E95BF0" w:rsidRPr="00BA787C">
        <w:rPr>
          <w:rFonts w:ascii="Times New Roman" w:eastAsia="Calibri" w:hAnsi="Times New Roman" w:cs="Times New Roman"/>
          <w:sz w:val="24"/>
          <w:szCs w:val="24"/>
        </w:rPr>
        <w:t>wages and salaries</w:t>
      </w:r>
      <w:r w:rsidR="000C0173">
        <w:rPr>
          <w:rFonts w:ascii="Times New Roman" w:eastAsia="Calibri" w:hAnsi="Times New Roman" w:cs="Times New Roman"/>
          <w:sz w:val="24"/>
          <w:szCs w:val="24"/>
        </w:rPr>
        <w:t>)</w:t>
      </w:r>
      <w:r w:rsidR="00E95BF0" w:rsidRPr="00BA787C">
        <w:rPr>
          <w:rFonts w:ascii="Times New Roman" w:eastAsia="Calibri" w:hAnsi="Times New Roman" w:cs="Times New Roman"/>
          <w:sz w:val="24"/>
          <w:szCs w:val="24"/>
        </w:rPr>
        <w:t xml:space="preserve"> for city residents </w:t>
      </w:r>
      <w:r w:rsidR="00E95BF0">
        <w:rPr>
          <w:rFonts w:ascii="Times New Roman" w:eastAsia="Calibri" w:hAnsi="Times New Roman" w:cs="Times New Roman"/>
          <w:sz w:val="24"/>
          <w:szCs w:val="24"/>
        </w:rPr>
        <w:t>in 2021 that</w:t>
      </w:r>
      <w:r w:rsidR="00E95BF0" w:rsidRPr="00BA787C">
        <w:rPr>
          <w:rFonts w:ascii="Times New Roman" w:eastAsia="Calibri" w:hAnsi="Times New Roman" w:cs="Times New Roman"/>
          <w:sz w:val="24"/>
          <w:szCs w:val="24"/>
        </w:rPr>
        <w:t xml:space="preserve"> is </w:t>
      </w:r>
      <w:r w:rsidR="00E95BF0">
        <w:rPr>
          <w:rFonts w:ascii="Times New Roman" w:eastAsia="Calibri" w:hAnsi="Times New Roman" w:cs="Times New Roman"/>
          <w:sz w:val="24"/>
          <w:szCs w:val="24"/>
        </w:rPr>
        <w:t xml:space="preserve">only </w:t>
      </w:r>
      <w:r w:rsidR="000C0173">
        <w:rPr>
          <w:rFonts w:ascii="Times New Roman" w:eastAsia="Calibri" w:hAnsi="Times New Roman" w:cs="Times New Roman"/>
          <w:sz w:val="24"/>
          <w:szCs w:val="24"/>
        </w:rPr>
        <w:t>$6.6 million (</w:t>
      </w:r>
      <w:r w:rsidR="00E95BF0" w:rsidRPr="00BA787C">
        <w:rPr>
          <w:rFonts w:ascii="Times New Roman" w:eastAsia="Calibri" w:hAnsi="Times New Roman" w:cs="Times New Roman"/>
          <w:sz w:val="24"/>
          <w:szCs w:val="24"/>
        </w:rPr>
        <w:t>3.6 percent</w:t>
      </w:r>
      <w:r w:rsidR="000C0173">
        <w:rPr>
          <w:rFonts w:ascii="Times New Roman" w:eastAsia="Calibri" w:hAnsi="Times New Roman" w:cs="Times New Roman"/>
          <w:sz w:val="24"/>
          <w:szCs w:val="24"/>
        </w:rPr>
        <w:t>)</w:t>
      </w:r>
      <w:r w:rsidR="00E95BF0" w:rsidRPr="00BA787C">
        <w:rPr>
          <w:rFonts w:ascii="Times New Roman" w:eastAsia="Calibri" w:hAnsi="Times New Roman" w:cs="Times New Roman"/>
          <w:sz w:val="24"/>
          <w:szCs w:val="24"/>
        </w:rPr>
        <w:t xml:space="preserve"> higher than the </w:t>
      </w:r>
      <w:r w:rsidR="00E95BF0">
        <w:rPr>
          <w:rFonts w:ascii="Times New Roman" w:eastAsia="Calibri" w:hAnsi="Times New Roman" w:cs="Times New Roman"/>
          <w:sz w:val="24"/>
          <w:szCs w:val="24"/>
        </w:rPr>
        <w:t>CGE</w:t>
      </w:r>
      <w:r w:rsidR="00E95BF0" w:rsidRPr="00BA787C">
        <w:rPr>
          <w:rFonts w:ascii="Times New Roman" w:eastAsia="Calibri" w:hAnsi="Times New Roman" w:cs="Times New Roman"/>
          <w:sz w:val="24"/>
          <w:szCs w:val="24"/>
        </w:rPr>
        <w:t xml:space="preserve"> estimate</w:t>
      </w:r>
      <w:r w:rsidR="000B58AF" w:rsidRPr="00921D4A">
        <w:rPr>
          <w:rFonts w:ascii="Times New Roman" w:hAnsi="Times New Roman" w:cs="Times New Roman"/>
          <w:sz w:val="24"/>
          <w:szCs w:val="24"/>
        </w:rPr>
        <w:t>.</w:t>
      </w:r>
      <w:r w:rsidR="007800C3">
        <w:rPr>
          <w:rStyle w:val="FootnoteReference"/>
          <w:rFonts w:ascii="Times New Roman" w:hAnsi="Times New Roman" w:cs="Times New Roman"/>
          <w:sz w:val="24"/>
          <w:szCs w:val="24"/>
        </w:rPr>
        <w:footnoteReference w:id="18"/>
      </w:r>
    </w:p>
    <w:p w14:paraId="0012D3A8" w14:textId="4A58EB96" w:rsidR="000B58AF" w:rsidRPr="00921D4A" w:rsidRDefault="00DA0A2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w:t>
      </w:r>
      <w:r w:rsidR="00E636B3">
        <w:rPr>
          <w:rFonts w:ascii="Times New Roman" w:hAnsi="Times New Roman" w:cs="Times New Roman"/>
          <w:sz w:val="24"/>
          <w:szCs w:val="24"/>
        </w:rPr>
        <w:t xml:space="preserve">he IEM reveals that </w:t>
      </w:r>
      <w:r w:rsidR="009652CB">
        <w:rPr>
          <w:rFonts w:ascii="Times New Roman" w:hAnsi="Times New Roman" w:cs="Times New Roman"/>
          <w:sz w:val="24"/>
          <w:szCs w:val="24"/>
        </w:rPr>
        <w:t>63</w:t>
      </w:r>
      <w:r w:rsidR="000B58AF" w:rsidRPr="00921D4A">
        <w:rPr>
          <w:rFonts w:ascii="Times New Roman" w:hAnsi="Times New Roman" w:cs="Times New Roman"/>
          <w:sz w:val="24"/>
          <w:szCs w:val="24"/>
        </w:rPr>
        <w:t xml:space="preserve"> percent of the city’s entire EITC population </w:t>
      </w:r>
      <w:r w:rsidR="009652CB">
        <w:rPr>
          <w:rFonts w:ascii="Times New Roman" w:hAnsi="Times New Roman" w:cs="Times New Roman"/>
          <w:sz w:val="24"/>
          <w:szCs w:val="24"/>
        </w:rPr>
        <w:t>will</w:t>
      </w:r>
      <w:r w:rsidR="000B58AF" w:rsidRPr="00921D4A">
        <w:rPr>
          <w:rFonts w:ascii="Times New Roman" w:hAnsi="Times New Roman" w:cs="Times New Roman"/>
          <w:sz w:val="24"/>
          <w:szCs w:val="24"/>
        </w:rPr>
        <w:t xml:space="preserve"> experience wage increases as a result of the $15 MWP.</w:t>
      </w:r>
      <w:r w:rsidR="00006D6E">
        <w:rPr>
          <w:rStyle w:val="FootnoteReference"/>
          <w:rFonts w:ascii="Times New Roman" w:hAnsi="Times New Roman" w:cs="Times New Roman"/>
          <w:sz w:val="24"/>
          <w:szCs w:val="24"/>
        </w:rPr>
        <w:footnoteReference w:id="19"/>
      </w:r>
      <w:r w:rsidR="00006D6E">
        <w:rPr>
          <w:rFonts w:ascii="Times New Roman" w:hAnsi="Times New Roman" w:cs="Times New Roman"/>
          <w:sz w:val="24"/>
          <w:szCs w:val="24"/>
        </w:rPr>
        <w:t xml:space="preserve"> </w:t>
      </w:r>
      <w:r w:rsidR="00B673F1">
        <w:rPr>
          <w:rFonts w:ascii="Times New Roman" w:hAnsi="Times New Roman" w:cs="Times New Roman"/>
          <w:sz w:val="24"/>
          <w:szCs w:val="24"/>
        </w:rPr>
        <w:t xml:space="preserve"> </w:t>
      </w:r>
      <w:r>
        <w:rPr>
          <w:rFonts w:ascii="Times New Roman" w:hAnsi="Times New Roman" w:cs="Times New Roman"/>
          <w:sz w:val="24"/>
          <w:szCs w:val="24"/>
        </w:rPr>
        <w:t>In the aggregate and as</w:t>
      </w:r>
      <w:r w:rsidR="000B58AF" w:rsidRPr="00921D4A">
        <w:rPr>
          <w:rFonts w:ascii="Times New Roman" w:hAnsi="Times New Roman" w:cs="Times New Roman"/>
          <w:sz w:val="24"/>
          <w:szCs w:val="24"/>
        </w:rPr>
        <w:t xml:space="preserve"> shown in Table </w:t>
      </w:r>
      <w:r w:rsidR="00877C07">
        <w:rPr>
          <w:rFonts w:ascii="Times New Roman" w:hAnsi="Times New Roman" w:cs="Times New Roman"/>
          <w:sz w:val="24"/>
          <w:szCs w:val="24"/>
        </w:rPr>
        <w:t>6</w:t>
      </w:r>
      <w:r w:rsidR="000B58AF" w:rsidRPr="00921D4A">
        <w:rPr>
          <w:rFonts w:ascii="Times New Roman" w:hAnsi="Times New Roman" w:cs="Times New Roman"/>
          <w:sz w:val="24"/>
          <w:szCs w:val="24"/>
        </w:rPr>
        <w:t xml:space="preserve">, resident EITC recipients subject to the $15 MWP </w:t>
      </w:r>
      <w:r>
        <w:rPr>
          <w:rFonts w:ascii="Times New Roman" w:hAnsi="Times New Roman" w:cs="Times New Roman"/>
          <w:sz w:val="24"/>
          <w:szCs w:val="24"/>
        </w:rPr>
        <w:t xml:space="preserve">remaining </w:t>
      </w:r>
      <w:r w:rsidR="000B58AF" w:rsidRPr="00921D4A">
        <w:rPr>
          <w:rFonts w:ascii="Times New Roman" w:hAnsi="Times New Roman" w:cs="Times New Roman"/>
          <w:sz w:val="24"/>
          <w:szCs w:val="24"/>
        </w:rPr>
        <w:t>employ</w:t>
      </w:r>
      <w:r>
        <w:rPr>
          <w:rFonts w:ascii="Times New Roman" w:hAnsi="Times New Roman" w:cs="Times New Roman"/>
          <w:sz w:val="24"/>
          <w:szCs w:val="24"/>
        </w:rPr>
        <w:t xml:space="preserve">ed </w:t>
      </w:r>
      <w:r w:rsidR="000B58AF" w:rsidRPr="00921D4A">
        <w:rPr>
          <w:rFonts w:ascii="Times New Roman" w:hAnsi="Times New Roman" w:cs="Times New Roman"/>
          <w:sz w:val="24"/>
          <w:szCs w:val="24"/>
        </w:rPr>
        <w:t xml:space="preserve">in the </w:t>
      </w:r>
      <w:r>
        <w:rPr>
          <w:rFonts w:ascii="Times New Roman" w:hAnsi="Times New Roman" w:cs="Times New Roman"/>
          <w:sz w:val="24"/>
          <w:szCs w:val="24"/>
        </w:rPr>
        <w:t xml:space="preserve">District </w:t>
      </w:r>
      <w:r w:rsidR="000B58AF" w:rsidRPr="00921D4A">
        <w:rPr>
          <w:rFonts w:ascii="Times New Roman" w:hAnsi="Times New Roman" w:cs="Times New Roman"/>
          <w:sz w:val="24"/>
          <w:szCs w:val="24"/>
        </w:rPr>
        <w:t>will lose $10.4 million in federal EITC and $6.0 million in DC EITC but would gain $54.6 million in higher wages.</w:t>
      </w:r>
      <w:r w:rsidR="007800C3">
        <w:rPr>
          <w:rStyle w:val="FootnoteReference"/>
          <w:rFonts w:ascii="Times New Roman" w:hAnsi="Times New Roman" w:cs="Times New Roman"/>
          <w:sz w:val="24"/>
          <w:szCs w:val="24"/>
        </w:rPr>
        <w:footnoteReference w:id="20"/>
      </w:r>
      <w:r w:rsidR="009652CB">
        <w:rPr>
          <w:rFonts w:ascii="Times New Roman" w:hAnsi="Times New Roman" w:cs="Times New Roman"/>
          <w:sz w:val="24"/>
          <w:szCs w:val="24"/>
        </w:rPr>
        <w:t xml:space="preserve"> The </w:t>
      </w:r>
      <w:r w:rsidR="000B58AF" w:rsidRPr="00921D4A">
        <w:rPr>
          <w:rFonts w:ascii="Times New Roman" w:hAnsi="Times New Roman" w:cs="Times New Roman"/>
          <w:sz w:val="24"/>
          <w:szCs w:val="24"/>
        </w:rPr>
        <w:t xml:space="preserve">EITC reduction </w:t>
      </w:r>
      <w:r>
        <w:rPr>
          <w:rFonts w:ascii="Times New Roman" w:hAnsi="Times New Roman" w:cs="Times New Roman"/>
          <w:sz w:val="24"/>
          <w:szCs w:val="24"/>
        </w:rPr>
        <w:t xml:space="preserve">derives </w:t>
      </w:r>
      <w:r w:rsidR="00957CB9">
        <w:rPr>
          <w:rFonts w:ascii="Times New Roman" w:hAnsi="Times New Roman" w:cs="Times New Roman"/>
          <w:sz w:val="24"/>
          <w:szCs w:val="24"/>
        </w:rPr>
        <w:t>from higher annual wages</w:t>
      </w:r>
      <w:r>
        <w:rPr>
          <w:rFonts w:ascii="Times New Roman" w:hAnsi="Times New Roman" w:cs="Times New Roman"/>
          <w:sz w:val="24"/>
          <w:szCs w:val="24"/>
        </w:rPr>
        <w:t>,</w:t>
      </w:r>
      <w:r w:rsidR="00957CB9">
        <w:rPr>
          <w:rFonts w:ascii="Times New Roman" w:hAnsi="Times New Roman" w:cs="Times New Roman"/>
          <w:sz w:val="24"/>
          <w:szCs w:val="24"/>
        </w:rPr>
        <w:t xml:space="preserve"> increas</w:t>
      </w:r>
      <w:r>
        <w:rPr>
          <w:rFonts w:ascii="Times New Roman" w:hAnsi="Times New Roman" w:cs="Times New Roman"/>
          <w:sz w:val="24"/>
          <w:szCs w:val="24"/>
        </w:rPr>
        <w:t>ing</w:t>
      </w:r>
      <w:r w:rsidR="00957CB9">
        <w:rPr>
          <w:rFonts w:ascii="Times New Roman" w:hAnsi="Times New Roman" w:cs="Times New Roman"/>
          <w:sz w:val="24"/>
          <w:szCs w:val="24"/>
        </w:rPr>
        <w:t xml:space="preserve"> </w:t>
      </w:r>
      <w:r w:rsidR="000B58AF" w:rsidRPr="00921D4A">
        <w:rPr>
          <w:rFonts w:ascii="Times New Roman" w:hAnsi="Times New Roman" w:cs="Times New Roman"/>
          <w:sz w:val="24"/>
          <w:szCs w:val="24"/>
        </w:rPr>
        <w:t xml:space="preserve">the </w:t>
      </w:r>
      <w:r w:rsidR="00B673F1">
        <w:rPr>
          <w:rFonts w:ascii="Times New Roman" w:hAnsi="Times New Roman" w:cs="Times New Roman"/>
          <w:sz w:val="24"/>
          <w:szCs w:val="24"/>
        </w:rPr>
        <w:t xml:space="preserve">share of </w:t>
      </w:r>
      <w:r w:rsidR="000B58AF" w:rsidRPr="00921D4A">
        <w:rPr>
          <w:rFonts w:ascii="Times New Roman" w:hAnsi="Times New Roman" w:cs="Times New Roman"/>
          <w:sz w:val="24"/>
          <w:szCs w:val="24"/>
        </w:rPr>
        <w:t xml:space="preserve">recipients in the “phase-out” portion of the EITC program from 55 percent </w:t>
      </w:r>
      <w:r>
        <w:rPr>
          <w:rFonts w:ascii="Times New Roman" w:hAnsi="Times New Roman" w:cs="Times New Roman"/>
          <w:sz w:val="24"/>
          <w:szCs w:val="24"/>
        </w:rPr>
        <w:t>before</w:t>
      </w:r>
      <w:r w:rsidRPr="00921D4A">
        <w:rPr>
          <w:rFonts w:ascii="Times New Roman" w:hAnsi="Times New Roman" w:cs="Times New Roman"/>
          <w:sz w:val="24"/>
          <w:szCs w:val="24"/>
        </w:rPr>
        <w:t xml:space="preserve"> </w:t>
      </w:r>
      <w:r w:rsidR="000B58AF" w:rsidRPr="00921D4A">
        <w:rPr>
          <w:rFonts w:ascii="Times New Roman" w:hAnsi="Times New Roman" w:cs="Times New Roman"/>
          <w:sz w:val="24"/>
          <w:szCs w:val="24"/>
        </w:rPr>
        <w:t xml:space="preserve">the policy to 68 percent </w:t>
      </w:r>
      <w:r>
        <w:rPr>
          <w:rFonts w:ascii="Times New Roman" w:hAnsi="Times New Roman" w:cs="Times New Roman"/>
          <w:sz w:val="24"/>
          <w:szCs w:val="24"/>
        </w:rPr>
        <w:t>after</w:t>
      </w:r>
      <w:r w:rsidRPr="00921D4A">
        <w:rPr>
          <w:rFonts w:ascii="Times New Roman" w:hAnsi="Times New Roman" w:cs="Times New Roman"/>
          <w:sz w:val="24"/>
          <w:szCs w:val="24"/>
        </w:rPr>
        <w:t xml:space="preserve"> </w:t>
      </w:r>
      <w:r w:rsidR="000B58AF" w:rsidRPr="00921D4A">
        <w:rPr>
          <w:rFonts w:ascii="Times New Roman" w:hAnsi="Times New Roman" w:cs="Times New Roman"/>
          <w:sz w:val="24"/>
          <w:szCs w:val="24"/>
        </w:rPr>
        <w:t xml:space="preserve">the policy </w:t>
      </w:r>
      <w:r>
        <w:rPr>
          <w:rFonts w:ascii="Times New Roman" w:hAnsi="Times New Roman" w:cs="Times New Roman"/>
          <w:sz w:val="24"/>
          <w:szCs w:val="24"/>
        </w:rPr>
        <w:t xml:space="preserve">in </w:t>
      </w:r>
      <w:r w:rsidR="000B58AF" w:rsidRPr="00921D4A">
        <w:rPr>
          <w:rFonts w:ascii="Times New Roman" w:hAnsi="Times New Roman" w:cs="Times New Roman"/>
          <w:sz w:val="24"/>
          <w:szCs w:val="24"/>
        </w:rPr>
        <w:t>2021.</w:t>
      </w:r>
      <w:r w:rsidR="007800C3">
        <w:rPr>
          <w:rStyle w:val="FootnoteReference"/>
          <w:rFonts w:ascii="Times New Roman" w:hAnsi="Times New Roman" w:cs="Times New Roman"/>
          <w:sz w:val="24"/>
          <w:szCs w:val="24"/>
        </w:rPr>
        <w:footnoteReference w:id="21"/>
      </w:r>
      <w:r w:rsidR="00DC30C0">
        <w:rPr>
          <w:rFonts w:ascii="Times New Roman" w:hAnsi="Times New Roman" w:cs="Times New Roman"/>
          <w:sz w:val="24"/>
          <w:szCs w:val="24"/>
        </w:rPr>
        <w:t xml:space="preserve"> </w:t>
      </w:r>
      <w:r w:rsidR="00C10504">
        <w:rPr>
          <w:rFonts w:ascii="Times New Roman" w:hAnsi="Times New Roman" w:cs="Times New Roman"/>
          <w:sz w:val="24"/>
          <w:szCs w:val="24"/>
        </w:rPr>
        <w:t xml:space="preserve">In total, working </w:t>
      </w:r>
      <w:r w:rsidR="000B58AF" w:rsidRPr="00921D4A">
        <w:rPr>
          <w:rFonts w:ascii="Times New Roman" w:hAnsi="Times New Roman" w:cs="Times New Roman"/>
          <w:sz w:val="24"/>
          <w:szCs w:val="24"/>
        </w:rPr>
        <w:t xml:space="preserve">residents </w:t>
      </w:r>
      <w:r w:rsidR="00C10504">
        <w:rPr>
          <w:rFonts w:ascii="Times New Roman" w:hAnsi="Times New Roman" w:cs="Times New Roman"/>
          <w:sz w:val="24"/>
          <w:szCs w:val="24"/>
        </w:rPr>
        <w:t xml:space="preserve">affected directly by the $15 MWP </w:t>
      </w:r>
      <w:r w:rsidR="000B58AF" w:rsidRPr="00921D4A">
        <w:rPr>
          <w:rFonts w:ascii="Times New Roman" w:hAnsi="Times New Roman" w:cs="Times New Roman"/>
          <w:sz w:val="24"/>
          <w:szCs w:val="24"/>
        </w:rPr>
        <w:t xml:space="preserve">will experience </w:t>
      </w:r>
      <w:r w:rsidR="00DC30C0">
        <w:rPr>
          <w:rFonts w:ascii="Times New Roman" w:hAnsi="Times New Roman" w:cs="Times New Roman"/>
          <w:sz w:val="24"/>
          <w:szCs w:val="24"/>
        </w:rPr>
        <w:t xml:space="preserve">an </w:t>
      </w:r>
      <w:r w:rsidR="000B58AF" w:rsidRPr="00921D4A">
        <w:rPr>
          <w:rFonts w:ascii="Times New Roman" w:hAnsi="Times New Roman" w:cs="Times New Roman"/>
          <w:sz w:val="24"/>
          <w:szCs w:val="24"/>
        </w:rPr>
        <w:t>on average 16.5 percent increase in wage and salaries in 2021</w:t>
      </w:r>
      <w:r w:rsidR="00C10504">
        <w:rPr>
          <w:rStyle w:val="FootnoteReference"/>
          <w:rFonts w:ascii="Times New Roman" w:hAnsi="Times New Roman" w:cs="Times New Roman"/>
          <w:sz w:val="24"/>
          <w:szCs w:val="24"/>
        </w:rPr>
        <w:footnoteReference w:id="22"/>
      </w:r>
      <w:r w:rsidR="000B58AF" w:rsidRPr="00921D4A">
        <w:rPr>
          <w:rFonts w:ascii="Times New Roman" w:hAnsi="Times New Roman" w:cs="Times New Roman"/>
          <w:sz w:val="24"/>
          <w:szCs w:val="24"/>
        </w:rPr>
        <w:t xml:space="preserve"> (Table </w:t>
      </w:r>
      <w:r w:rsidR="00957CB9">
        <w:rPr>
          <w:rFonts w:ascii="Times New Roman" w:hAnsi="Times New Roman" w:cs="Times New Roman"/>
          <w:sz w:val="24"/>
          <w:szCs w:val="24"/>
        </w:rPr>
        <w:t>7</w:t>
      </w:r>
      <w:r w:rsidR="00C3473C" w:rsidRPr="000B58AF">
        <w:rPr>
          <w:rFonts w:ascii="Times New Roman" w:hAnsi="Times New Roman" w:cs="Times New Roman"/>
          <w:sz w:val="24"/>
          <w:szCs w:val="24"/>
        </w:rPr>
        <w:t>)</w:t>
      </w:r>
      <w:r w:rsidR="00C3473C">
        <w:rPr>
          <w:rFonts w:ascii="Times New Roman" w:hAnsi="Times New Roman" w:cs="Times New Roman"/>
          <w:sz w:val="24"/>
          <w:szCs w:val="24"/>
        </w:rPr>
        <w:t>.</w:t>
      </w:r>
      <w:r w:rsidR="00C3473C" w:rsidRPr="000B58AF">
        <w:rPr>
          <w:rFonts w:ascii="Times New Roman" w:hAnsi="Times New Roman" w:cs="Times New Roman"/>
          <w:sz w:val="24"/>
          <w:szCs w:val="24"/>
        </w:rPr>
        <w:t xml:space="preserve"> Collectively</w:t>
      </w:r>
      <w:r w:rsidR="000B58AF" w:rsidRPr="00921D4A">
        <w:rPr>
          <w:rFonts w:ascii="Times New Roman" w:hAnsi="Times New Roman" w:cs="Times New Roman"/>
          <w:sz w:val="24"/>
          <w:szCs w:val="24"/>
        </w:rPr>
        <w:t xml:space="preserve">, </w:t>
      </w:r>
      <w:r w:rsidR="00C10504">
        <w:rPr>
          <w:rFonts w:ascii="Times New Roman" w:hAnsi="Times New Roman" w:cs="Times New Roman"/>
          <w:sz w:val="24"/>
          <w:szCs w:val="24"/>
        </w:rPr>
        <w:t>it is estimate</w:t>
      </w:r>
      <w:r w:rsidR="00C3473C">
        <w:rPr>
          <w:rFonts w:ascii="Times New Roman" w:hAnsi="Times New Roman" w:cs="Times New Roman"/>
          <w:sz w:val="24"/>
          <w:szCs w:val="24"/>
        </w:rPr>
        <w:t>d</w:t>
      </w:r>
      <w:r w:rsidR="00C10504">
        <w:rPr>
          <w:rFonts w:ascii="Times New Roman" w:hAnsi="Times New Roman" w:cs="Times New Roman"/>
          <w:sz w:val="24"/>
          <w:szCs w:val="24"/>
        </w:rPr>
        <w:t xml:space="preserve"> that </w:t>
      </w:r>
      <w:r w:rsidR="000B58AF" w:rsidRPr="00921D4A">
        <w:rPr>
          <w:rFonts w:ascii="Times New Roman" w:hAnsi="Times New Roman" w:cs="Times New Roman"/>
          <w:sz w:val="24"/>
          <w:szCs w:val="24"/>
        </w:rPr>
        <w:t xml:space="preserve">they </w:t>
      </w:r>
      <w:r w:rsidR="00C10504">
        <w:rPr>
          <w:rFonts w:ascii="Times New Roman" w:hAnsi="Times New Roman" w:cs="Times New Roman"/>
          <w:sz w:val="24"/>
          <w:szCs w:val="24"/>
        </w:rPr>
        <w:t xml:space="preserve">will </w:t>
      </w:r>
      <w:r w:rsidR="000B58AF" w:rsidRPr="00921D4A">
        <w:rPr>
          <w:rFonts w:ascii="Times New Roman" w:hAnsi="Times New Roman" w:cs="Times New Roman"/>
          <w:sz w:val="24"/>
          <w:szCs w:val="24"/>
        </w:rPr>
        <w:t xml:space="preserve">gain $192.2 million in higher wage and salaries, but will consequently lose $10.4 million in federal EITC and $6.0 million in DC EITC.  In sum, it appears that the interaction between the $15 MWP and the EITC produces a net improvement in resources on the order of $180 million. </w:t>
      </w:r>
      <w:r w:rsidR="004F7EEE" w:rsidRPr="00921D4A">
        <w:rPr>
          <w:rFonts w:ascii="Times New Roman" w:hAnsi="Times New Roman" w:cs="Times New Roman"/>
          <w:sz w:val="24"/>
          <w:szCs w:val="24"/>
        </w:rPr>
        <w:t>On an individual level, the estimated average income increase of an EITC recipient is $3,097 under the $15 MWP</w:t>
      </w:r>
      <w:r w:rsidR="004F7EEE">
        <w:rPr>
          <w:rFonts w:ascii="Times New Roman" w:hAnsi="Times New Roman" w:cs="Times New Roman"/>
          <w:sz w:val="24"/>
          <w:szCs w:val="24"/>
        </w:rPr>
        <w:t>,</w:t>
      </w:r>
      <w:r w:rsidR="004F7EEE" w:rsidRPr="00921D4A">
        <w:rPr>
          <w:rFonts w:ascii="Times New Roman" w:hAnsi="Times New Roman" w:cs="Times New Roman"/>
          <w:sz w:val="24"/>
          <w:szCs w:val="24"/>
        </w:rPr>
        <w:t xml:space="preserve"> </w:t>
      </w:r>
      <w:r w:rsidR="004F7EEE">
        <w:rPr>
          <w:rFonts w:ascii="Times New Roman" w:hAnsi="Times New Roman" w:cs="Times New Roman"/>
          <w:sz w:val="24"/>
          <w:szCs w:val="24"/>
        </w:rPr>
        <w:t xml:space="preserve">leading to a predicted </w:t>
      </w:r>
      <w:r w:rsidR="004F7EEE" w:rsidRPr="00921D4A">
        <w:rPr>
          <w:rFonts w:ascii="Times New Roman" w:hAnsi="Times New Roman" w:cs="Times New Roman"/>
          <w:sz w:val="24"/>
          <w:szCs w:val="24"/>
        </w:rPr>
        <w:t>$331</w:t>
      </w:r>
      <w:r w:rsidR="004F7EEE">
        <w:rPr>
          <w:rFonts w:ascii="Times New Roman" w:hAnsi="Times New Roman" w:cs="Times New Roman"/>
          <w:sz w:val="24"/>
          <w:szCs w:val="24"/>
        </w:rPr>
        <w:t xml:space="preserve"> reduction</w:t>
      </w:r>
      <w:r w:rsidR="004F7EEE" w:rsidRPr="00921D4A">
        <w:rPr>
          <w:rFonts w:ascii="Times New Roman" w:hAnsi="Times New Roman" w:cs="Times New Roman"/>
          <w:sz w:val="24"/>
          <w:szCs w:val="24"/>
        </w:rPr>
        <w:t xml:space="preserve"> in </w:t>
      </w:r>
      <w:r w:rsidR="004F7EEE">
        <w:rPr>
          <w:rFonts w:ascii="Times New Roman" w:hAnsi="Times New Roman" w:cs="Times New Roman"/>
          <w:sz w:val="24"/>
          <w:szCs w:val="24"/>
        </w:rPr>
        <w:t xml:space="preserve">the size of the </w:t>
      </w:r>
      <w:r w:rsidR="004F7EEE" w:rsidRPr="00921D4A">
        <w:rPr>
          <w:rFonts w:ascii="Times New Roman" w:hAnsi="Times New Roman" w:cs="Times New Roman"/>
          <w:sz w:val="24"/>
          <w:szCs w:val="24"/>
        </w:rPr>
        <w:t xml:space="preserve">federal and local EITC </w:t>
      </w:r>
      <w:r w:rsidR="004F7EEE">
        <w:rPr>
          <w:rFonts w:ascii="Times New Roman" w:hAnsi="Times New Roman" w:cs="Times New Roman"/>
          <w:sz w:val="24"/>
          <w:szCs w:val="24"/>
        </w:rPr>
        <w:t>benefit</w:t>
      </w:r>
      <w:r w:rsidR="004F7EEE" w:rsidRPr="00921D4A">
        <w:rPr>
          <w:rFonts w:ascii="Times New Roman" w:hAnsi="Times New Roman" w:cs="Times New Roman"/>
          <w:sz w:val="24"/>
          <w:szCs w:val="24"/>
        </w:rPr>
        <w:t xml:space="preserve"> for a full-time worker employ</w:t>
      </w:r>
      <w:r w:rsidR="004F7EEE">
        <w:rPr>
          <w:rFonts w:ascii="Times New Roman" w:hAnsi="Times New Roman" w:cs="Times New Roman"/>
          <w:sz w:val="24"/>
          <w:szCs w:val="24"/>
        </w:rPr>
        <w:t>ed</w:t>
      </w:r>
      <w:r w:rsidR="004F7EEE" w:rsidRPr="00921D4A">
        <w:rPr>
          <w:rFonts w:ascii="Times New Roman" w:hAnsi="Times New Roman" w:cs="Times New Roman"/>
          <w:sz w:val="24"/>
          <w:szCs w:val="24"/>
        </w:rPr>
        <w:t xml:space="preserve"> in </w:t>
      </w:r>
      <w:r w:rsidR="004F7EEE">
        <w:rPr>
          <w:rFonts w:ascii="Times New Roman" w:hAnsi="Times New Roman" w:cs="Times New Roman"/>
          <w:sz w:val="24"/>
          <w:szCs w:val="24"/>
        </w:rPr>
        <w:t xml:space="preserve">the city </w:t>
      </w:r>
      <w:r w:rsidR="004F7EEE" w:rsidRPr="00921D4A">
        <w:rPr>
          <w:rFonts w:ascii="Times New Roman" w:hAnsi="Times New Roman" w:cs="Times New Roman"/>
          <w:sz w:val="24"/>
          <w:szCs w:val="24"/>
        </w:rPr>
        <w:t>through 2021</w:t>
      </w:r>
      <w:r w:rsidR="004F7EEE">
        <w:rPr>
          <w:rFonts w:ascii="Times New Roman" w:hAnsi="Times New Roman" w:cs="Times New Roman"/>
          <w:sz w:val="24"/>
          <w:szCs w:val="24"/>
        </w:rPr>
        <w:t xml:space="preserve"> (Table 8)</w:t>
      </w:r>
      <w:r w:rsidR="004F7EEE" w:rsidRPr="00921D4A">
        <w:rPr>
          <w:rFonts w:ascii="Times New Roman" w:hAnsi="Times New Roman" w:cs="Times New Roman"/>
          <w:sz w:val="24"/>
          <w:szCs w:val="24"/>
        </w:rPr>
        <w:t>.</w:t>
      </w:r>
    </w:p>
    <w:p w14:paraId="1EDE9F74" w14:textId="77777777" w:rsidR="006B2745" w:rsidRDefault="006B2745" w:rsidP="00FD1196">
      <w:pPr>
        <w:spacing w:line="480" w:lineRule="auto"/>
        <w:rPr>
          <w:rFonts w:ascii="Times New Roman" w:hAnsi="Times New Roman" w:cs="Times New Roman"/>
          <w:i/>
          <w:sz w:val="24"/>
          <w:szCs w:val="24"/>
        </w:rPr>
      </w:pPr>
    </w:p>
    <w:p w14:paraId="28A6EF8B" w14:textId="12B23EBC" w:rsidR="00FD1196" w:rsidRPr="00AA108E" w:rsidRDefault="00FD1196" w:rsidP="00FD1196">
      <w:pPr>
        <w:spacing w:line="480" w:lineRule="auto"/>
        <w:rPr>
          <w:rFonts w:ascii="Times New Roman" w:hAnsi="Times New Roman" w:cs="Times New Roman"/>
          <w:i/>
          <w:sz w:val="24"/>
          <w:szCs w:val="24"/>
        </w:rPr>
      </w:pPr>
      <w:r w:rsidRPr="00AA108E">
        <w:rPr>
          <w:rFonts w:ascii="Times New Roman" w:hAnsi="Times New Roman" w:cs="Times New Roman"/>
          <w:i/>
          <w:sz w:val="24"/>
          <w:szCs w:val="24"/>
        </w:rPr>
        <w:lastRenderedPageBreak/>
        <w:t>Other Safety Net Programs</w:t>
      </w:r>
    </w:p>
    <w:p w14:paraId="5DB6E801" w14:textId="537D1540" w:rsidR="008463CA" w:rsidRDefault="00C10504" w:rsidP="006B274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w:t>
      </w:r>
      <w:r w:rsidR="00E72532">
        <w:rPr>
          <w:rFonts w:ascii="Times New Roman" w:hAnsi="Times New Roman" w:cs="Times New Roman"/>
          <w:sz w:val="24"/>
          <w:szCs w:val="24"/>
        </w:rPr>
        <w:t>additional</w:t>
      </w:r>
      <w:r w:rsidR="000B58AF" w:rsidRPr="00921D4A">
        <w:rPr>
          <w:rFonts w:ascii="Times New Roman" w:hAnsi="Times New Roman" w:cs="Times New Roman"/>
          <w:sz w:val="24"/>
          <w:szCs w:val="24"/>
        </w:rPr>
        <w:t xml:space="preserve"> concern is </w:t>
      </w:r>
      <w:r w:rsidR="00031871" w:rsidRPr="00921D4A">
        <w:rPr>
          <w:rFonts w:ascii="Times New Roman" w:hAnsi="Times New Roman" w:cs="Times New Roman"/>
          <w:sz w:val="24"/>
          <w:szCs w:val="24"/>
        </w:rPr>
        <w:t>th</w:t>
      </w:r>
      <w:r w:rsidR="00031871">
        <w:rPr>
          <w:rFonts w:ascii="Times New Roman" w:hAnsi="Times New Roman" w:cs="Times New Roman"/>
          <w:sz w:val="24"/>
          <w:szCs w:val="24"/>
        </w:rPr>
        <w:t>at</w:t>
      </w:r>
      <w:r w:rsidR="00031871" w:rsidRPr="00921D4A">
        <w:rPr>
          <w:rFonts w:ascii="Times New Roman" w:hAnsi="Times New Roman" w:cs="Times New Roman"/>
          <w:sz w:val="24"/>
          <w:szCs w:val="24"/>
        </w:rPr>
        <w:t xml:space="preserve"> </w:t>
      </w:r>
      <w:r w:rsidR="000B58AF" w:rsidRPr="00921D4A">
        <w:rPr>
          <w:rFonts w:ascii="Times New Roman" w:hAnsi="Times New Roman" w:cs="Times New Roman"/>
          <w:sz w:val="24"/>
          <w:szCs w:val="24"/>
        </w:rPr>
        <w:t>increase</w:t>
      </w:r>
      <w:r w:rsidR="004F7EEE">
        <w:rPr>
          <w:rFonts w:ascii="Times New Roman" w:hAnsi="Times New Roman" w:cs="Times New Roman"/>
          <w:sz w:val="24"/>
          <w:szCs w:val="24"/>
        </w:rPr>
        <w:t>d</w:t>
      </w:r>
      <w:r w:rsidR="000B58AF" w:rsidRPr="00921D4A">
        <w:rPr>
          <w:rFonts w:ascii="Times New Roman" w:hAnsi="Times New Roman" w:cs="Times New Roman"/>
          <w:sz w:val="24"/>
          <w:szCs w:val="24"/>
        </w:rPr>
        <w:t xml:space="preserve"> income </w:t>
      </w:r>
      <w:r w:rsidR="00FD1196">
        <w:rPr>
          <w:rFonts w:ascii="Times New Roman" w:hAnsi="Times New Roman" w:cs="Times New Roman"/>
          <w:sz w:val="24"/>
          <w:szCs w:val="24"/>
        </w:rPr>
        <w:t xml:space="preserve">for low-wage residents </w:t>
      </w:r>
      <w:r w:rsidR="004F7EEE">
        <w:rPr>
          <w:rFonts w:ascii="Times New Roman" w:hAnsi="Times New Roman" w:cs="Times New Roman"/>
          <w:sz w:val="24"/>
          <w:szCs w:val="24"/>
        </w:rPr>
        <w:t xml:space="preserve">from the $15 MWP </w:t>
      </w:r>
      <w:r w:rsidR="00031871">
        <w:rPr>
          <w:rFonts w:ascii="Times New Roman" w:hAnsi="Times New Roman" w:cs="Times New Roman"/>
          <w:sz w:val="24"/>
          <w:szCs w:val="24"/>
        </w:rPr>
        <w:t>may</w:t>
      </w:r>
      <w:r w:rsidR="00031871" w:rsidRPr="00921D4A">
        <w:rPr>
          <w:rFonts w:ascii="Times New Roman" w:hAnsi="Times New Roman" w:cs="Times New Roman"/>
          <w:sz w:val="24"/>
          <w:szCs w:val="24"/>
        </w:rPr>
        <w:t xml:space="preserve"> </w:t>
      </w:r>
      <w:r w:rsidR="000B58AF" w:rsidRPr="00921D4A">
        <w:rPr>
          <w:rFonts w:ascii="Times New Roman" w:hAnsi="Times New Roman" w:cs="Times New Roman"/>
          <w:sz w:val="24"/>
          <w:szCs w:val="24"/>
        </w:rPr>
        <w:t xml:space="preserve">be so </w:t>
      </w:r>
      <w:r w:rsidR="004F7EEE">
        <w:rPr>
          <w:rFonts w:ascii="Times New Roman" w:hAnsi="Times New Roman" w:cs="Times New Roman"/>
          <w:sz w:val="24"/>
          <w:szCs w:val="24"/>
        </w:rPr>
        <w:t>large</w:t>
      </w:r>
      <w:r w:rsidR="004F7EEE" w:rsidRPr="00921D4A">
        <w:rPr>
          <w:rFonts w:ascii="Times New Roman" w:hAnsi="Times New Roman" w:cs="Times New Roman"/>
          <w:sz w:val="24"/>
          <w:szCs w:val="24"/>
        </w:rPr>
        <w:t xml:space="preserve"> </w:t>
      </w:r>
      <w:r w:rsidR="004F7EEE">
        <w:rPr>
          <w:rFonts w:ascii="Times New Roman" w:hAnsi="Times New Roman" w:cs="Times New Roman"/>
          <w:sz w:val="24"/>
          <w:szCs w:val="24"/>
        </w:rPr>
        <w:t>as to disqualify them from other important</w:t>
      </w:r>
      <w:r w:rsidR="000B58AF" w:rsidRPr="00921D4A">
        <w:rPr>
          <w:rFonts w:ascii="Times New Roman" w:hAnsi="Times New Roman" w:cs="Times New Roman"/>
          <w:sz w:val="24"/>
          <w:szCs w:val="24"/>
        </w:rPr>
        <w:t xml:space="preserve"> </w:t>
      </w:r>
      <w:r w:rsidR="004F7EEE">
        <w:rPr>
          <w:rFonts w:ascii="Times New Roman" w:hAnsi="Times New Roman" w:cs="Times New Roman"/>
          <w:sz w:val="24"/>
          <w:szCs w:val="24"/>
        </w:rPr>
        <w:t xml:space="preserve">social welfare </w:t>
      </w:r>
      <w:r w:rsidR="000B58AF" w:rsidRPr="00921D4A">
        <w:rPr>
          <w:rFonts w:ascii="Times New Roman" w:hAnsi="Times New Roman" w:cs="Times New Roman"/>
          <w:sz w:val="24"/>
          <w:szCs w:val="24"/>
        </w:rPr>
        <w:t>benefits</w:t>
      </w:r>
      <w:r w:rsidR="004F7EEE">
        <w:rPr>
          <w:rFonts w:ascii="Times New Roman" w:hAnsi="Times New Roman" w:cs="Times New Roman"/>
          <w:sz w:val="24"/>
          <w:szCs w:val="24"/>
        </w:rPr>
        <w:t>, many of which are out of reach for economically disadvantaged families (e.g. housing, health insurance)</w:t>
      </w:r>
      <w:r w:rsidR="000B58AF" w:rsidRPr="00921D4A">
        <w:rPr>
          <w:rFonts w:ascii="Times New Roman" w:hAnsi="Times New Roman" w:cs="Times New Roman"/>
          <w:sz w:val="24"/>
          <w:szCs w:val="24"/>
        </w:rPr>
        <w:t xml:space="preserve">. </w:t>
      </w:r>
      <w:r w:rsidR="008463CA">
        <w:rPr>
          <w:rFonts w:ascii="Times New Roman" w:hAnsi="Times New Roman" w:cs="Times New Roman"/>
          <w:sz w:val="24"/>
          <w:szCs w:val="24"/>
        </w:rPr>
        <w:t xml:space="preserve">This is </w:t>
      </w:r>
      <w:r w:rsidR="006B2745">
        <w:rPr>
          <w:rFonts w:ascii="Times New Roman" w:hAnsi="Times New Roman" w:cs="Times New Roman"/>
          <w:sz w:val="24"/>
          <w:szCs w:val="24"/>
        </w:rPr>
        <w:t xml:space="preserve">a </w:t>
      </w:r>
      <w:r w:rsidR="008463CA">
        <w:rPr>
          <w:rFonts w:ascii="Times New Roman" w:hAnsi="Times New Roman" w:cs="Times New Roman"/>
          <w:sz w:val="24"/>
          <w:szCs w:val="24"/>
        </w:rPr>
        <w:t>specific application to a more general question concerning whether and how social safety net programs interact (</w:t>
      </w:r>
      <w:proofErr w:type="spellStart"/>
      <w:r w:rsidR="008463CA">
        <w:rPr>
          <w:rFonts w:ascii="Times New Roman" w:hAnsi="Times New Roman" w:cs="Times New Roman"/>
          <w:sz w:val="24"/>
          <w:szCs w:val="24"/>
        </w:rPr>
        <w:t>Grogger</w:t>
      </w:r>
      <w:proofErr w:type="spellEnd"/>
      <w:r w:rsidR="008463CA">
        <w:rPr>
          <w:rFonts w:ascii="Times New Roman" w:hAnsi="Times New Roman" w:cs="Times New Roman"/>
          <w:sz w:val="24"/>
          <w:szCs w:val="24"/>
        </w:rPr>
        <w:t xml:space="preserve"> 2003; Moffitt 2015). </w:t>
      </w:r>
      <w:r w:rsidR="004B2A3E">
        <w:rPr>
          <w:rFonts w:ascii="Times New Roman" w:hAnsi="Times New Roman" w:cs="Times New Roman"/>
          <w:sz w:val="24"/>
          <w:szCs w:val="24"/>
        </w:rPr>
        <w:t xml:space="preserve">For example, low income families in the city </w:t>
      </w:r>
      <w:r w:rsidR="004F7EEE">
        <w:rPr>
          <w:rFonts w:ascii="Times New Roman" w:hAnsi="Times New Roman" w:cs="Times New Roman"/>
          <w:sz w:val="24"/>
          <w:szCs w:val="24"/>
        </w:rPr>
        <w:t xml:space="preserve">with incomes below $32,000 for a family of four, </w:t>
      </w:r>
      <w:r w:rsidR="0012671B">
        <w:rPr>
          <w:rFonts w:ascii="Times New Roman" w:hAnsi="Times New Roman" w:cs="Times New Roman"/>
          <w:sz w:val="24"/>
          <w:szCs w:val="24"/>
        </w:rPr>
        <w:t xml:space="preserve">are eligible to </w:t>
      </w:r>
      <w:r w:rsidR="004B2A3E">
        <w:rPr>
          <w:rFonts w:ascii="Times New Roman" w:hAnsi="Times New Roman" w:cs="Times New Roman"/>
          <w:sz w:val="24"/>
          <w:szCs w:val="24"/>
        </w:rPr>
        <w:t>receive rental housing subsidies</w:t>
      </w:r>
      <w:r w:rsidR="004F7EEE">
        <w:rPr>
          <w:rFonts w:ascii="Times New Roman" w:hAnsi="Times New Roman" w:cs="Times New Roman"/>
          <w:sz w:val="24"/>
          <w:szCs w:val="24"/>
        </w:rPr>
        <w:t>.</w:t>
      </w:r>
      <w:r w:rsidR="004B2A3E">
        <w:rPr>
          <w:rStyle w:val="FootnoteReference"/>
          <w:rFonts w:ascii="Times New Roman" w:hAnsi="Times New Roman" w:cs="Times New Roman"/>
          <w:sz w:val="24"/>
          <w:szCs w:val="24"/>
        </w:rPr>
        <w:footnoteReference w:id="23"/>
      </w:r>
      <w:r w:rsidR="004B2A3E">
        <w:rPr>
          <w:rFonts w:ascii="Times New Roman" w:hAnsi="Times New Roman" w:cs="Times New Roman"/>
          <w:sz w:val="24"/>
          <w:szCs w:val="24"/>
        </w:rPr>
        <w:t xml:space="preserve"> </w:t>
      </w:r>
      <w:r w:rsidR="004F7EEE">
        <w:rPr>
          <w:rFonts w:ascii="Times New Roman" w:hAnsi="Times New Roman" w:cs="Times New Roman"/>
          <w:sz w:val="24"/>
          <w:szCs w:val="24"/>
        </w:rPr>
        <w:t>For f</w:t>
      </w:r>
      <w:r w:rsidR="004535B2">
        <w:rPr>
          <w:rFonts w:ascii="Times New Roman" w:hAnsi="Times New Roman" w:cs="Times New Roman"/>
          <w:sz w:val="24"/>
          <w:szCs w:val="24"/>
        </w:rPr>
        <w:t>ood</w:t>
      </w:r>
      <w:r w:rsidR="004F7EEE">
        <w:rPr>
          <w:rFonts w:ascii="Times New Roman" w:hAnsi="Times New Roman" w:cs="Times New Roman"/>
          <w:sz w:val="24"/>
          <w:szCs w:val="24"/>
        </w:rPr>
        <w:t xml:space="preserve"> assistance</w:t>
      </w:r>
      <w:r w:rsidR="006B2745">
        <w:rPr>
          <w:rFonts w:ascii="Times New Roman" w:hAnsi="Times New Roman" w:cs="Times New Roman"/>
          <w:sz w:val="24"/>
          <w:szCs w:val="24"/>
        </w:rPr>
        <w:t xml:space="preserve"> (SNAP)</w:t>
      </w:r>
      <w:r w:rsidR="004535B2">
        <w:rPr>
          <w:rFonts w:ascii="Times New Roman" w:hAnsi="Times New Roman" w:cs="Times New Roman"/>
          <w:sz w:val="24"/>
          <w:szCs w:val="24"/>
        </w:rPr>
        <w:t xml:space="preserve">, </w:t>
      </w:r>
      <w:r w:rsidR="006B2745">
        <w:rPr>
          <w:rFonts w:ascii="Times New Roman" w:hAnsi="Times New Roman" w:cs="Times New Roman"/>
          <w:sz w:val="24"/>
          <w:szCs w:val="24"/>
        </w:rPr>
        <w:t xml:space="preserve">a household of two has a maximum salary of $20,000 to be eligible for food subsidies. Minimum wage increases may potentially push some households above eligibility thresholds. </w:t>
      </w:r>
    </w:p>
    <w:p w14:paraId="1C55D08D" w14:textId="4F6DB239" w:rsidR="000B58AF" w:rsidRDefault="001A07A9" w:rsidP="007F3CAB">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12671B">
        <w:rPr>
          <w:rFonts w:ascii="Times New Roman" w:hAnsi="Times New Roman" w:cs="Times New Roman"/>
          <w:sz w:val="24"/>
          <w:szCs w:val="24"/>
        </w:rPr>
        <w:t xml:space="preserve">here are noteworthy distinctions </w:t>
      </w:r>
      <w:r w:rsidR="00CE32E3">
        <w:rPr>
          <w:rFonts w:ascii="Times New Roman" w:hAnsi="Times New Roman" w:cs="Times New Roman"/>
          <w:sz w:val="24"/>
          <w:szCs w:val="24"/>
        </w:rPr>
        <w:t>between</w:t>
      </w:r>
      <w:r w:rsidR="0012671B">
        <w:rPr>
          <w:rFonts w:ascii="Times New Roman" w:hAnsi="Times New Roman" w:cs="Times New Roman"/>
          <w:sz w:val="24"/>
          <w:szCs w:val="24"/>
        </w:rPr>
        <w:t xml:space="preserve"> social safety net programs, </w:t>
      </w:r>
      <w:r w:rsidR="008463CA">
        <w:rPr>
          <w:rFonts w:ascii="Times New Roman" w:hAnsi="Times New Roman" w:cs="Times New Roman"/>
          <w:sz w:val="24"/>
          <w:szCs w:val="24"/>
        </w:rPr>
        <w:t xml:space="preserve">the in-depth discussion of </w:t>
      </w:r>
      <w:r w:rsidR="0012671B">
        <w:rPr>
          <w:rFonts w:ascii="Times New Roman" w:hAnsi="Times New Roman" w:cs="Times New Roman"/>
          <w:sz w:val="24"/>
          <w:szCs w:val="24"/>
        </w:rPr>
        <w:t xml:space="preserve">which </w:t>
      </w:r>
      <w:r w:rsidR="00CE32E3">
        <w:rPr>
          <w:rFonts w:ascii="Times New Roman" w:hAnsi="Times New Roman" w:cs="Times New Roman"/>
          <w:sz w:val="24"/>
          <w:szCs w:val="24"/>
        </w:rPr>
        <w:t>lies</w:t>
      </w:r>
      <w:r w:rsidR="0012671B">
        <w:rPr>
          <w:rFonts w:ascii="Times New Roman" w:hAnsi="Times New Roman" w:cs="Times New Roman"/>
          <w:sz w:val="24"/>
          <w:szCs w:val="24"/>
        </w:rPr>
        <w:t xml:space="preserve"> beyond the scope of our analysis. </w:t>
      </w:r>
      <w:r w:rsidR="00CE32E3">
        <w:rPr>
          <w:rFonts w:ascii="Times New Roman" w:hAnsi="Times New Roman" w:cs="Times New Roman"/>
          <w:sz w:val="24"/>
          <w:szCs w:val="24"/>
        </w:rPr>
        <w:t xml:space="preserve">To name </w:t>
      </w:r>
      <w:r w:rsidR="00FF33B0">
        <w:rPr>
          <w:rFonts w:ascii="Times New Roman" w:hAnsi="Times New Roman" w:cs="Times New Roman"/>
          <w:sz w:val="24"/>
          <w:szCs w:val="24"/>
        </w:rPr>
        <w:t xml:space="preserve">just </w:t>
      </w:r>
      <w:r w:rsidR="00CE32E3">
        <w:rPr>
          <w:rFonts w:ascii="Times New Roman" w:hAnsi="Times New Roman" w:cs="Times New Roman"/>
          <w:sz w:val="24"/>
          <w:szCs w:val="24"/>
        </w:rPr>
        <w:t>a few</w:t>
      </w:r>
      <w:r w:rsidR="0012671B">
        <w:rPr>
          <w:rFonts w:ascii="Times New Roman" w:hAnsi="Times New Roman" w:cs="Times New Roman"/>
          <w:sz w:val="24"/>
          <w:szCs w:val="24"/>
        </w:rPr>
        <w:t xml:space="preserve">, food stamps are an entitlement; for the most part, all who qualify can and should receive benefits if they so desire. On the other </w:t>
      </w:r>
      <w:r w:rsidR="00031871">
        <w:rPr>
          <w:rFonts w:ascii="Times New Roman" w:hAnsi="Times New Roman" w:cs="Times New Roman"/>
          <w:sz w:val="24"/>
          <w:szCs w:val="24"/>
        </w:rPr>
        <w:t xml:space="preserve">hand, there are well-documented, </w:t>
      </w:r>
      <w:r w:rsidR="0012671B">
        <w:rPr>
          <w:rFonts w:ascii="Times New Roman" w:hAnsi="Times New Roman" w:cs="Times New Roman"/>
          <w:sz w:val="24"/>
          <w:szCs w:val="24"/>
        </w:rPr>
        <w:t xml:space="preserve">long waiting lists for </w:t>
      </w:r>
      <w:r>
        <w:rPr>
          <w:rFonts w:ascii="Times New Roman" w:hAnsi="Times New Roman" w:cs="Times New Roman"/>
          <w:sz w:val="24"/>
          <w:szCs w:val="24"/>
        </w:rPr>
        <w:t>housing assistance, which is increasingly delivered via cash vouchers</w:t>
      </w:r>
      <w:r w:rsidR="00031871">
        <w:rPr>
          <w:rFonts w:ascii="Times New Roman" w:hAnsi="Times New Roman" w:cs="Times New Roman"/>
          <w:sz w:val="24"/>
          <w:szCs w:val="24"/>
        </w:rPr>
        <w:t xml:space="preserve"> (</w:t>
      </w:r>
      <w:r w:rsidR="00CE32E3">
        <w:rPr>
          <w:rFonts w:ascii="Times New Roman" w:hAnsi="Times New Roman" w:cs="Times New Roman"/>
          <w:sz w:val="24"/>
          <w:szCs w:val="24"/>
        </w:rPr>
        <w:t>Collinson et al. 2016)</w:t>
      </w:r>
      <w:r>
        <w:rPr>
          <w:rFonts w:ascii="Times New Roman" w:hAnsi="Times New Roman" w:cs="Times New Roman"/>
          <w:sz w:val="24"/>
          <w:szCs w:val="24"/>
        </w:rPr>
        <w:t xml:space="preserve">. </w:t>
      </w:r>
      <w:r w:rsidR="00CE32E3">
        <w:rPr>
          <w:rFonts w:ascii="Times New Roman" w:hAnsi="Times New Roman" w:cs="Times New Roman"/>
          <w:sz w:val="24"/>
          <w:szCs w:val="24"/>
        </w:rPr>
        <w:t xml:space="preserve">As program eligibility is concerned, </w:t>
      </w:r>
      <w:r w:rsidR="00F45CAD">
        <w:rPr>
          <w:rFonts w:ascii="Times New Roman" w:hAnsi="Times New Roman" w:cs="Times New Roman"/>
          <w:sz w:val="24"/>
          <w:szCs w:val="24"/>
        </w:rPr>
        <w:t>many</w:t>
      </w:r>
      <w:r w:rsidR="008463CA">
        <w:rPr>
          <w:rFonts w:ascii="Times New Roman" w:hAnsi="Times New Roman" w:cs="Times New Roman"/>
          <w:sz w:val="24"/>
          <w:szCs w:val="24"/>
        </w:rPr>
        <w:t xml:space="preserve"> programs contain a </w:t>
      </w:r>
      <w:r w:rsidR="00F45CAD">
        <w:rPr>
          <w:rFonts w:ascii="Times New Roman" w:hAnsi="Times New Roman" w:cs="Times New Roman"/>
          <w:sz w:val="24"/>
          <w:szCs w:val="24"/>
        </w:rPr>
        <w:t>range</w:t>
      </w:r>
      <w:r w:rsidR="008463CA">
        <w:rPr>
          <w:rFonts w:ascii="Times New Roman" w:hAnsi="Times New Roman" w:cs="Times New Roman"/>
          <w:sz w:val="24"/>
          <w:szCs w:val="24"/>
        </w:rPr>
        <w:t xml:space="preserve"> of provisions to enhance work incentives, including gradual phase-outs of near-cash program benefits, standard deductions for household size, </w:t>
      </w:r>
      <w:r w:rsidR="00F45CAD">
        <w:rPr>
          <w:rFonts w:ascii="Times New Roman" w:hAnsi="Times New Roman" w:cs="Times New Roman"/>
          <w:sz w:val="24"/>
          <w:szCs w:val="24"/>
        </w:rPr>
        <w:t>earnings disregards</w:t>
      </w:r>
      <w:r w:rsidR="008463CA">
        <w:rPr>
          <w:rFonts w:ascii="Times New Roman" w:hAnsi="Times New Roman" w:cs="Times New Roman"/>
          <w:sz w:val="24"/>
          <w:szCs w:val="24"/>
        </w:rPr>
        <w:t>, and allowances for heating cooking, electricity, and other utilities.</w:t>
      </w:r>
      <w:r w:rsidR="008463CA">
        <w:rPr>
          <w:rStyle w:val="FootnoteReference"/>
          <w:rFonts w:ascii="Times New Roman" w:hAnsi="Times New Roman" w:cs="Times New Roman"/>
          <w:sz w:val="24"/>
          <w:szCs w:val="24"/>
        </w:rPr>
        <w:footnoteReference w:id="24"/>
      </w:r>
      <w:r w:rsidR="008463CA">
        <w:rPr>
          <w:rFonts w:ascii="Times New Roman" w:hAnsi="Times New Roman" w:cs="Times New Roman"/>
          <w:sz w:val="24"/>
          <w:szCs w:val="24"/>
        </w:rPr>
        <w:t xml:space="preserve"> While i</w:t>
      </w:r>
      <w:r w:rsidR="004B2A3E">
        <w:rPr>
          <w:rFonts w:ascii="Times New Roman" w:hAnsi="Times New Roman" w:cs="Times New Roman"/>
          <w:sz w:val="24"/>
          <w:szCs w:val="24"/>
        </w:rPr>
        <w:t xml:space="preserve">t is possible </w:t>
      </w:r>
      <w:r w:rsidR="004535B2">
        <w:rPr>
          <w:rFonts w:ascii="Times New Roman" w:hAnsi="Times New Roman" w:cs="Times New Roman"/>
          <w:sz w:val="24"/>
          <w:szCs w:val="24"/>
        </w:rPr>
        <w:t>that some</w:t>
      </w:r>
      <w:r w:rsidR="004B2A3E">
        <w:rPr>
          <w:rFonts w:ascii="Times New Roman" w:hAnsi="Times New Roman" w:cs="Times New Roman"/>
          <w:sz w:val="24"/>
          <w:szCs w:val="24"/>
        </w:rPr>
        <w:t xml:space="preserve"> households </w:t>
      </w:r>
      <w:r>
        <w:rPr>
          <w:rFonts w:ascii="Times New Roman" w:hAnsi="Times New Roman" w:cs="Times New Roman"/>
          <w:sz w:val="24"/>
          <w:szCs w:val="24"/>
        </w:rPr>
        <w:t xml:space="preserve">may </w:t>
      </w:r>
      <w:r w:rsidR="004B2A3E">
        <w:rPr>
          <w:rFonts w:ascii="Times New Roman" w:hAnsi="Times New Roman" w:cs="Times New Roman"/>
          <w:sz w:val="24"/>
          <w:szCs w:val="24"/>
        </w:rPr>
        <w:t>face a</w:t>
      </w:r>
      <w:r w:rsidR="00A05315">
        <w:rPr>
          <w:rFonts w:ascii="Times New Roman" w:hAnsi="Times New Roman" w:cs="Times New Roman"/>
          <w:sz w:val="24"/>
          <w:szCs w:val="24"/>
        </w:rPr>
        <w:t xml:space="preserve"> </w:t>
      </w:r>
      <w:r w:rsidR="004B2A3E">
        <w:rPr>
          <w:rFonts w:ascii="Times New Roman" w:hAnsi="Times New Roman" w:cs="Times New Roman"/>
          <w:sz w:val="24"/>
          <w:szCs w:val="24"/>
        </w:rPr>
        <w:t xml:space="preserve">trade-off between </w:t>
      </w:r>
      <w:r w:rsidR="0050737B">
        <w:rPr>
          <w:rFonts w:ascii="Times New Roman" w:hAnsi="Times New Roman" w:cs="Times New Roman"/>
          <w:sz w:val="24"/>
          <w:szCs w:val="24"/>
        </w:rPr>
        <w:t xml:space="preserve">higher annual income and access to </w:t>
      </w:r>
      <w:r w:rsidR="008463CA">
        <w:rPr>
          <w:rFonts w:ascii="Times New Roman" w:hAnsi="Times New Roman" w:cs="Times New Roman"/>
          <w:sz w:val="24"/>
          <w:szCs w:val="24"/>
        </w:rPr>
        <w:t xml:space="preserve">the </w:t>
      </w:r>
      <w:r w:rsidR="0050737B">
        <w:rPr>
          <w:rFonts w:ascii="Times New Roman" w:hAnsi="Times New Roman" w:cs="Times New Roman"/>
          <w:sz w:val="24"/>
          <w:szCs w:val="24"/>
        </w:rPr>
        <w:t>safety net</w:t>
      </w:r>
      <w:r w:rsidR="008463CA">
        <w:rPr>
          <w:rFonts w:ascii="Times New Roman" w:hAnsi="Times New Roman" w:cs="Times New Roman"/>
          <w:sz w:val="24"/>
          <w:szCs w:val="24"/>
        </w:rPr>
        <w:t xml:space="preserve">, the </w:t>
      </w:r>
      <w:r w:rsidR="006B2745">
        <w:rPr>
          <w:rFonts w:ascii="Times New Roman" w:hAnsi="Times New Roman" w:cs="Times New Roman"/>
          <w:sz w:val="24"/>
          <w:szCs w:val="24"/>
        </w:rPr>
        <w:t xml:space="preserve">more likely case may be </w:t>
      </w:r>
      <w:r w:rsidR="008463CA">
        <w:rPr>
          <w:rFonts w:ascii="Times New Roman" w:hAnsi="Times New Roman" w:cs="Times New Roman"/>
          <w:sz w:val="24"/>
          <w:szCs w:val="24"/>
        </w:rPr>
        <w:t xml:space="preserve">one in which households experience </w:t>
      </w:r>
      <w:r w:rsidR="000F6618">
        <w:rPr>
          <w:rFonts w:ascii="Times New Roman" w:hAnsi="Times New Roman" w:cs="Times New Roman"/>
          <w:sz w:val="24"/>
          <w:szCs w:val="24"/>
        </w:rPr>
        <w:t>gradual</w:t>
      </w:r>
      <w:r w:rsidR="008463CA">
        <w:rPr>
          <w:rFonts w:ascii="Times New Roman" w:hAnsi="Times New Roman" w:cs="Times New Roman"/>
          <w:sz w:val="24"/>
          <w:szCs w:val="24"/>
        </w:rPr>
        <w:t xml:space="preserve"> benefit reductions in food and housing assistance</w:t>
      </w:r>
      <w:r w:rsidR="000F6618">
        <w:rPr>
          <w:rFonts w:ascii="Times New Roman" w:hAnsi="Times New Roman" w:cs="Times New Roman"/>
          <w:sz w:val="24"/>
          <w:szCs w:val="24"/>
        </w:rPr>
        <w:t xml:space="preserve"> (</w:t>
      </w:r>
      <w:r w:rsidR="00F45CAD">
        <w:rPr>
          <w:rFonts w:ascii="Times New Roman" w:hAnsi="Times New Roman" w:cs="Times New Roman"/>
          <w:sz w:val="24"/>
          <w:szCs w:val="24"/>
        </w:rPr>
        <w:t xml:space="preserve">e.g. </w:t>
      </w:r>
      <w:proofErr w:type="spellStart"/>
      <w:r w:rsidR="000F6618">
        <w:rPr>
          <w:rFonts w:ascii="Times New Roman" w:hAnsi="Times New Roman" w:cs="Times New Roman"/>
          <w:sz w:val="24"/>
          <w:szCs w:val="24"/>
        </w:rPr>
        <w:t>Steuerle</w:t>
      </w:r>
      <w:proofErr w:type="spellEnd"/>
      <w:r w:rsidR="000F6618">
        <w:rPr>
          <w:rFonts w:ascii="Times New Roman" w:hAnsi="Times New Roman" w:cs="Times New Roman"/>
          <w:sz w:val="24"/>
          <w:szCs w:val="24"/>
        </w:rPr>
        <w:t xml:space="preserve"> 2015)</w:t>
      </w:r>
      <w:r w:rsidR="0050737B">
        <w:rPr>
          <w:rFonts w:ascii="Times New Roman" w:hAnsi="Times New Roman" w:cs="Times New Roman"/>
          <w:sz w:val="24"/>
          <w:szCs w:val="24"/>
        </w:rPr>
        <w:t xml:space="preserve">. </w:t>
      </w:r>
    </w:p>
    <w:p w14:paraId="232E7B07" w14:textId="77777777" w:rsidR="007800C3" w:rsidRPr="007800C3" w:rsidRDefault="007800C3" w:rsidP="007800C3">
      <w:pPr>
        <w:pStyle w:val="ListParagraph"/>
        <w:numPr>
          <w:ilvl w:val="0"/>
          <w:numId w:val="8"/>
        </w:numPr>
        <w:spacing w:line="480" w:lineRule="auto"/>
        <w:rPr>
          <w:rFonts w:ascii="Times New Roman" w:hAnsi="Times New Roman" w:cs="Times New Roman"/>
          <w:b/>
          <w:sz w:val="24"/>
          <w:szCs w:val="24"/>
        </w:rPr>
      </w:pPr>
      <w:r w:rsidRPr="007800C3">
        <w:rPr>
          <w:rFonts w:ascii="Times New Roman" w:hAnsi="Times New Roman" w:cs="Times New Roman"/>
          <w:b/>
          <w:sz w:val="24"/>
          <w:szCs w:val="24"/>
        </w:rPr>
        <w:lastRenderedPageBreak/>
        <w:t>Conclusion</w:t>
      </w:r>
    </w:p>
    <w:p w14:paraId="341E07D6" w14:textId="4C572BD0" w:rsidR="000B58AF" w:rsidRDefault="00FD5494" w:rsidP="007F3CAB">
      <w:pPr>
        <w:spacing w:line="480" w:lineRule="auto"/>
        <w:rPr>
          <w:rFonts w:ascii="Times New Roman" w:hAnsi="Times New Roman" w:cs="Times New Roman"/>
          <w:sz w:val="24"/>
          <w:szCs w:val="24"/>
        </w:rPr>
      </w:pPr>
      <w:r>
        <w:rPr>
          <w:rFonts w:ascii="Times New Roman" w:hAnsi="Times New Roman" w:cs="Times New Roman"/>
          <w:sz w:val="24"/>
          <w:szCs w:val="24"/>
        </w:rPr>
        <w:t>W</w:t>
      </w:r>
      <w:r w:rsidR="00466589">
        <w:rPr>
          <w:rFonts w:ascii="Times New Roman" w:hAnsi="Times New Roman" w:cs="Times New Roman"/>
          <w:sz w:val="24"/>
          <w:szCs w:val="24"/>
        </w:rPr>
        <w:t xml:space="preserve">e </w:t>
      </w:r>
      <w:r w:rsidR="00426E35">
        <w:rPr>
          <w:rFonts w:ascii="Times New Roman" w:hAnsi="Times New Roman" w:cs="Times New Roman"/>
          <w:sz w:val="24"/>
          <w:szCs w:val="24"/>
        </w:rPr>
        <w:t xml:space="preserve">utilize </w:t>
      </w:r>
      <w:r w:rsidR="00466589">
        <w:rPr>
          <w:rFonts w:ascii="Times New Roman" w:hAnsi="Times New Roman" w:cs="Times New Roman"/>
          <w:sz w:val="24"/>
          <w:szCs w:val="24"/>
        </w:rPr>
        <w:t>(</w:t>
      </w:r>
      <w:r w:rsidR="00426E35">
        <w:rPr>
          <w:rFonts w:ascii="Times New Roman" w:hAnsi="Times New Roman" w:cs="Times New Roman"/>
          <w:sz w:val="24"/>
          <w:szCs w:val="24"/>
        </w:rPr>
        <w:t>1) a dynamic CGE model</w:t>
      </w:r>
      <w:r w:rsidR="00466589">
        <w:rPr>
          <w:rFonts w:ascii="Times New Roman" w:hAnsi="Times New Roman" w:cs="Times New Roman"/>
          <w:sz w:val="24"/>
          <w:szCs w:val="24"/>
        </w:rPr>
        <w:t xml:space="preserve"> to</w:t>
      </w:r>
      <w:r w:rsidR="00426E35">
        <w:rPr>
          <w:rFonts w:ascii="Times New Roman" w:hAnsi="Times New Roman" w:cs="Times New Roman"/>
          <w:sz w:val="24"/>
          <w:szCs w:val="24"/>
        </w:rPr>
        <w:t xml:space="preserve"> estimate the effect of the city’s $15 MWP on the local economy in the short-run and long-run</w:t>
      </w:r>
      <w:r w:rsidR="00466589">
        <w:rPr>
          <w:rFonts w:ascii="Times New Roman" w:hAnsi="Times New Roman" w:cs="Times New Roman"/>
          <w:sz w:val="24"/>
          <w:szCs w:val="24"/>
        </w:rPr>
        <w:t xml:space="preserve">, </w:t>
      </w:r>
      <w:r w:rsidR="00426E35">
        <w:rPr>
          <w:rFonts w:ascii="Times New Roman" w:hAnsi="Times New Roman" w:cs="Times New Roman"/>
          <w:sz w:val="24"/>
          <w:szCs w:val="24"/>
        </w:rPr>
        <w:t xml:space="preserve">and </w:t>
      </w:r>
      <w:r w:rsidR="00466589">
        <w:rPr>
          <w:rFonts w:ascii="Times New Roman" w:hAnsi="Times New Roman" w:cs="Times New Roman"/>
          <w:sz w:val="24"/>
          <w:szCs w:val="24"/>
        </w:rPr>
        <w:t>(</w:t>
      </w:r>
      <w:r w:rsidR="00426E35">
        <w:rPr>
          <w:rFonts w:ascii="Times New Roman" w:hAnsi="Times New Roman" w:cs="Times New Roman"/>
          <w:sz w:val="24"/>
          <w:szCs w:val="24"/>
        </w:rPr>
        <w:t xml:space="preserve">2) a comparative static tax micro simulation model to estimate the effect of the $15 MWP on </w:t>
      </w:r>
      <w:r w:rsidR="000530BD">
        <w:rPr>
          <w:rFonts w:ascii="Times New Roman" w:hAnsi="Times New Roman" w:cs="Times New Roman"/>
          <w:sz w:val="24"/>
          <w:szCs w:val="24"/>
        </w:rPr>
        <w:t xml:space="preserve">federal and local </w:t>
      </w:r>
      <w:r w:rsidR="00426E35">
        <w:rPr>
          <w:rFonts w:ascii="Times New Roman" w:hAnsi="Times New Roman" w:cs="Times New Roman"/>
          <w:sz w:val="24"/>
          <w:szCs w:val="24"/>
        </w:rPr>
        <w:t xml:space="preserve">EITC levels in the city in 2021. </w:t>
      </w:r>
      <w:r w:rsidR="00E47BC7">
        <w:rPr>
          <w:rFonts w:ascii="Times New Roman" w:hAnsi="Times New Roman" w:cs="Times New Roman"/>
          <w:sz w:val="24"/>
          <w:szCs w:val="24"/>
        </w:rPr>
        <w:t xml:space="preserve">We find </w:t>
      </w:r>
      <w:r w:rsidR="000B58AF" w:rsidRPr="00921D4A">
        <w:rPr>
          <w:rFonts w:ascii="Times New Roman" w:hAnsi="Times New Roman" w:cs="Times New Roman"/>
          <w:sz w:val="24"/>
          <w:szCs w:val="24"/>
        </w:rPr>
        <w:t xml:space="preserve">that the increase in the District of Columbia’s minimum wage will produce significant income gains for </w:t>
      </w:r>
      <w:r w:rsidR="00313A6F">
        <w:rPr>
          <w:rFonts w:ascii="Times New Roman" w:hAnsi="Times New Roman" w:cs="Times New Roman"/>
          <w:sz w:val="24"/>
          <w:szCs w:val="24"/>
        </w:rPr>
        <w:t xml:space="preserve">most of the city’s </w:t>
      </w:r>
      <w:r w:rsidR="000B58AF" w:rsidRPr="00921D4A">
        <w:rPr>
          <w:rFonts w:ascii="Times New Roman" w:hAnsi="Times New Roman" w:cs="Times New Roman"/>
          <w:sz w:val="24"/>
          <w:szCs w:val="24"/>
        </w:rPr>
        <w:t>low</w:t>
      </w:r>
      <w:r w:rsidR="00313A6F">
        <w:rPr>
          <w:rFonts w:ascii="Times New Roman" w:hAnsi="Times New Roman" w:cs="Times New Roman"/>
          <w:sz w:val="24"/>
          <w:szCs w:val="24"/>
        </w:rPr>
        <w:t>est</w:t>
      </w:r>
      <w:r w:rsidR="00466589">
        <w:rPr>
          <w:rFonts w:ascii="Times New Roman" w:hAnsi="Times New Roman" w:cs="Times New Roman"/>
          <w:sz w:val="24"/>
          <w:szCs w:val="24"/>
        </w:rPr>
        <w:t xml:space="preserve"> </w:t>
      </w:r>
      <w:r w:rsidR="000B58AF" w:rsidRPr="00921D4A">
        <w:rPr>
          <w:rFonts w:ascii="Times New Roman" w:hAnsi="Times New Roman" w:cs="Times New Roman"/>
          <w:sz w:val="24"/>
          <w:szCs w:val="24"/>
        </w:rPr>
        <w:t xml:space="preserve">wage </w:t>
      </w:r>
      <w:r w:rsidR="00A071D0">
        <w:rPr>
          <w:rFonts w:ascii="Times New Roman" w:hAnsi="Times New Roman" w:cs="Times New Roman"/>
          <w:sz w:val="24"/>
          <w:szCs w:val="24"/>
        </w:rPr>
        <w:t xml:space="preserve">earners </w:t>
      </w:r>
      <w:r w:rsidR="000B58AF" w:rsidRPr="00921D4A">
        <w:rPr>
          <w:rFonts w:ascii="Times New Roman" w:hAnsi="Times New Roman" w:cs="Times New Roman"/>
          <w:sz w:val="24"/>
          <w:szCs w:val="24"/>
        </w:rPr>
        <w:t xml:space="preserve">and </w:t>
      </w:r>
      <w:r w:rsidR="000502DB">
        <w:rPr>
          <w:rFonts w:ascii="Times New Roman" w:hAnsi="Times New Roman" w:cs="Times New Roman"/>
          <w:sz w:val="24"/>
          <w:szCs w:val="24"/>
        </w:rPr>
        <w:t>job loss</w:t>
      </w:r>
      <w:r w:rsidR="000B58AF" w:rsidRPr="00921D4A">
        <w:rPr>
          <w:rFonts w:ascii="Times New Roman" w:hAnsi="Times New Roman" w:cs="Times New Roman"/>
          <w:sz w:val="24"/>
          <w:szCs w:val="24"/>
        </w:rPr>
        <w:t xml:space="preserve"> </w:t>
      </w:r>
      <w:r w:rsidR="00313A6F">
        <w:rPr>
          <w:rFonts w:ascii="Times New Roman" w:hAnsi="Times New Roman" w:cs="Times New Roman"/>
          <w:sz w:val="24"/>
          <w:szCs w:val="24"/>
        </w:rPr>
        <w:t xml:space="preserve">(presumably temporary) </w:t>
      </w:r>
      <w:r w:rsidR="000B58AF" w:rsidRPr="00921D4A">
        <w:rPr>
          <w:rFonts w:ascii="Times New Roman" w:hAnsi="Times New Roman" w:cs="Times New Roman"/>
          <w:sz w:val="24"/>
          <w:szCs w:val="24"/>
        </w:rPr>
        <w:t xml:space="preserve">for a very small </w:t>
      </w:r>
      <w:r w:rsidR="00D87F6C">
        <w:rPr>
          <w:rFonts w:ascii="Times New Roman" w:hAnsi="Times New Roman" w:cs="Times New Roman"/>
          <w:sz w:val="24"/>
          <w:szCs w:val="24"/>
        </w:rPr>
        <w:t xml:space="preserve">number </w:t>
      </w:r>
      <w:r w:rsidR="000B58AF" w:rsidRPr="00921D4A">
        <w:rPr>
          <w:rFonts w:ascii="Times New Roman" w:hAnsi="Times New Roman" w:cs="Times New Roman"/>
          <w:sz w:val="24"/>
          <w:szCs w:val="24"/>
        </w:rPr>
        <w:t xml:space="preserve">of </w:t>
      </w:r>
      <w:r w:rsidR="00D87F6C">
        <w:rPr>
          <w:rFonts w:ascii="Times New Roman" w:hAnsi="Times New Roman" w:cs="Times New Roman"/>
          <w:sz w:val="24"/>
          <w:szCs w:val="24"/>
        </w:rPr>
        <w:t>other</w:t>
      </w:r>
      <w:r w:rsidR="000B58AF" w:rsidRPr="00921D4A">
        <w:rPr>
          <w:rFonts w:ascii="Times New Roman" w:hAnsi="Times New Roman" w:cs="Times New Roman"/>
          <w:sz w:val="24"/>
          <w:szCs w:val="24"/>
        </w:rPr>
        <w:t xml:space="preserve"> workers. </w:t>
      </w:r>
      <w:r w:rsidR="00781598" w:rsidRPr="00BD0C2B">
        <w:rPr>
          <w:rFonts w:ascii="Times New Roman" w:hAnsi="Times New Roman" w:cs="Times New Roman"/>
          <w:sz w:val="24"/>
          <w:szCs w:val="24"/>
        </w:rPr>
        <w:t>The</w:t>
      </w:r>
      <w:r w:rsidR="00781598">
        <w:rPr>
          <w:rFonts w:ascii="Times New Roman" w:hAnsi="Times New Roman" w:cs="Times New Roman"/>
          <w:sz w:val="24"/>
          <w:szCs w:val="24"/>
        </w:rPr>
        <w:t>se</w:t>
      </w:r>
      <w:r w:rsidR="00781598" w:rsidRPr="00BD0C2B">
        <w:rPr>
          <w:rFonts w:ascii="Times New Roman" w:hAnsi="Times New Roman" w:cs="Times New Roman"/>
          <w:sz w:val="24"/>
          <w:szCs w:val="24"/>
        </w:rPr>
        <w:t xml:space="preserve"> findings are </w:t>
      </w:r>
      <w:r w:rsidR="00466589">
        <w:rPr>
          <w:rFonts w:ascii="Times New Roman" w:hAnsi="Times New Roman" w:cs="Times New Roman"/>
          <w:sz w:val="24"/>
          <w:szCs w:val="24"/>
        </w:rPr>
        <w:t xml:space="preserve">broadly consistent with </w:t>
      </w:r>
      <w:r w:rsidR="00781598" w:rsidRPr="00BD0C2B">
        <w:rPr>
          <w:rFonts w:ascii="Times New Roman" w:hAnsi="Times New Roman" w:cs="Times New Roman"/>
          <w:sz w:val="24"/>
          <w:szCs w:val="24"/>
        </w:rPr>
        <w:t xml:space="preserve">DC-focused studies by Nichols and </w:t>
      </w:r>
      <w:proofErr w:type="spellStart"/>
      <w:r w:rsidR="00781598" w:rsidRPr="00BD0C2B">
        <w:rPr>
          <w:rFonts w:ascii="Times New Roman" w:hAnsi="Times New Roman" w:cs="Times New Roman"/>
          <w:sz w:val="24"/>
          <w:szCs w:val="24"/>
        </w:rPr>
        <w:t>Schwabish</w:t>
      </w:r>
      <w:proofErr w:type="spellEnd"/>
      <w:r w:rsidR="00781598" w:rsidRPr="00BD0C2B">
        <w:rPr>
          <w:rFonts w:ascii="Times New Roman" w:hAnsi="Times New Roman" w:cs="Times New Roman"/>
          <w:sz w:val="24"/>
          <w:szCs w:val="24"/>
        </w:rPr>
        <w:t xml:space="preserve"> (2014) and </w:t>
      </w:r>
      <w:proofErr w:type="spellStart"/>
      <w:r w:rsidR="00781598" w:rsidRPr="00BD0C2B">
        <w:rPr>
          <w:rFonts w:ascii="Times New Roman" w:hAnsi="Times New Roman" w:cs="Times New Roman"/>
          <w:sz w:val="24"/>
          <w:szCs w:val="24"/>
        </w:rPr>
        <w:t>Acs</w:t>
      </w:r>
      <w:proofErr w:type="spellEnd"/>
      <w:r w:rsidR="00781598" w:rsidRPr="00BD0C2B">
        <w:rPr>
          <w:rFonts w:ascii="Times New Roman" w:hAnsi="Times New Roman" w:cs="Times New Roman"/>
          <w:sz w:val="24"/>
          <w:szCs w:val="24"/>
        </w:rPr>
        <w:t xml:space="preserve"> et al. (2014) that adopt a partial equilibrium, regression-based framework. </w:t>
      </w:r>
      <w:r w:rsidR="000B58AF" w:rsidRPr="00921D4A">
        <w:rPr>
          <w:rFonts w:ascii="Times New Roman" w:hAnsi="Times New Roman" w:cs="Times New Roman"/>
          <w:sz w:val="24"/>
          <w:szCs w:val="24"/>
        </w:rPr>
        <w:t xml:space="preserve">We </w:t>
      </w:r>
      <w:r w:rsidR="00313A6F">
        <w:rPr>
          <w:rFonts w:ascii="Times New Roman" w:hAnsi="Times New Roman" w:cs="Times New Roman"/>
          <w:sz w:val="24"/>
          <w:szCs w:val="24"/>
        </w:rPr>
        <w:t xml:space="preserve">also </w:t>
      </w:r>
      <w:r w:rsidR="000B58AF" w:rsidRPr="00921D4A">
        <w:rPr>
          <w:rFonts w:ascii="Times New Roman" w:hAnsi="Times New Roman" w:cs="Times New Roman"/>
          <w:sz w:val="24"/>
          <w:szCs w:val="24"/>
        </w:rPr>
        <w:t xml:space="preserve">find that </w:t>
      </w:r>
      <w:r w:rsidR="00313A6F">
        <w:rPr>
          <w:rFonts w:ascii="Times New Roman" w:hAnsi="Times New Roman" w:cs="Times New Roman"/>
          <w:sz w:val="24"/>
          <w:szCs w:val="24"/>
        </w:rPr>
        <w:t>63</w:t>
      </w:r>
      <w:r w:rsidR="000B58AF" w:rsidRPr="00921D4A">
        <w:rPr>
          <w:rFonts w:ascii="Times New Roman" w:hAnsi="Times New Roman" w:cs="Times New Roman"/>
          <w:sz w:val="24"/>
          <w:szCs w:val="24"/>
        </w:rPr>
        <w:t xml:space="preserve"> percent of the 60,000 EITC recipients living in the city</w:t>
      </w:r>
      <w:r w:rsidR="00D87F6C">
        <w:rPr>
          <w:rFonts w:ascii="Times New Roman" w:hAnsi="Times New Roman" w:cs="Times New Roman"/>
          <w:sz w:val="24"/>
          <w:szCs w:val="24"/>
        </w:rPr>
        <w:t xml:space="preserve"> </w:t>
      </w:r>
      <w:r w:rsidR="000B58AF" w:rsidRPr="00921D4A">
        <w:rPr>
          <w:rFonts w:ascii="Times New Roman" w:hAnsi="Times New Roman" w:cs="Times New Roman"/>
          <w:sz w:val="24"/>
          <w:szCs w:val="24"/>
        </w:rPr>
        <w:t xml:space="preserve">will lose a total of $16.4 million in federal and local EITC payments in 2021 while gaining $54.6 million in additional labor income by way of the $15 MWP. This suggests that the $15 MWP will shift some </w:t>
      </w:r>
      <w:r w:rsidR="00FD2629">
        <w:rPr>
          <w:rFonts w:ascii="Times New Roman" w:hAnsi="Times New Roman" w:cs="Times New Roman"/>
          <w:sz w:val="24"/>
          <w:szCs w:val="24"/>
        </w:rPr>
        <w:t xml:space="preserve">of the </w:t>
      </w:r>
      <w:r w:rsidR="00466589">
        <w:rPr>
          <w:rFonts w:ascii="Times New Roman" w:hAnsi="Times New Roman" w:cs="Times New Roman"/>
          <w:sz w:val="24"/>
          <w:szCs w:val="24"/>
        </w:rPr>
        <w:t>costs associated with</w:t>
      </w:r>
      <w:r w:rsidR="00466589" w:rsidRPr="00921D4A">
        <w:rPr>
          <w:rFonts w:ascii="Times New Roman" w:hAnsi="Times New Roman" w:cs="Times New Roman"/>
          <w:sz w:val="24"/>
          <w:szCs w:val="24"/>
        </w:rPr>
        <w:t xml:space="preserve"> </w:t>
      </w:r>
      <w:r w:rsidR="000B58AF" w:rsidRPr="00921D4A">
        <w:rPr>
          <w:rFonts w:ascii="Times New Roman" w:hAnsi="Times New Roman" w:cs="Times New Roman"/>
          <w:sz w:val="24"/>
          <w:szCs w:val="24"/>
        </w:rPr>
        <w:t xml:space="preserve">income support for the working poor from </w:t>
      </w:r>
      <w:r>
        <w:rPr>
          <w:rFonts w:ascii="Times New Roman" w:hAnsi="Times New Roman" w:cs="Times New Roman"/>
          <w:sz w:val="24"/>
          <w:szCs w:val="24"/>
        </w:rPr>
        <w:t>local government</w:t>
      </w:r>
      <w:r w:rsidR="000B58AF" w:rsidRPr="00921D4A">
        <w:rPr>
          <w:rFonts w:ascii="Times New Roman" w:hAnsi="Times New Roman" w:cs="Times New Roman"/>
          <w:sz w:val="24"/>
          <w:szCs w:val="24"/>
        </w:rPr>
        <w:t xml:space="preserve"> to the private sector.</w:t>
      </w:r>
      <w:r w:rsidR="00FD2629">
        <w:rPr>
          <w:rFonts w:ascii="Times New Roman" w:hAnsi="Times New Roman" w:cs="Times New Roman"/>
          <w:sz w:val="24"/>
          <w:szCs w:val="24"/>
        </w:rPr>
        <w:t xml:space="preserve">  </w:t>
      </w:r>
    </w:p>
    <w:p w14:paraId="7F1F6784" w14:textId="20577CE1" w:rsidR="000B58AF" w:rsidRPr="007F3CAB" w:rsidRDefault="00FD549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CGE models can help inform policymakers on the potential benefits and consequences of major </w:t>
      </w:r>
      <w:r w:rsidRPr="00BD0C2B">
        <w:rPr>
          <w:rFonts w:ascii="Times New Roman" w:hAnsi="Times New Roman" w:cs="Times New Roman"/>
          <w:sz w:val="24"/>
          <w:szCs w:val="24"/>
        </w:rPr>
        <w:t>policy changes.</w:t>
      </w:r>
      <w:r>
        <w:rPr>
          <w:rFonts w:ascii="Times New Roman" w:hAnsi="Times New Roman" w:cs="Times New Roman"/>
          <w:sz w:val="24"/>
          <w:szCs w:val="24"/>
        </w:rPr>
        <w:t xml:space="preserve"> </w:t>
      </w:r>
      <w:r w:rsidRPr="00BD0C2B">
        <w:rPr>
          <w:rFonts w:ascii="Times New Roman" w:hAnsi="Times New Roman" w:cs="Times New Roman"/>
          <w:sz w:val="24"/>
          <w:szCs w:val="24"/>
        </w:rPr>
        <w:t>The</w:t>
      </w:r>
      <w:r>
        <w:rPr>
          <w:rFonts w:ascii="Times New Roman" w:hAnsi="Times New Roman" w:cs="Times New Roman"/>
          <w:sz w:val="24"/>
          <w:szCs w:val="24"/>
        </w:rPr>
        <w:t xml:space="preserve">ir </w:t>
      </w:r>
      <w:r w:rsidRPr="00BD0C2B">
        <w:rPr>
          <w:rFonts w:ascii="Times New Roman" w:hAnsi="Times New Roman" w:cs="Times New Roman"/>
          <w:sz w:val="24"/>
          <w:szCs w:val="24"/>
        </w:rPr>
        <w:t xml:space="preserve">use </w:t>
      </w:r>
      <w:r>
        <w:rPr>
          <w:rFonts w:ascii="Times New Roman" w:hAnsi="Times New Roman" w:cs="Times New Roman"/>
          <w:sz w:val="24"/>
          <w:szCs w:val="24"/>
        </w:rPr>
        <w:t xml:space="preserve">at all levels of government reflect </w:t>
      </w:r>
      <w:r w:rsidRPr="00BD0C2B">
        <w:rPr>
          <w:rFonts w:ascii="Times New Roman" w:hAnsi="Times New Roman" w:cs="Times New Roman"/>
          <w:sz w:val="24"/>
          <w:szCs w:val="24"/>
        </w:rPr>
        <w:t xml:space="preserve">the </w:t>
      </w:r>
      <w:r>
        <w:rPr>
          <w:rFonts w:ascii="Times New Roman" w:hAnsi="Times New Roman" w:cs="Times New Roman"/>
          <w:sz w:val="24"/>
          <w:szCs w:val="24"/>
        </w:rPr>
        <w:t xml:space="preserve">needs of policymakers and elected officials, who are called upon to report how economic policy decisions will potentially help or harm constituencies. </w:t>
      </w:r>
      <w:r w:rsidR="000B58AF" w:rsidRPr="00921D4A">
        <w:rPr>
          <w:rFonts w:ascii="Times New Roman" w:hAnsi="Times New Roman" w:cs="Times New Roman"/>
          <w:sz w:val="24"/>
          <w:szCs w:val="24"/>
        </w:rPr>
        <w:t xml:space="preserve">While previous </w:t>
      </w:r>
      <w:r w:rsidR="00FD2629">
        <w:rPr>
          <w:rFonts w:ascii="Times New Roman" w:hAnsi="Times New Roman" w:cs="Times New Roman"/>
          <w:sz w:val="24"/>
          <w:szCs w:val="24"/>
        </w:rPr>
        <w:t xml:space="preserve">minimum wage </w:t>
      </w:r>
      <w:r w:rsidR="000B58AF" w:rsidRPr="00921D4A">
        <w:rPr>
          <w:rFonts w:ascii="Times New Roman" w:hAnsi="Times New Roman" w:cs="Times New Roman"/>
          <w:sz w:val="24"/>
          <w:szCs w:val="24"/>
        </w:rPr>
        <w:t xml:space="preserve">studies </w:t>
      </w:r>
      <w:r w:rsidR="00466589">
        <w:rPr>
          <w:rFonts w:ascii="Times New Roman" w:hAnsi="Times New Roman" w:cs="Times New Roman"/>
          <w:sz w:val="24"/>
          <w:szCs w:val="24"/>
        </w:rPr>
        <w:t xml:space="preserve">generally </w:t>
      </w:r>
      <w:r w:rsidR="000B58AF" w:rsidRPr="00921D4A">
        <w:rPr>
          <w:rFonts w:ascii="Times New Roman" w:hAnsi="Times New Roman" w:cs="Times New Roman"/>
          <w:sz w:val="24"/>
          <w:szCs w:val="24"/>
        </w:rPr>
        <w:t>examine</w:t>
      </w:r>
      <w:r w:rsidR="00466589">
        <w:rPr>
          <w:rFonts w:ascii="Times New Roman" w:hAnsi="Times New Roman" w:cs="Times New Roman"/>
          <w:sz w:val="24"/>
          <w:szCs w:val="24"/>
        </w:rPr>
        <w:t>d</w:t>
      </w:r>
      <w:r w:rsidR="000B58AF" w:rsidRPr="00921D4A">
        <w:rPr>
          <w:rFonts w:ascii="Times New Roman" w:hAnsi="Times New Roman" w:cs="Times New Roman"/>
          <w:sz w:val="24"/>
          <w:szCs w:val="24"/>
        </w:rPr>
        <w:t xml:space="preserve"> modest increases to the minimum wage, the District of Columbia is on track to nearly double its minimum wage over a seven-year period. Over this </w:t>
      </w:r>
      <w:r w:rsidR="008E592D" w:rsidRPr="000B58AF">
        <w:rPr>
          <w:rFonts w:ascii="Times New Roman" w:hAnsi="Times New Roman" w:cs="Times New Roman"/>
          <w:sz w:val="24"/>
          <w:szCs w:val="24"/>
        </w:rPr>
        <w:t>time,</w:t>
      </w:r>
      <w:r w:rsidR="000B58AF" w:rsidRPr="00921D4A">
        <w:rPr>
          <w:rFonts w:ascii="Times New Roman" w:hAnsi="Times New Roman" w:cs="Times New Roman"/>
          <w:sz w:val="24"/>
          <w:szCs w:val="24"/>
        </w:rPr>
        <w:t xml:space="preserve"> it is plausible that neighboring jurisdiction policies, or even the federal government, could change minimum wage</w:t>
      </w:r>
      <w:r>
        <w:rPr>
          <w:rFonts w:ascii="Times New Roman" w:hAnsi="Times New Roman" w:cs="Times New Roman"/>
          <w:sz w:val="24"/>
          <w:szCs w:val="24"/>
        </w:rPr>
        <w:t xml:space="preserve"> as well,</w:t>
      </w:r>
      <w:r w:rsidRPr="00921D4A">
        <w:rPr>
          <w:rFonts w:ascii="Times New Roman" w:hAnsi="Times New Roman" w:cs="Times New Roman"/>
          <w:sz w:val="24"/>
          <w:szCs w:val="24"/>
        </w:rPr>
        <w:t xml:space="preserve"> </w:t>
      </w:r>
      <w:r w:rsidR="000B58AF" w:rsidRPr="00921D4A">
        <w:rPr>
          <w:rFonts w:ascii="Times New Roman" w:hAnsi="Times New Roman" w:cs="Times New Roman"/>
          <w:sz w:val="24"/>
          <w:szCs w:val="24"/>
        </w:rPr>
        <w:t xml:space="preserve">further altering firm, worker, and consumer incentives. This doubling of the city’s minimum wage will also take place as the city implements a newly enacted Universal Paid Leave Policy, which also raises business costs. Assessments of local minimum wage impacts should </w:t>
      </w:r>
      <w:r>
        <w:rPr>
          <w:rFonts w:ascii="Times New Roman" w:hAnsi="Times New Roman" w:cs="Times New Roman"/>
          <w:sz w:val="24"/>
          <w:szCs w:val="24"/>
        </w:rPr>
        <w:t xml:space="preserve">therefore </w:t>
      </w:r>
      <w:r w:rsidR="000B58AF" w:rsidRPr="00921D4A">
        <w:rPr>
          <w:rFonts w:ascii="Times New Roman" w:hAnsi="Times New Roman" w:cs="Times New Roman"/>
          <w:sz w:val="24"/>
          <w:szCs w:val="24"/>
        </w:rPr>
        <w:lastRenderedPageBreak/>
        <w:t xml:space="preserve">acknowledge such potentially confounding factors by considering how worker and firm-level responses could vary in relation to </w:t>
      </w:r>
      <w:r>
        <w:rPr>
          <w:rFonts w:ascii="Times New Roman" w:hAnsi="Times New Roman" w:cs="Times New Roman"/>
          <w:sz w:val="24"/>
          <w:szCs w:val="24"/>
        </w:rPr>
        <w:t>a</w:t>
      </w:r>
      <w:r w:rsidRPr="00921D4A">
        <w:rPr>
          <w:rFonts w:ascii="Times New Roman" w:hAnsi="Times New Roman" w:cs="Times New Roman"/>
          <w:sz w:val="24"/>
          <w:szCs w:val="24"/>
        </w:rPr>
        <w:t xml:space="preserve"> </w:t>
      </w:r>
      <w:r w:rsidR="000B58AF" w:rsidRPr="00921D4A">
        <w:rPr>
          <w:rFonts w:ascii="Times New Roman" w:hAnsi="Times New Roman" w:cs="Times New Roman"/>
          <w:sz w:val="24"/>
          <w:szCs w:val="24"/>
        </w:rPr>
        <w:t>combination of such factors.</w:t>
      </w:r>
    </w:p>
    <w:p w14:paraId="4CB46795" w14:textId="20F447CB" w:rsidR="00854634" w:rsidRPr="00AA108E" w:rsidRDefault="00313A6F" w:rsidP="00AA108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study finds that </w:t>
      </w:r>
      <w:r w:rsidRPr="00BD0C2B">
        <w:rPr>
          <w:rFonts w:ascii="Times New Roman" w:hAnsi="Times New Roman" w:cs="Times New Roman"/>
          <w:sz w:val="24"/>
          <w:szCs w:val="24"/>
        </w:rPr>
        <w:t>job losses</w:t>
      </w:r>
      <w:r>
        <w:rPr>
          <w:rFonts w:ascii="Times New Roman" w:hAnsi="Times New Roman" w:cs="Times New Roman"/>
          <w:sz w:val="24"/>
          <w:szCs w:val="24"/>
        </w:rPr>
        <w:t xml:space="preserve"> </w:t>
      </w:r>
      <w:r w:rsidRPr="00BD0C2B">
        <w:rPr>
          <w:rFonts w:ascii="Times New Roman" w:hAnsi="Times New Roman" w:cs="Times New Roman"/>
          <w:sz w:val="24"/>
          <w:szCs w:val="24"/>
        </w:rPr>
        <w:t xml:space="preserve">will be relatively small while </w:t>
      </w:r>
      <w:r w:rsidR="00E3131F">
        <w:rPr>
          <w:rFonts w:ascii="Times New Roman" w:hAnsi="Times New Roman" w:cs="Times New Roman"/>
          <w:sz w:val="24"/>
          <w:szCs w:val="24"/>
        </w:rPr>
        <w:t xml:space="preserve">incomes of </w:t>
      </w:r>
      <w:r w:rsidRPr="00BD0C2B">
        <w:rPr>
          <w:rFonts w:ascii="Times New Roman" w:hAnsi="Times New Roman" w:cs="Times New Roman"/>
          <w:sz w:val="24"/>
          <w:szCs w:val="24"/>
        </w:rPr>
        <w:t>most workers</w:t>
      </w:r>
      <w:r w:rsidR="00E3131F">
        <w:rPr>
          <w:rFonts w:ascii="Times New Roman" w:hAnsi="Times New Roman" w:cs="Times New Roman"/>
          <w:sz w:val="24"/>
          <w:szCs w:val="24"/>
        </w:rPr>
        <w:t xml:space="preserve"> subject to the minimum wage</w:t>
      </w:r>
      <w:r w:rsidRPr="00BD0C2B">
        <w:rPr>
          <w:rFonts w:ascii="Times New Roman" w:hAnsi="Times New Roman" w:cs="Times New Roman"/>
          <w:sz w:val="24"/>
          <w:szCs w:val="24"/>
        </w:rPr>
        <w:t xml:space="preserve"> will improve significantly</w:t>
      </w:r>
      <w:r w:rsidR="006B2745">
        <w:rPr>
          <w:rFonts w:ascii="Times New Roman" w:hAnsi="Times New Roman" w:cs="Times New Roman"/>
          <w:sz w:val="24"/>
          <w:szCs w:val="24"/>
        </w:rPr>
        <w:t>.</w:t>
      </w:r>
      <w:r w:rsidR="00781598">
        <w:rPr>
          <w:rFonts w:ascii="Times New Roman" w:hAnsi="Times New Roman" w:cs="Times New Roman"/>
          <w:sz w:val="24"/>
          <w:szCs w:val="24"/>
        </w:rPr>
        <w:t xml:space="preserve"> </w:t>
      </w:r>
      <w:r w:rsidR="006B2745">
        <w:rPr>
          <w:rFonts w:ascii="Times New Roman" w:hAnsi="Times New Roman" w:cs="Times New Roman"/>
          <w:sz w:val="24"/>
          <w:szCs w:val="24"/>
        </w:rPr>
        <w:t>C</w:t>
      </w:r>
      <w:r w:rsidR="00FD5494">
        <w:rPr>
          <w:rFonts w:ascii="Times New Roman" w:hAnsi="Times New Roman" w:cs="Times New Roman"/>
          <w:sz w:val="24"/>
          <w:szCs w:val="24"/>
        </w:rPr>
        <w:t>oncurrent</w:t>
      </w:r>
      <w:r w:rsidR="006B2745">
        <w:rPr>
          <w:rFonts w:ascii="Times New Roman" w:hAnsi="Times New Roman" w:cs="Times New Roman"/>
          <w:sz w:val="24"/>
          <w:szCs w:val="24"/>
        </w:rPr>
        <w:t>ly,</w:t>
      </w:r>
      <w:r w:rsidR="00FD5494">
        <w:rPr>
          <w:rFonts w:ascii="Times New Roman" w:hAnsi="Times New Roman" w:cs="Times New Roman"/>
          <w:sz w:val="24"/>
          <w:szCs w:val="24"/>
        </w:rPr>
        <w:t xml:space="preserve"> average</w:t>
      </w:r>
      <w:r w:rsidRPr="00BD0C2B">
        <w:rPr>
          <w:rFonts w:ascii="Times New Roman" w:hAnsi="Times New Roman" w:cs="Times New Roman"/>
          <w:sz w:val="24"/>
          <w:szCs w:val="24"/>
        </w:rPr>
        <w:t xml:space="preserve"> firm profits</w:t>
      </w:r>
      <w:r w:rsidR="006B2745">
        <w:rPr>
          <w:rFonts w:ascii="Times New Roman" w:hAnsi="Times New Roman" w:cs="Times New Roman"/>
          <w:sz w:val="24"/>
          <w:szCs w:val="24"/>
        </w:rPr>
        <w:t xml:space="preserve"> are likely to decrease. Due to reduced business competitiveness relative to the regional metro area, we expect </w:t>
      </w:r>
      <w:r w:rsidR="00D95247">
        <w:rPr>
          <w:rFonts w:ascii="Times New Roman" w:hAnsi="Times New Roman" w:cs="Times New Roman"/>
          <w:sz w:val="24"/>
          <w:szCs w:val="24"/>
        </w:rPr>
        <w:t xml:space="preserve">less than </w:t>
      </w:r>
      <w:r w:rsidR="00B91D19">
        <w:rPr>
          <w:rFonts w:ascii="Times New Roman" w:hAnsi="Times New Roman" w:cs="Times New Roman"/>
          <w:sz w:val="24"/>
          <w:szCs w:val="24"/>
        </w:rPr>
        <w:t>a one-half</w:t>
      </w:r>
      <w:r w:rsidR="00D95247">
        <w:rPr>
          <w:rFonts w:ascii="Times New Roman" w:hAnsi="Times New Roman" w:cs="Times New Roman"/>
          <w:sz w:val="24"/>
          <w:szCs w:val="24"/>
        </w:rPr>
        <w:t xml:space="preserve"> percentage point loss in </w:t>
      </w:r>
      <w:r w:rsidR="00EC1C5B">
        <w:rPr>
          <w:rFonts w:ascii="Times New Roman" w:hAnsi="Times New Roman" w:cs="Times New Roman"/>
          <w:sz w:val="24"/>
          <w:szCs w:val="24"/>
        </w:rPr>
        <w:t>gross state product</w:t>
      </w:r>
      <w:r w:rsidRPr="00BD0C2B">
        <w:rPr>
          <w:rFonts w:ascii="Times New Roman" w:hAnsi="Times New Roman" w:cs="Times New Roman"/>
          <w:sz w:val="24"/>
          <w:szCs w:val="24"/>
        </w:rPr>
        <w:t xml:space="preserve">. </w:t>
      </w:r>
      <w:r w:rsidR="00466589">
        <w:rPr>
          <w:rFonts w:ascii="Times New Roman" w:hAnsi="Times New Roman" w:cs="Times New Roman"/>
          <w:sz w:val="24"/>
          <w:szCs w:val="24"/>
        </w:rPr>
        <w:t>U</w:t>
      </w:r>
      <w:r w:rsidR="000B58AF" w:rsidRPr="00921D4A">
        <w:rPr>
          <w:rFonts w:ascii="Times New Roman" w:hAnsi="Times New Roman" w:cs="Times New Roman"/>
          <w:sz w:val="24"/>
          <w:szCs w:val="24"/>
        </w:rPr>
        <w:t xml:space="preserve">ltimately, </w:t>
      </w:r>
      <w:r w:rsidR="00466589">
        <w:rPr>
          <w:rFonts w:ascii="Times New Roman" w:hAnsi="Times New Roman" w:cs="Times New Roman"/>
          <w:sz w:val="24"/>
          <w:szCs w:val="24"/>
        </w:rPr>
        <w:t>assessing</w:t>
      </w:r>
      <w:r w:rsidR="00466589" w:rsidRPr="00921D4A">
        <w:rPr>
          <w:rFonts w:ascii="Times New Roman" w:hAnsi="Times New Roman" w:cs="Times New Roman"/>
          <w:sz w:val="24"/>
          <w:szCs w:val="24"/>
        </w:rPr>
        <w:t xml:space="preserve"> </w:t>
      </w:r>
      <w:r w:rsidR="000B58AF" w:rsidRPr="00921D4A">
        <w:rPr>
          <w:rFonts w:ascii="Times New Roman" w:hAnsi="Times New Roman" w:cs="Times New Roman"/>
          <w:sz w:val="24"/>
          <w:szCs w:val="24"/>
        </w:rPr>
        <w:t xml:space="preserve">the overall impacts of </w:t>
      </w:r>
      <w:r>
        <w:rPr>
          <w:rFonts w:ascii="Times New Roman" w:hAnsi="Times New Roman" w:cs="Times New Roman"/>
          <w:sz w:val="24"/>
          <w:szCs w:val="24"/>
        </w:rPr>
        <w:t xml:space="preserve">a </w:t>
      </w:r>
      <w:r w:rsidR="000B58AF" w:rsidRPr="00921D4A">
        <w:rPr>
          <w:rFonts w:ascii="Times New Roman" w:hAnsi="Times New Roman" w:cs="Times New Roman"/>
          <w:sz w:val="24"/>
          <w:szCs w:val="24"/>
        </w:rPr>
        <w:t>$15 MWP will depend</w:t>
      </w:r>
      <w:r w:rsidR="00466589">
        <w:rPr>
          <w:rFonts w:ascii="Times New Roman" w:hAnsi="Times New Roman" w:cs="Times New Roman"/>
          <w:sz w:val="24"/>
          <w:szCs w:val="24"/>
        </w:rPr>
        <w:t>,</w:t>
      </w:r>
      <w:r w:rsidR="000B58AF" w:rsidRPr="00921D4A">
        <w:rPr>
          <w:rFonts w:ascii="Times New Roman" w:hAnsi="Times New Roman" w:cs="Times New Roman"/>
          <w:sz w:val="24"/>
          <w:szCs w:val="24"/>
        </w:rPr>
        <w:t xml:space="preserve"> in large part</w:t>
      </w:r>
      <w:r w:rsidR="00466589">
        <w:rPr>
          <w:rFonts w:ascii="Times New Roman" w:hAnsi="Times New Roman" w:cs="Times New Roman"/>
          <w:sz w:val="24"/>
          <w:szCs w:val="24"/>
        </w:rPr>
        <w:t>,</w:t>
      </w:r>
      <w:r w:rsidR="000B58AF" w:rsidRPr="00921D4A">
        <w:rPr>
          <w:rFonts w:ascii="Times New Roman" w:hAnsi="Times New Roman" w:cs="Times New Roman"/>
          <w:sz w:val="24"/>
          <w:szCs w:val="24"/>
        </w:rPr>
        <w:t xml:space="preserve"> on the </w:t>
      </w:r>
      <w:r w:rsidR="008424DA">
        <w:rPr>
          <w:rFonts w:ascii="Times New Roman" w:hAnsi="Times New Roman" w:cs="Times New Roman"/>
          <w:sz w:val="24"/>
          <w:szCs w:val="24"/>
        </w:rPr>
        <w:t xml:space="preserve">balance </w:t>
      </w:r>
      <w:r w:rsidR="000B58AF" w:rsidRPr="00921D4A">
        <w:rPr>
          <w:rFonts w:ascii="Times New Roman" w:hAnsi="Times New Roman" w:cs="Times New Roman"/>
          <w:sz w:val="24"/>
          <w:szCs w:val="24"/>
        </w:rPr>
        <w:t>of</w:t>
      </w:r>
      <w:r>
        <w:rPr>
          <w:rFonts w:ascii="Times New Roman" w:hAnsi="Times New Roman" w:cs="Times New Roman"/>
          <w:sz w:val="24"/>
          <w:szCs w:val="24"/>
        </w:rPr>
        <w:t xml:space="preserve"> </w:t>
      </w:r>
      <w:r w:rsidR="000B58AF" w:rsidRPr="00921D4A">
        <w:rPr>
          <w:rFonts w:ascii="Times New Roman" w:hAnsi="Times New Roman" w:cs="Times New Roman"/>
          <w:sz w:val="24"/>
          <w:szCs w:val="24"/>
        </w:rPr>
        <w:t xml:space="preserve">worker incomes vis-à-vis </w:t>
      </w:r>
      <w:r w:rsidRPr="00BD0C2B">
        <w:rPr>
          <w:rFonts w:ascii="Times New Roman" w:hAnsi="Times New Roman" w:cs="Times New Roman"/>
          <w:sz w:val="24"/>
          <w:szCs w:val="24"/>
        </w:rPr>
        <w:t>business profits and competitiveness</w:t>
      </w:r>
      <w:r w:rsidR="000B58AF" w:rsidRPr="00921D4A">
        <w:rPr>
          <w:rFonts w:ascii="Times New Roman" w:hAnsi="Times New Roman" w:cs="Times New Roman"/>
          <w:sz w:val="24"/>
          <w:szCs w:val="24"/>
        </w:rPr>
        <w:t xml:space="preserve"> for a given state or local economy.  </w:t>
      </w:r>
      <w:r w:rsidR="00960D9B">
        <w:rPr>
          <w:rFonts w:ascii="Times New Roman" w:hAnsi="Times New Roman" w:cs="Times New Roman"/>
          <w:sz w:val="24"/>
          <w:szCs w:val="24"/>
        </w:rPr>
        <w:t xml:space="preserve">Distinguishing economic welfare </w:t>
      </w:r>
      <w:r w:rsidR="00FD5494">
        <w:rPr>
          <w:rFonts w:ascii="Times New Roman" w:hAnsi="Times New Roman" w:cs="Times New Roman"/>
          <w:sz w:val="24"/>
          <w:szCs w:val="24"/>
        </w:rPr>
        <w:t>across</w:t>
      </w:r>
      <w:r w:rsidR="00960D9B">
        <w:rPr>
          <w:rFonts w:ascii="Times New Roman" w:hAnsi="Times New Roman" w:cs="Times New Roman"/>
          <w:sz w:val="24"/>
          <w:szCs w:val="24"/>
        </w:rPr>
        <w:t xml:space="preserve"> opposite sides of the market—</w:t>
      </w:r>
      <w:r w:rsidR="000B58AF" w:rsidRPr="00921D4A">
        <w:rPr>
          <w:rFonts w:ascii="Times New Roman" w:hAnsi="Times New Roman" w:cs="Times New Roman"/>
          <w:sz w:val="24"/>
          <w:szCs w:val="24"/>
        </w:rPr>
        <w:t>business profits and competitiveness versus increased worker</w:t>
      </w:r>
      <w:r>
        <w:rPr>
          <w:rFonts w:ascii="Times New Roman" w:hAnsi="Times New Roman" w:cs="Times New Roman"/>
          <w:sz w:val="24"/>
          <w:szCs w:val="24"/>
        </w:rPr>
        <w:t xml:space="preserve"> well-being</w:t>
      </w:r>
      <w:r w:rsidR="000B58AF" w:rsidRPr="00921D4A">
        <w:rPr>
          <w:rFonts w:ascii="Times New Roman" w:hAnsi="Times New Roman" w:cs="Times New Roman"/>
          <w:sz w:val="24"/>
          <w:szCs w:val="24"/>
        </w:rPr>
        <w:t xml:space="preserve"> </w:t>
      </w:r>
      <w:r>
        <w:rPr>
          <w:rFonts w:ascii="Times New Roman" w:hAnsi="Times New Roman" w:cs="Times New Roman"/>
          <w:sz w:val="24"/>
          <w:szCs w:val="24"/>
        </w:rPr>
        <w:t>(particularly workers at and near the bottom of the income distribution</w:t>
      </w:r>
      <w:r w:rsidR="00960D9B">
        <w:rPr>
          <w:rFonts w:ascii="Times New Roman" w:hAnsi="Times New Roman" w:cs="Times New Roman"/>
          <w:sz w:val="24"/>
          <w:szCs w:val="24"/>
        </w:rPr>
        <w:t xml:space="preserve">)—is challenging, </w:t>
      </w:r>
      <w:r w:rsidR="00FD5494">
        <w:rPr>
          <w:rFonts w:ascii="Times New Roman" w:hAnsi="Times New Roman" w:cs="Times New Roman"/>
          <w:sz w:val="24"/>
          <w:szCs w:val="24"/>
        </w:rPr>
        <w:t>especially when</w:t>
      </w:r>
      <w:r w:rsidR="00960D9B">
        <w:rPr>
          <w:rFonts w:ascii="Times New Roman" w:hAnsi="Times New Roman" w:cs="Times New Roman"/>
          <w:sz w:val="24"/>
          <w:szCs w:val="24"/>
        </w:rPr>
        <w:t xml:space="preserve"> many workers derive much of their identity, satisfaction, and self-worth via the workplace</w:t>
      </w:r>
      <w:r w:rsidR="000B58AF" w:rsidRPr="00921D4A">
        <w:rPr>
          <w:rFonts w:ascii="Times New Roman" w:hAnsi="Times New Roman" w:cs="Times New Roman"/>
          <w:sz w:val="24"/>
          <w:szCs w:val="24"/>
        </w:rPr>
        <w:t>.</w:t>
      </w:r>
      <w:r w:rsidR="00FD5494">
        <w:rPr>
          <w:rFonts w:ascii="Times New Roman" w:hAnsi="Times New Roman" w:cs="Times New Roman"/>
          <w:sz w:val="24"/>
          <w:szCs w:val="24"/>
        </w:rPr>
        <w:t xml:space="preserve"> In the case of DC, the model suggests only small disruptions to employment and average firm profits. </w:t>
      </w:r>
    </w:p>
    <w:p w14:paraId="5B938169" w14:textId="77777777" w:rsidR="006B2745" w:rsidRDefault="006B2745" w:rsidP="00854634">
      <w:pPr>
        <w:outlineLvl w:val="0"/>
        <w:rPr>
          <w:rFonts w:ascii="Times New Roman" w:hAnsi="Times New Roman" w:cs="Times New Roman"/>
          <w:sz w:val="24"/>
          <w:szCs w:val="24"/>
        </w:rPr>
      </w:pPr>
    </w:p>
    <w:p w14:paraId="3E55AF78" w14:textId="77777777" w:rsidR="006B2745" w:rsidRDefault="006B2745" w:rsidP="00854634">
      <w:pPr>
        <w:outlineLvl w:val="0"/>
        <w:rPr>
          <w:rFonts w:ascii="Times New Roman" w:hAnsi="Times New Roman" w:cs="Times New Roman"/>
          <w:sz w:val="24"/>
          <w:szCs w:val="24"/>
        </w:rPr>
      </w:pPr>
    </w:p>
    <w:p w14:paraId="4BFE0C4A" w14:textId="77777777" w:rsidR="006B2745" w:rsidRDefault="006B2745" w:rsidP="00854634">
      <w:pPr>
        <w:outlineLvl w:val="0"/>
        <w:rPr>
          <w:rFonts w:ascii="Times New Roman" w:hAnsi="Times New Roman" w:cs="Times New Roman"/>
          <w:sz w:val="24"/>
          <w:szCs w:val="24"/>
        </w:rPr>
      </w:pPr>
    </w:p>
    <w:p w14:paraId="30D08439" w14:textId="77777777" w:rsidR="006B2745" w:rsidRDefault="006B2745" w:rsidP="00854634">
      <w:pPr>
        <w:outlineLvl w:val="0"/>
        <w:rPr>
          <w:rFonts w:ascii="Times New Roman" w:hAnsi="Times New Roman" w:cs="Times New Roman"/>
          <w:sz w:val="24"/>
          <w:szCs w:val="24"/>
        </w:rPr>
      </w:pPr>
    </w:p>
    <w:p w14:paraId="5B55F94B" w14:textId="77777777" w:rsidR="006B2745" w:rsidRDefault="006B2745" w:rsidP="00854634">
      <w:pPr>
        <w:outlineLvl w:val="0"/>
        <w:rPr>
          <w:rFonts w:ascii="Times New Roman" w:hAnsi="Times New Roman" w:cs="Times New Roman"/>
          <w:sz w:val="24"/>
          <w:szCs w:val="24"/>
        </w:rPr>
      </w:pPr>
    </w:p>
    <w:p w14:paraId="0141839C" w14:textId="77777777" w:rsidR="006B2745" w:rsidRDefault="006B2745" w:rsidP="00854634">
      <w:pPr>
        <w:outlineLvl w:val="0"/>
        <w:rPr>
          <w:rFonts w:ascii="Times New Roman" w:hAnsi="Times New Roman" w:cs="Times New Roman"/>
          <w:sz w:val="24"/>
          <w:szCs w:val="24"/>
        </w:rPr>
      </w:pPr>
    </w:p>
    <w:p w14:paraId="69CB1CC9" w14:textId="77777777" w:rsidR="006B2745" w:rsidRDefault="006B2745" w:rsidP="00854634">
      <w:pPr>
        <w:outlineLvl w:val="0"/>
        <w:rPr>
          <w:rFonts w:ascii="Times New Roman" w:hAnsi="Times New Roman" w:cs="Times New Roman"/>
          <w:sz w:val="24"/>
          <w:szCs w:val="24"/>
        </w:rPr>
      </w:pPr>
    </w:p>
    <w:p w14:paraId="45F7D87A" w14:textId="77777777" w:rsidR="006B2745" w:rsidRDefault="006B2745" w:rsidP="00854634">
      <w:pPr>
        <w:outlineLvl w:val="0"/>
        <w:rPr>
          <w:rFonts w:ascii="Times New Roman" w:hAnsi="Times New Roman" w:cs="Times New Roman"/>
          <w:sz w:val="24"/>
          <w:szCs w:val="24"/>
        </w:rPr>
      </w:pPr>
    </w:p>
    <w:p w14:paraId="2767BE18" w14:textId="77777777" w:rsidR="006B2745" w:rsidRDefault="006B2745" w:rsidP="00854634">
      <w:pPr>
        <w:outlineLvl w:val="0"/>
        <w:rPr>
          <w:rFonts w:ascii="Times New Roman" w:hAnsi="Times New Roman" w:cs="Times New Roman"/>
          <w:sz w:val="24"/>
          <w:szCs w:val="24"/>
        </w:rPr>
      </w:pPr>
    </w:p>
    <w:p w14:paraId="26A8A6D4" w14:textId="77777777" w:rsidR="006B2745" w:rsidRDefault="006B2745" w:rsidP="00854634">
      <w:pPr>
        <w:outlineLvl w:val="0"/>
        <w:rPr>
          <w:rFonts w:ascii="Times New Roman" w:hAnsi="Times New Roman" w:cs="Times New Roman"/>
          <w:sz w:val="24"/>
          <w:szCs w:val="24"/>
        </w:rPr>
      </w:pPr>
    </w:p>
    <w:p w14:paraId="621CBED1" w14:textId="685C05D5" w:rsidR="00854634" w:rsidRPr="0010540C" w:rsidRDefault="00854634" w:rsidP="00854634">
      <w:pPr>
        <w:outlineLvl w:val="0"/>
        <w:rPr>
          <w:rFonts w:ascii="Times New Roman" w:hAnsi="Times New Roman" w:cs="Times New Roman"/>
          <w:sz w:val="24"/>
          <w:szCs w:val="24"/>
        </w:rPr>
      </w:pPr>
      <w:r w:rsidRPr="00273446">
        <w:rPr>
          <w:rFonts w:ascii="Times New Roman" w:hAnsi="Times New Roman" w:cs="Times New Roman"/>
          <w:sz w:val="24"/>
          <w:szCs w:val="24"/>
        </w:rPr>
        <w:lastRenderedPageBreak/>
        <w:t>REFERENCES</w:t>
      </w:r>
    </w:p>
    <w:p w14:paraId="03D146C0" w14:textId="77777777" w:rsidR="00854634" w:rsidRDefault="00854634" w:rsidP="00854634">
      <w:pPr>
        <w:ind w:left="720" w:hanging="720"/>
        <w:contextualSpacing/>
        <w:rPr>
          <w:rFonts w:ascii="Times New Roman" w:hAnsi="Times New Roman" w:cs="Times New Roman"/>
          <w:sz w:val="24"/>
          <w:szCs w:val="24"/>
        </w:rPr>
      </w:pPr>
      <w:proofErr w:type="spellStart"/>
      <w:proofErr w:type="gramStart"/>
      <w:r w:rsidRPr="00273446">
        <w:rPr>
          <w:rFonts w:ascii="Times New Roman" w:hAnsi="Times New Roman" w:cs="Times New Roman"/>
          <w:sz w:val="24"/>
          <w:szCs w:val="24"/>
        </w:rPr>
        <w:t>Acs</w:t>
      </w:r>
      <w:proofErr w:type="spellEnd"/>
      <w:proofErr w:type="gramEnd"/>
      <w:r w:rsidRPr="00273446">
        <w:rPr>
          <w:rFonts w:ascii="Times New Roman" w:hAnsi="Times New Roman" w:cs="Times New Roman"/>
          <w:sz w:val="24"/>
          <w:szCs w:val="24"/>
        </w:rPr>
        <w:t xml:space="preserve">, G., Wheaton, L., </w:t>
      </w:r>
      <w:proofErr w:type="spellStart"/>
      <w:r w:rsidRPr="00273446">
        <w:rPr>
          <w:rFonts w:ascii="Times New Roman" w:hAnsi="Times New Roman" w:cs="Times New Roman"/>
          <w:sz w:val="24"/>
          <w:szCs w:val="24"/>
        </w:rPr>
        <w:t>Enchautegui</w:t>
      </w:r>
      <w:proofErr w:type="spellEnd"/>
      <w:r w:rsidRPr="00273446">
        <w:rPr>
          <w:rFonts w:ascii="Times New Roman" w:hAnsi="Times New Roman" w:cs="Times New Roman"/>
          <w:sz w:val="24"/>
          <w:szCs w:val="24"/>
        </w:rPr>
        <w:t xml:space="preserve">, M., and A. Nichols. 2014. “Understanding the Implications of Raising the Minimum Wage in the District of Columbia.” Urban Institute. </w:t>
      </w:r>
    </w:p>
    <w:p w14:paraId="773C324F" w14:textId="77777777" w:rsidR="005D660E" w:rsidRDefault="005D660E" w:rsidP="005D660E">
      <w:pPr>
        <w:pStyle w:val="NoSpacing"/>
        <w:rPr>
          <w:rFonts w:ascii="Times New Roman" w:hAnsi="Times New Roman" w:cs="Times New Roman"/>
          <w:sz w:val="24"/>
          <w:szCs w:val="24"/>
        </w:rPr>
      </w:pPr>
      <w:proofErr w:type="spellStart"/>
      <w:r w:rsidRPr="005D660E">
        <w:rPr>
          <w:rFonts w:ascii="Times New Roman" w:hAnsi="Times New Roman" w:cs="Times New Roman"/>
          <w:sz w:val="24"/>
          <w:szCs w:val="24"/>
        </w:rPr>
        <w:t>Benewitz</w:t>
      </w:r>
      <w:proofErr w:type="spellEnd"/>
      <w:r w:rsidRPr="005D660E">
        <w:rPr>
          <w:rFonts w:ascii="Times New Roman" w:hAnsi="Times New Roman" w:cs="Times New Roman"/>
          <w:sz w:val="24"/>
          <w:szCs w:val="24"/>
        </w:rPr>
        <w:t>, Maurice and Robert E. Weintraub, 1964, Employment Effects of a Local Minimum</w:t>
      </w:r>
    </w:p>
    <w:p w14:paraId="77066D7B" w14:textId="413BE01A" w:rsidR="005D660E" w:rsidRPr="005D660E" w:rsidRDefault="005D660E" w:rsidP="005D660E">
      <w:pPr>
        <w:pStyle w:val="NoSpacing"/>
        <w:ind w:firstLine="720"/>
        <w:rPr>
          <w:rFonts w:ascii="Times New Roman" w:hAnsi="Times New Roman" w:cs="Times New Roman"/>
          <w:sz w:val="24"/>
          <w:szCs w:val="24"/>
        </w:rPr>
      </w:pPr>
      <w:r w:rsidRPr="005D660E">
        <w:rPr>
          <w:rFonts w:ascii="Times New Roman" w:hAnsi="Times New Roman" w:cs="Times New Roman"/>
          <w:sz w:val="24"/>
          <w:szCs w:val="24"/>
        </w:rPr>
        <w:t>Wage, ILR</w:t>
      </w:r>
      <w:r w:rsidRPr="005D660E">
        <w:rPr>
          <w:rFonts w:ascii="Times New Roman" w:hAnsi="Times New Roman" w:cs="Times New Roman"/>
          <w:i/>
          <w:sz w:val="24"/>
          <w:szCs w:val="24"/>
        </w:rPr>
        <w:t xml:space="preserve"> Review</w:t>
      </w:r>
      <w:r w:rsidRPr="005D660E">
        <w:rPr>
          <w:rFonts w:ascii="Times New Roman" w:hAnsi="Times New Roman" w:cs="Times New Roman"/>
          <w:sz w:val="24"/>
          <w:szCs w:val="24"/>
        </w:rPr>
        <w:t>, Vol. 17, No. 2 (Jan., 1964), pp. 276-288.</w:t>
      </w:r>
    </w:p>
    <w:p w14:paraId="10A8133F" w14:textId="77777777" w:rsidR="00854634" w:rsidRDefault="00854634" w:rsidP="00854634">
      <w:pPr>
        <w:spacing w:after="0" w:line="240" w:lineRule="auto"/>
        <w:ind w:left="720" w:hanging="720"/>
        <w:contextualSpacing/>
        <w:rPr>
          <w:rFonts w:ascii="Times New Roman" w:hAnsi="Times New Roman" w:cs="Times New Roman"/>
          <w:sz w:val="24"/>
          <w:szCs w:val="24"/>
        </w:rPr>
      </w:pPr>
    </w:p>
    <w:p w14:paraId="0E93D9AB" w14:textId="77777777" w:rsidR="00854634" w:rsidRDefault="00854634" w:rsidP="00854634">
      <w:pPr>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Bernstein, J., and H. </w:t>
      </w:r>
      <w:proofErr w:type="spellStart"/>
      <w:r>
        <w:rPr>
          <w:rFonts w:ascii="Times New Roman" w:hAnsi="Times New Roman" w:cs="Times New Roman"/>
          <w:sz w:val="24"/>
          <w:szCs w:val="24"/>
        </w:rPr>
        <w:t>Shierholz</w:t>
      </w:r>
      <w:proofErr w:type="spellEnd"/>
      <w:r>
        <w:rPr>
          <w:rFonts w:ascii="Times New Roman" w:hAnsi="Times New Roman" w:cs="Times New Roman"/>
          <w:sz w:val="24"/>
          <w:szCs w:val="24"/>
        </w:rPr>
        <w:t xml:space="preserve">. The Minimum Wage: A Crucial Labor Standard That is Well Targeted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Low-And Moderate-Income Households. Journal of Policy Analysis and Management 33(4): 1036-1043. </w:t>
      </w:r>
    </w:p>
    <w:p w14:paraId="62DA9DE7" w14:textId="77777777" w:rsidR="00854634" w:rsidRDefault="00854634" w:rsidP="00854634">
      <w:pPr>
        <w:spacing w:after="0" w:line="240" w:lineRule="auto"/>
        <w:ind w:left="720" w:hanging="720"/>
        <w:contextualSpacing/>
        <w:rPr>
          <w:rFonts w:ascii="Times New Roman" w:hAnsi="Times New Roman" w:cs="Times New Roman"/>
          <w:sz w:val="24"/>
          <w:szCs w:val="24"/>
        </w:rPr>
      </w:pPr>
    </w:p>
    <w:p w14:paraId="59122526" w14:textId="77777777" w:rsidR="00854634" w:rsidRPr="00273446" w:rsidRDefault="00854634" w:rsidP="00854634">
      <w:pPr>
        <w:ind w:left="720" w:hanging="720"/>
        <w:contextualSpacing/>
        <w:rPr>
          <w:rFonts w:ascii="Times New Roman" w:hAnsi="Times New Roman" w:cs="Times New Roman"/>
          <w:sz w:val="24"/>
          <w:szCs w:val="24"/>
        </w:rPr>
      </w:pPr>
      <w:proofErr w:type="spellStart"/>
      <w:r w:rsidRPr="006E31BF">
        <w:rPr>
          <w:rFonts w:ascii="Times New Roman" w:hAnsi="Times New Roman" w:cs="Times New Roman"/>
          <w:sz w:val="24"/>
          <w:szCs w:val="24"/>
        </w:rPr>
        <w:t>Boushey</w:t>
      </w:r>
      <w:proofErr w:type="spellEnd"/>
      <w:r w:rsidRPr="006E31BF">
        <w:rPr>
          <w:rFonts w:ascii="Times New Roman" w:hAnsi="Times New Roman" w:cs="Times New Roman"/>
          <w:sz w:val="24"/>
          <w:szCs w:val="24"/>
        </w:rPr>
        <w:t>, H. and Glynn, S.J. 2012. “There Are Significant Business Costs to Replacing Employees, Center for American Progress,” November 16, 2012.</w:t>
      </w:r>
    </w:p>
    <w:p w14:paraId="68553920" w14:textId="77777777" w:rsidR="00ED14E2" w:rsidRDefault="00ED14E2" w:rsidP="00854634">
      <w:pPr>
        <w:shd w:val="clear" w:color="auto" w:fill="FFFFFF"/>
        <w:spacing w:after="0" w:line="240" w:lineRule="auto"/>
        <w:ind w:left="720" w:hanging="720"/>
        <w:rPr>
          <w:rFonts w:ascii="Times New Roman" w:hAnsi="Times New Roman" w:cs="Times New Roman"/>
          <w:sz w:val="24"/>
          <w:szCs w:val="24"/>
        </w:rPr>
      </w:pPr>
    </w:p>
    <w:p w14:paraId="01F2CC45" w14:textId="22D412D2" w:rsidR="00854634" w:rsidRDefault="00ED14E2" w:rsidP="00854634">
      <w:pPr>
        <w:shd w:val="clear" w:color="auto" w:fill="FFFFFF"/>
        <w:spacing w:after="0" w:line="240" w:lineRule="auto"/>
        <w:ind w:left="720" w:hanging="720"/>
        <w:rPr>
          <w:rFonts w:ascii="Times New Roman" w:hAnsi="Times New Roman" w:cs="Times New Roman"/>
          <w:sz w:val="24"/>
          <w:szCs w:val="24"/>
        </w:rPr>
      </w:pPr>
      <w:proofErr w:type="spellStart"/>
      <w:r w:rsidRPr="00ED14E2">
        <w:rPr>
          <w:rFonts w:ascii="Times New Roman" w:hAnsi="Times New Roman" w:cs="Times New Roman"/>
          <w:sz w:val="24"/>
          <w:szCs w:val="24"/>
        </w:rPr>
        <w:t>Burfisher</w:t>
      </w:r>
      <w:proofErr w:type="spellEnd"/>
      <w:r>
        <w:rPr>
          <w:rFonts w:ascii="Times New Roman" w:hAnsi="Times New Roman" w:cs="Times New Roman"/>
          <w:sz w:val="24"/>
          <w:szCs w:val="24"/>
        </w:rPr>
        <w:t xml:space="preserve">, Mary E., 2011, Introduction to Computable General Equilibrium Models. </w:t>
      </w:r>
      <w:r w:rsidR="00822A63">
        <w:rPr>
          <w:rFonts w:ascii="Times New Roman" w:hAnsi="Times New Roman" w:cs="Times New Roman"/>
          <w:sz w:val="24"/>
          <w:szCs w:val="24"/>
        </w:rPr>
        <w:t xml:space="preserve">Cambridge: </w:t>
      </w:r>
      <w:r>
        <w:rPr>
          <w:rFonts w:ascii="Times New Roman" w:hAnsi="Times New Roman" w:cs="Times New Roman"/>
          <w:sz w:val="24"/>
          <w:szCs w:val="24"/>
        </w:rPr>
        <w:t>Cambridge University Press.</w:t>
      </w:r>
    </w:p>
    <w:p w14:paraId="5DED1890" w14:textId="77777777" w:rsidR="00ED14E2" w:rsidRPr="00ED14E2" w:rsidRDefault="00ED14E2" w:rsidP="00854634">
      <w:pPr>
        <w:shd w:val="clear" w:color="auto" w:fill="FFFFFF"/>
        <w:spacing w:after="0" w:line="240" w:lineRule="auto"/>
        <w:ind w:left="720" w:hanging="720"/>
        <w:rPr>
          <w:rFonts w:ascii="Times New Roman" w:hAnsi="Times New Roman" w:cs="Times New Roman"/>
          <w:sz w:val="24"/>
          <w:szCs w:val="24"/>
        </w:rPr>
      </w:pPr>
    </w:p>
    <w:p w14:paraId="28280D34" w14:textId="77777777" w:rsidR="00854634" w:rsidRPr="00EC36A4" w:rsidRDefault="000502DB" w:rsidP="00854634">
      <w:pPr>
        <w:shd w:val="clear" w:color="auto" w:fill="FFFFFF"/>
        <w:ind w:left="720" w:hanging="720"/>
        <w:rPr>
          <w:rFonts w:ascii="Times New Roman" w:hAnsi="Times New Roman" w:cs="Times New Roman"/>
          <w:sz w:val="24"/>
          <w:szCs w:val="24"/>
          <w:shd w:val="clear" w:color="auto" w:fill="FFFFFF"/>
        </w:rPr>
      </w:pPr>
      <w:hyperlink r:id="rId8" w:history="1">
        <w:proofErr w:type="spellStart"/>
        <w:r w:rsidR="00854634" w:rsidRPr="005D660E">
          <w:rPr>
            <w:rStyle w:val="Hyperlink"/>
            <w:rFonts w:ascii="Times New Roman" w:hAnsi="Times New Roman" w:cs="Times New Roman"/>
            <w:color w:val="000000" w:themeColor="text1"/>
            <w:sz w:val="24"/>
            <w:szCs w:val="24"/>
            <w:u w:val="none"/>
          </w:rPr>
          <w:t>Cascio</w:t>
        </w:r>
        <w:proofErr w:type="spellEnd"/>
      </w:hyperlink>
      <w:r w:rsidR="00854634" w:rsidRPr="005D660E">
        <w:rPr>
          <w:rFonts w:ascii="Times New Roman" w:hAnsi="Times New Roman" w:cs="Times New Roman"/>
          <w:color w:val="000000" w:themeColor="text1"/>
          <w:sz w:val="24"/>
          <w:szCs w:val="24"/>
        </w:rPr>
        <w:t>,</w:t>
      </w:r>
      <w:r w:rsidR="00854634" w:rsidRPr="006848FB">
        <w:rPr>
          <w:rFonts w:ascii="Times New Roman" w:hAnsi="Times New Roman" w:cs="Times New Roman"/>
          <w:color w:val="000000" w:themeColor="text1"/>
          <w:sz w:val="24"/>
          <w:szCs w:val="24"/>
        </w:rPr>
        <w:t xml:space="preserve"> </w:t>
      </w:r>
      <w:r w:rsidR="00854634" w:rsidRPr="00EC36A4">
        <w:rPr>
          <w:rFonts w:ascii="Times New Roman" w:hAnsi="Times New Roman" w:cs="Times New Roman"/>
          <w:sz w:val="24"/>
          <w:szCs w:val="24"/>
        </w:rPr>
        <w:t xml:space="preserve">Wayne F., 2006, </w:t>
      </w:r>
      <w:proofErr w:type="gramStart"/>
      <w:r w:rsidR="00854634" w:rsidRPr="00EC36A4">
        <w:rPr>
          <w:rFonts w:ascii="Times New Roman" w:hAnsi="Times New Roman" w:cs="Times New Roman"/>
          <w:sz w:val="24"/>
          <w:szCs w:val="24"/>
        </w:rPr>
        <w:t>The</w:t>
      </w:r>
      <w:proofErr w:type="gramEnd"/>
      <w:r w:rsidR="00854634" w:rsidRPr="00EC36A4">
        <w:rPr>
          <w:rFonts w:ascii="Times New Roman" w:hAnsi="Times New Roman" w:cs="Times New Roman"/>
          <w:sz w:val="24"/>
          <w:szCs w:val="24"/>
        </w:rPr>
        <w:t xml:space="preserve"> High Cost of Low Wages, </w:t>
      </w:r>
      <w:r w:rsidR="00854634" w:rsidRPr="00EC36A4">
        <w:rPr>
          <w:rFonts w:ascii="Times New Roman" w:hAnsi="Times New Roman" w:cs="Times New Roman"/>
          <w:i/>
          <w:sz w:val="24"/>
          <w:szCs w:val="24"/>
        </w:rPr>
        <w:t>Harvard Business Review</w:t>
      </w:r>
      <w:r w:rsidR="00854634" w:rsidRPr="00EC36A4">
        <w:rPr>
          <w:rFonts w:ascii="Times New Roman" w:hAnsi="Times New Roman" w:cs="Times New Roman"/>
          <w:sz w:val="24"/>
          <w:szCs w:val="24"/>
        </w:rPr>
        <w:t xml:space="preserve">, </w:t>
      </w:r>
      <w:r w:rsidR="00854634" w:rsidRPr="00EC36A4">
        <w:rPr>
          <w:rFonts w:ascii="Times New Roman" w:hAnsi="Times New Roman" w:cs="Times New Roman"/>
          <w:sz w:val="24"/>
          <w:szCs w:val="24"/>
          <w:shd w:val="clear" w:color="auto" w:fill="FFFFFF"/>
        </w:rPr>
        <w:t>Vol. 84 Issue 12, pp. 23.</w:t>
      </w:r>
    </w:p>
    <w:p w14:paraId="238F5B09" w14:textId="77777777" w:rsidR="00854634" w:rsidRDefault="00854634" w:rsidP="00854634">
      <w:pPr>
        <w:ind w:left="720" w:hanging="720"/>
        <w:contextualSpacing/>
        <w:rPr>
          <w:rFonts w:ascii="Times New Roman" w:hAnsi="Times New Roman" w:cs="Times New Roman"/>
          <w:sz w:val="24"/>
          <w:szCs w:val="24"/>
        </w:rPr>
      </w:pPr>
      <w:r w:rsidRPr="00273446">
        <w:rPr>
          <w:rFonts w:ascii="Times New Roman" w:hAnsi="Times New Roman" w:cs="Times New Roman"/>
          <w:sz w:val="24"/>
          <w:szCs w:val="24"/>
        </w:rPr>
        <w:t xml:space="preserve">Card, D., and A.B. Krueger. 1994. “Minimum Wages and Employment: A Case Study of the Fast-Food Industry in New Jersey and Pennsylvania.” </w:t>
      </w:r>
      <w:r w:rsidRPr="00273446">
        <w:rPr>
          <w:rFonts w:ascii="Times New Roman" w:hAnsi="Times New Roman" w:cs="Times New Roman"/>
          <w:i/>
          <w:sz w:val="24"/>
          <w:szCs w:val="24"/>
        </w:rPr>
        <w:t>American Economic Review</w:t>
      </w:r>
      <w:r w:rsidRPr="00273446">
        <w:rPr>
          <w:rFonts w:ascii="Times New Roman" w:hAnsi="Times New Roman" w:cs="Times New Roman"/>
          <w:sz w:val="24"/>
          <w:szCs w:val="24"/>
        </w:rPr>
        <w:t xml:space="preserve"> 84(4): 772-93. </w:t>
      </w:r>
    </w:p>
    <w:p w14:paraId="0396462C" w14:textId="77777777" w:rsidR="00854634" w:rsidRDefault="00854634" w:rsidP="00854634">
      <w:pPr>
        <w:spacing w:after="0" w:line="240" w:lineRule="auto"/>
        <w:ind w:left="720" w:hanging="720"/>
        <w:contextualSpacing/>
        <w:rPr>
          <w:rFonts w:ascii="Times New Roman" w:hAnsi="Times New Roman" w:cs="Times New Roman"/>
          <w:sz w:val="24"/>
          <w:szCs w:val="24"/>
        </w:rPr>
      </w:pPr>
    </w:p>
    <w:p w14:paraId="4DA42543" w14:textId="77777777" w:rsidR="00854634" w:rsidRPr="00273446" w:rsidRDefault="00854634" w:rsidP="00854634">
      <w:pPr>
        <w:ind w:left="720" w:hanging="720"/>
        <w:contextualSpacing/>
        <w:rPr>
          <w:rFonts w:ascii="Times New Roman" w:hAnsi="Times New Roman" w:cs="Times New Roman"/>
          <w:sz w:val="24"/>
          <w:szCs w:val="24"/>
        </w:rPr>
      </w:pPr>
      <w:proofErr w:type="spellStart"/>
      <w:r w:rsidRPr="00273446">
        <w:rPr>
          <w:rFonts w:ascii="Times New Roman" w:hAnsi="Times New Roman" w:cs="Times New Roman"/>
          <w:sz w:val="24"/>
          <w:szCs w:val="24"/>
        </w:rPr>
        <w:t>Chetty</w:t>
      </w:r>
      <w:proofErr w:type="spellEnd"/>
      <w:r w:rsidRPr="00273446">
        <w:rPr>
          <w:rFonts w:ascii="Times New Roman" w:hAnsi="Times New Roman" w:cs="Times New Roman"/>
          <w:sz w:val="24"/>
          <w:szCs w:val="24"/>
        </w:rPr>
        <w:t xml:space="preserve">, R., J.N. Friedman, and E. </w:t>
      </w:r>
      <w:proofErr w:type="spellStart"/>
      <w:r w:rsidRPr="00273446">
        <w:rPr>
          <w:rFonts w:ascii="Times New Roman" w:hAnsi="Times New Roman" w:cs="Times New Roman"/>
          <w:sz w:val="24"/>
          <w:szCs w:val="24"/>
        </w:rPr>
        <w:t>Saez</w:t>
      </w:r>
      <w:proofErr w:type="spellEnd"/>
      <w:r w:rsidRPr="00273446">
        <w:rPr>
          <w:rFonts w:ascii="Times New Roman" w:hAnsi="Times New Roman" w:cs="Times New Roman"/>
          <w:sz w:val="24"/>
          <w:szCs w:val="24"/>
        </w:rPr>
        <w:t>. 2013. Using Differences in Knowledge across Neighborhoods to Uncover the Impacts of the EITC on Earnings.” American Economic Review, 103 (7): 2683-2721.</w:t>
      </w:r>
    </w:p>
    <w:p w14:paraId="0CF9B075" w14:textId="6A29DBAC" w:rsidR="00854634" w:rsidRDefault="00ED14E2" w:rsidP="00854634">
      <w:pPr>
        <w:spacing w:after="0" w:line="240" w:lineRule="auto"/>
        <w:ind w:left="720" w:hanging="720"/>
        <w:contextualSpacing/>
        <w:rPr>
          <w:rFonts w:ascii="Times New Roman" w:hAnsi="Times New Roman" w:cs="Times New Roman"/>
          <w:sz w:val="24"/>
          <w:szCs w:val="24"/>
        </w:rPr>
      </w:pPr>
      <w:proofErr w:type="spellStart"/>
      <w:r>
        <w:rPr>
          <w:rFonts w:ascii="Times New Roman" w:hAnsi="Times New Roman" w:cs="Times New Roman"/>
          <w:sz w:val="24"/>
          <w:szCs w:val="24"/>
        </w:rPr>
        <w:t>Ciaschini</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Pretaroli</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Severini</w:t>
      </w:r>
      <w:proofErr w:type="spellEnd"/>
      <w:r>
        <w:rPr>
          <w:rFonts w:ascii="Times New Roman" w:hAnsi="Times New Roman" w:cs="Times New Roman"/>
          <w:sz w:val="24"/>
          <w:szCs w:val="24"/>
        </w:rPr>
        <w:t xml:space="preserve">, F., and </w:t>
      </w:r>
      <w:proofErr w:type="spellStart"/>
      <w:r>
        <w:rPr>
          <w:rFonts w:ascii="Times New Roman" w:hAnsi="Times New Roman" w:cs="Times New Roman"/>
          <w:sz w:val="24"/>
          <w:szCs w:val="24"/>
        </w:rPr>
        <w:t>Socci</w:t>
      </w:r>
      <w:proofErr w:type="spellEnd"/>
      <w:r>
        <w:rPr>
          <w:rFonts w:ascii="Times New Roman" w:hAnsi="Times New Roman" w:cs="Times New Roman"/>
          <w:sz w:val="24"/>
          <w:szCs w:val="24"/>
        </w:rPr>
        <w:t>, C.</w:t>
      </w:r>
      <w:r w:rsidR="006048F5">
        <w:rPr>
          <w:rFonts w:ascii="Times New Roman" w:hAnsi="Times New Roman" w:cs="Times New Roman"/>
          <w:sz w:val="24"/>
          <w:szCs w:val="24"/>
        </w:rPr>
        <w:t xml:space="preserve"> 2014. ” Health Care Services and Economic Impact: A Dynamic CGE Approach.” Working Paper. Macerata University, Department of Finance and Economic Sciences.</w:t>
      </w:r>
    </w:p>
    <w:p w14:paraId="4993DEBA" w14:textId="77777777" w:rsidR="00061442" w:rsidRDefault="00061442" w:rsidP="00854634">
      <w:pPr>
        <w:spacing w:after="0" w:line="240" w:lineRule="auto"/>
        <w:ind w:left="720" w:hanging="720"/>
        <w:contextualSpacing/>
        <w:rPr>
          <w:rFonts w:ascii="Times New Roman" w:hAnsi="Times New Roman" w:cs="Times New Roman"/>
          <w:sz w:val="24"/>
          <w:szCs w:val="24"/>
        </w:rPr>
      </w:pPr>
    </w:p>
    <w:p w14:paraId="0B335EF8" w14:textId="7D17C2E5" w:rsidR="00061442" w:rsidRDefault="00061442" w:rsidP="007F3CAB">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Collinson, R.</w:t>
      </w:r>
      <w:r w:rsidRPr="00061442">
        <w:rPr>
          <w:rFonts w:ascii="Times New Roman" w:hAnsi="Times New Roman" w:cs="Times New Roman"/>
          <w:sz w:val="24"/>
          <w:szCs w:val="24"/>
        </w:rPr>
        <w:t>, Gould Ellen</w:t>
      </w:r>
      <w:r>
        <w:rPr>
          <w:rFonts w:ascii="Times New Roman" w:hAnsi="Times New Roman" w:cs="Times New Roman"/>
          <w:sz w:val="24"/>
          <w:szCs w:val="24"/>
        </w:rPr>
        <w:t>, I.</w:t>
      </w:r>
      <w:r w:rsidRPr="00061442">
        <w:rPr>
          <w:rFonts w:ascii="Times New Roman" w:hAnsi="Times New Roman" w:cs="Times New Roman"/>
          <w:sz w:val="24"/>
          <w:szCs w:val="24"/>
        </w:rPr>
        <w:t xml:space="preserve"> and J</w:t>
      </w:r>
      <w:r>
        <w:rPr>
          <w:rFonts w:ascii="Times New Roman" w:hAnsi="Times New Roman" w:cs="Times New Roman"/>
          <w:sz w:val="24"/>
          <w:szCs w:val="24"/>
        </w:rPr>
        <w:t>. Ludwig. 2016. Low-income housing policy.</w:t>
      </w:r>
      <w:r w:rsidRPr="00061442">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7F3CAB">
        <w:rPr>
          <w:rFonts w:ascii="Times New Roman" w:hAnsi="Times New Roman" w:cs="Times New Roman"/>
          <w:i/>
          <w:sz w:val="24"/>
          <w:szCs w:val="24"/>
        </w:rPr>
        <w:t>Economics of Means-Tested Transfer Programs in the United States</w:t>
      </w:r>
      <w:r w:rsidRPr="00061442">
        <w:rPr>
          <w:rFonts w:ascii="Times New Roman" w:hAnsi="Times New Roman" w:cs="Times New Roman"/>
          <w:sz w:val="24"/>
          <w:szCs w:val="24"/>
        </w:rPr>
        <w:t xml:space="preserve">, Volume II, edited by Robert </w:t>
      </w:r>
      <w:proofErr w:type="spellStart"/>
      <w:r w:rsidRPr="00061442">
        <w:rPr>
          <w:rFonts w:ascii="Times New Roman" w:hAnsi="Times New Roman" w:cs="Times New Roman"/>
          <w:sz w:val="24"/>
          <w:szCs w:val="24"/>
        </w:rPr>
        <w:t>Moffit</w:t>
      </w:r>
      <w:proofErr w:type="spellEnd"/>
      <w:r w:rsidRPr="00061442">
        <w:rPr>
          <w:rFonts w:ascii="Times New Roman" w:hAnsi="Times New Roman" w:cs="Times New Roman"/>
          <w:sz w:val="24"/>
          <w:szCs w:val="24"/>
        </w:rPr>
        <w:t>. Chicago:</w:t>
      </w:r>
      <w:r>
        <w:rPr>
          <w:rFonts w:ascii="Times New Roman" w:hAnsi="Times New Roman" w:cs="Times New Roman"/>
          <w:sz w:val="24"/>
          <w:szCs w:val="24"/>
        </w:rPr>
        <w:t xml:space="preserve"> </w:t>
      </w:r>
      <w:r w:rsidRPr="00061442">
        <w:rPr>
          <w:rFonts w:ascii="Times New Roman" w:hAnsi="Times New Roman" w:cs="Times New Roman"/>
          <w:sz w:val="24"/>
          <w:szCs w:val="24"/>
        </w:rPr>
        <w:t>University of Chicago Press. pp. 59-126</w:t>
      </w:r>
      <w:r>
        <w:rPr>
          <w:rFonts w:ascii="Times New Roman" w:hAnsi="Times New Roman" w:cs="Times New Roman"/>
          <w:sz w:val="24"/>
          <w:szCs w:val="24"/>
        </w:rPr>
        <w:t>.</w:t>
      </w:r>
    </w:p>
    <w:p w14:paraId="2CC44477" w14:textId="77777777" w:rsidR="006048F5" w:rsidRDefault="006048F5" w:rsidP="00854634">
      <w:pPr>
        <w:spacing w:after="0" w:line="240" w:lineRule="auto"/>
        <w:ind w:left="720" w:hanging="720"/>
        <w:contextualSpacing/>
        <w:rPr>
          <w:rFonts w:ascii="Times New Roman" w:hAnsi="Times New Roman" w:cs="Times New Roman"/>
          <w:sz w:val="24"/>
          <w:szCs w:val="24"/>
        </w:rPr>
      </w:pPr>
    </w:p>
    <w:p w14:paraId="2D364FA3" w14:textId="77777777" w:rsidR="00854634" w:rsidRPr="00273446" w:rsidRDefault="00854634" w:rsidP="00854634">
      <w:pPr>
        <w:ind w:left="720" w:hanging="720"/>
        <w:contextualSpacing/>
        <w:rPr>
          <w:rFonts w:ascii="Times New Roman" w:hAnsi="Times New Roman" w:cs="Times New Roman"/>
          <w:sz w:val="24"/>
          <w:szCs w:val="24"/>
        </w:rPr>
      </w:pPr>
      <w:proofErr w:type="spellStart"/>
      <w:r w:rsidRPr="00273446">
        <w:rPr>
          <w:rFonts w:ascii="Times New Roman" w:hAnsi="Times New Roman" w:cs="Times New Roman"/>
          <w:sz w:val="24"/>
          <w:szCs w:val="24"/>
        </w:rPr>
        <w:t>Dube</w:t>
      </w:r>
      <w:proofErr w:type="spellEnd"/>
      <w:r w:rsidRPr="00273446">
        <w:rPr>
          <w:rFonts w:ascii="Times New Roman" w:hAnsi="Times New Roman" w:cs="Times New Roman"/>
          <w:sz w:val="24"/>
          <w:szCs w:val="24"/>
        </w:rPr>
        <w:t xml:space="preserve">, A., Lester, T.W., and M. Reich. 2010. “Minimum Wage Effects Across State Borders: Estimates Using Contiguous Counties.” </w:t>
      </w:r>
      <w:r w:rsidRPr="00273446">
        <w:rPr>
          <w:rFonts w:ascii="Times New Roman" w:hAnsi="Times New Roman" w:cs="Times New Roman"/>
          <w:i/>
          <w:sz w:val="24"/>
          <w:szCs w:val="24"/>
        </w:rPr>
        <w:t>The Review of Economics and Statistics</w:t>
      </w:r>
      <w:r w:rsidRPr="00273446">
        <w:rPr>
          <w:rFonts w:ascii="Times New Roman" w:hAnsi="Times New Roman" w:cs="Times New Roman"/>
          <w:sz w:val="24"/>
          <w:szCs w:val="24"/>
        </w:rPr>
        <w:t xml:space="preserve"> 92(4): 945-964. </w:t>
      </w:r>
    </w:p>
    <w:p w14:paraId="3C461818" w14:textId="77777777" w:rsidR="00854634" w:rsidRDefault="00854634" w:rsidP="00854634">
      <w:pPr>
        <w:spacing w:after="0" w:line="240" w:lineRule="auto"/>
        <w:ind w:left="720" w:hanging="720"/>
        <w:contextualSpacing/>
        <w:outlineLvl w:val="0"/>
        <w:rPr>
          <w:rFonts w:ascii="Times New Roman" w:hAnsi="Times New Roman" w:cs="Times New Roman"/>
          <w:sz w:val="24"/>
          <w:szCs w:val="24"/>
        </w:rPr>
      </w:pPr>
    </w:p>
    <w:p w14:paraId="1799E0F5" w14:textId="77777777" w:rsidR="00854634" w:rsidRPr="00273446" w:rsidRDefault="00854634" w:rsidP="00854634">
      <w:pPr>
        <w:ind w:left="720" w:hanging="720"/>
        <w:contextualSpacing/>
        <w:outlineLvl w:val="0"/>
        <w:rPr>
          <w:rFonts w:ascii="Times New Roman" w:hAnsi="Times New Roman" w:cs="Times New Roman"/>
          <w:sz w:val="24"/>
          <w:szCs w:val="24"/>
        </w:rPr>
      </w:pPr>
      <w:proofErr w:type="spellStart"/>
      <w:r w:rsidRPr="00273446">
        <w:rPr>
          <w:rFonts w:ascii="Times New Roman" w:hAnsi="Times New Roman" w:cs="Times New Roman"/>
          <w:sz w:val="24"/>
          <w:szCs w:val="24"/>
        </w:rPr>
        <w:t>Dube</w:t>
      </w:r>
      <w:proofErr w:type="spellEnd"/>
      <w:r w:rsidRPr="00273446">
        <w:rPr>
          <w:rFonts w:ascii="Times New Roman" w:hAnsi="Times New Roman" w:cs="Times New Roman"/>
          <w:sz w:val="24"/>
          <w:szCs w:val="24"/>
        </w:rPr>
        <w:t xml:space="preserve">, A. 2013. “Minimum Wages and the Distribution of Family Incomes.” </w:t>
      </w:r>
    </w:p>
    <w:p w14:paraId="61F31F64" w14:textId="77777777" w:rsidR="00854634" w:rsidRDefault="00854634" w:rsidP="00854634">
      <w:pPr>
        <w:spacing w:after="0" w:line="240" w:lineRule="auto"/>
        <w:ind w:left="720" w:hanging="720"/>
        <w:contextualSpacing/>
        <w:rPr>
          <w:rFonts w:ascii="Times New Roman" w:hAnsi="Times New Roman" w:cs="Times New Roman"/>
          <w:sz w:val="24"/>
          <w:szCs w:val="24"/>
        </w:rPr>
      </w:pPr>
    </w:p>
    <w:p w14:paraId="0557C816" w14:textId="77777777" w:rsidR="00854634" w:rsidRPr="00EC36A4" w:rsidRDefault="00854634" w:rsidP="00854634">
      <w:pPr>
        <w:ind w:left="720" w:hanging="720"/>
        <w:contextualSpacing/>
        <w:rPr>
          <w:rFonts w:ascii="Times New Roman" w:hAnsi="Times New Roman" w:cs="Times New Roman"/>
          <w:sz w:val="24"/>
          <w:szCs w:val="24"/>
        </w:rPr>
      </w:pPr>
      <w:proofErr w:type="spellStart"/>
      <w:r w:rsidRPr="00273446">
        <w:rPr>
          <w:rFonts w:ascii="Times New Roman" w:hAnsi="Times New Roman" w:cs="Times New Roman"/>
          <w:sz w:val="24"/>
          <w:szCs w:val="24"/>
        </w:rPr>
        <w:t>Dube</w:t>
      </w:r>
      <w:proofErr w:type="spellEnd"/>
      <w:r w:rsidRPr="00273446">
        <w:rPr>
          <w:rFonts w:ascii="Times New Roman" w:hAnsi="Times New Roman" w:cs="Times New Roman"/>
          <w:sz w:val="24"/>
          <w:szCs w:val="24"/>
        </w:rPr>
        <w:t xml:space="preserve">, </w:t>
      </w:r>
      <w:proofErr w:type="spellStart"/>
      <w:r w:rsidRPr="00273446">
        <w:rPr>
          <w:rFonts w:ascii="Times New Roman" w:hAnsi="Times New Roman" w:cs="Times New Roman"/>
          <w:sz w:val="24"/>
          <w:szCs w:val="24"/>
        </w:rPr>
        <w:t>Arindrajit</w:t>
      </w:r>
      <w:proofErr w:type="spellEnd"/>
      <w:r w:rsidRPr="00273446">
        <w:rPr>
          <w:rFonts w:ascii="Times New Roman" w:hAnsi="Times New Roman" w:cs="Times New Roman"/>
          <w:sz w:val="24"/>
          <w:szCs w:val="24"/>
        </w:rPr>
        <w:t>, Naidu, Suresh  and Reich, Michael, 2007, The Economic Effects of a Citywide  Minimum Wage, Industrial &amp; Labor Relations Review Vol. 60, No. 4. Pp. 522-543.</w:t>
      </w:r>
    </w:p>
    <w:p w14:paraId="1C95A2E9" w14:textId="77777777" w:rsidR="00854634" w:rsidRDefault="00854634" w:rsidP="00854634">
      <w:pPr>
        <w:spacing w:after="0" w:line="240" w:lineRule="auto"/>
        <w:ind w:left="720" w:hanging="720"/>
        <w:contextualSpacing/>
        <w:rPr>
          <w:rFonts w:ascii="Times New Roman" w:hAnsi="Times New Roman" w:cs="Times New Roman"/>
          <w:sz w:val="24"/>
          <w:szCs w:val="24"/>
        </w:rPr>
      </w:pPr>
    </w:p>
    <w:p w14:paraId="13A3A67F" w14:textId="77777777" w:rsidR="00854634" w:rsidRPr="00273446" w:rsidRDefault="00854634" w:rsidP="00854634">
      <w:pPr>
        <w:ind w:left="720" w:hanging="720"/>
        <w:contextualSpacing/>
        <w:rPr>
          <w:rFonts w:ascii="Times New Roman" w:hAnsi="Times New Roman" w:cs="Times New Roman"/>
          <w:sz w:val="24"/>
          <w:szCs w:val="24"/>
        </w:rPr>
      </w:pPr>
      <w:proofErr w:type="spellStart"/>
      <w:r w:rsidRPr="0010540C">
        <w:rPr>
          <w:rFonts w:ascii="Times New Roman" w:hAnsi="Times New Roman" w:cs="Times New Roman"/>
          <w:sz w:val="24"/>
          <w:szCs w:val="24"/>
        </w:rPr>
        <w:t>Fairris</w:t>
      </w:r>
      <w:proofErr w:type="spellEnd"/>
      <w:r w:rsidRPr="0010540C">
        <w:rPr>
          <w:rFonts w:ascii="Times New Roman" w:hAnsi="Times New Roman" w:cs="Times New Roman"/>
          <w:sz w:val="24"/>
          <w:szCs w:val="24"/>
        </w:rPr>
        <w:t>, David. 2005. The impact of livin</w:t>
      </w:r>
      <w:r w:rsidRPr="00273446">
        <w:rPr>
          <w:rFonts w:ascii="Times New Roman" w:hAnsi="Times New Roman" w:cs="Times New Roman"/>
          <w:sz w:val="24"/>
          <w:szCs w:val="24"/>
        </w:rPr>
        <w:t>g wages on employers: a control group analysis of the Los Angeles ordinance. Industrial Relations. Vol. 44, No. 1, pp. 84-105.</w:t>
      </w:r>
    </w:p>
    <w:p w14:paraId="33979139" w14:textId="77777777" w:rsidR="00854634" w:rsidRDefault="00854634" w:rsidP="00854634">
      <w:pPr>
        <w:spacing w:after="0" w:line="240" w:lineRule="auto"/>
        <w:ind w:left="720" w:hanging="720"/>
        <w:contextualSpacing/>
        <w:rPr>
          <w:rFonts w:ascii="Times New Roman" w:hAnsi="Times New Roman" w:cs="Times New Roman"/>
          <w:sz w:val="24"/>
          <w:szCs w:val="24"/>
        </w:rPr>
      </w:pPr>
    </w:p>
    <w:p w14:paraId="083719F3" w14:textId="77777777" w:rsidR="00854634" w:rsidRPr="00092EC3" w:rsidRDefault="00854634" w:rsidP="00854634">
      <w:pPr>
        <w:ind w:left="720" w:hanging="720"/>
        <w:contextualSpacing/>
        <w:rPr>
          <w:rFonts w:ascii="Times New Roman" w:hAnsi="Times New Roman" w:cs="Times New Roman"/>
          <w:sz w:val="24"/>
          <w:szCs w:val="24"/>
        </w:rPr>
      </w:pPr>
      <w:r w:rsidRPr="00273446">
        <w:rPr>
          <w:rFonts w:ascii="Times New Roman" w:hAnsi="Times New Roman" w:cs="Times New Roman"/>
          <w:sz w:val="24"/>
          <w:szCs w:val="24"/>
        </w:rPr>
        <w:t xml:space="preserve">Fisher, J., D. S. Johnson, and T. M. </w:t>
      </w:r>
      <w:proofErr w:type="spellStart"/>
      <w:r w:rsidRPr="00273446">
        <w:rPr>
          <w:rFonts w:ascii="Times New Roman" w:hAnsi="Times New Roman" w:cs="Times New Roman"/>
          <w:sz w:val="24"/>
          <w:szCs w:val="24"/>
        </w:rPr>
        <w:t>Smeeding</w:t>
      </w:r>
      <w:proofErr w:type="spellEnd"/>
      <w:r w:rsidRPr="00273446">
        <w:rPr>
          <w:rFonts w:ascii="Times New Roman" w:hAnsi="Times New Roman" w:cs="Times New Roman"/>
          <w:sz w:val="24"/>
          <w:szCs w:val="24"/>
        </w:rPr>
        <w:t xml:space="preserve">. “Inequality of Income and Consumption in the </w:t>
      </w:r>
      <w:r w:rsidRPr="00092EC3">
        <w:rPr>
          <w:rFonts w:ascii="Times New Roman" w:hAnsi="Times New Roman" w:cs="Times New Roman"/>
          <w:sz w:val="24"/>
          <w:szCs w:val="24"/>
        </w:rPr>
        <w:t xml:space="preserve">U.S.: Measuring the Trends in Inequality </w:t>
      </w:r>
      <w:proofErr w:type="gramStart"/>
      <w:r w:rsidRPr="00092EC3">
        <w:rPr>
          <w:rFonts w:ascii="Times New Roman" w:hAnsi="Times New Roman" w:cs="Times New Roman"/>
          <w:sz w:val="24"/>
          <w:szCs w:val="24"/>
        </w:rPr>
        <w:t>From</w:t>
      </w:r>
      <w:proofErr w:type="gramEnd"/>
      <w:r w:rsidRPr="00092EC3">
        <w:rPr>
          <w:rFonts w:ascii="Times New Roman" w:hAnsi="Times New Roman" w:cs="Times New Roman"/>
          <w:sz w:val="24"/>
          <w:szCs w:val="24"/>
        </w:rPr>
        <w:t xml:space="preserve"> 1984 to 2011 for the Same Individuals.” </w:t>
      </w:r>
      <w:r w:rsidRPr="00092EC3">
        <w:rPr>
          <w:rFonts w:ascii="Times New Roman" w:hAnsi="Times New Roman" w:cs="Times New Roman"/>
          <w:i/>
          <w:sz w:val="24"/>
          <w:szCs w:val="24"/>
        </w:rPr>
        <w:t>The Review of Income and Wealth</w:t>
      </w:r>
      <w:r w:rsidRPr="00092EC3">
        <w:rPr>
          <w:rFonts w:ascii="Times New Roman" w:hAnsi="Times New Roman" w:cs="Times New Roman"/>
          <w:sz w:val="24"/>
          <w:szCs w:val="24"/>
        </w:rPr>
        <w:t>, 2014. DOI: 10.1111/roiw.12129.</w:t>
      </w:r>
    </w:p>
    <w:p w14:paraId="1878ED26" w14:textId="77777777" w:rsidR="00854634" w:rsidRDefault="00854634" w:rsidP="00854634">
      <w:pPr>
        <w:spacing w:after="0" w:line="240" w:lineRule="auto"/>
        <w:rPr>
          <w:rFonts w:ascii="Times New Roman" w:eastAsia="Times New Roman" w:hAnsi="Times New Roman" w:cs="Times New Roman"/>
          <w:sz w:val="24"/>
          <w:szCs w:val="24"/>
        </w:rPr>
      </w:pPr>
    </w:p>
    <w:p w14:paraId="44EB4184" w14:textId="77777777" w:rsidR="00854634" w:rsidRPr="00D5089A" w:rsidRDefault="00854634" w:rsidP="00854634">
      <w:pPr>
        <w:spacing w:after="0" w:line="240" w:lineRule="auto"/>
        <w:rPr>
          <w:rFonts w:ascii="Times New Roman" w:eastAsia="Times New Roman" w:hAnsi="Times New Roman" w:cs="Times New Roman"/>
          <w:sz w:val="24"/>
          <w:szCs w:val="24"/>
        </w:rPr>
      </w:pPr>
      <w:proofErr w:type="spellStart"/>
      <w:r w:rsidRPr="00D5089A">
        <w:rPr>
          <w:rFonts w:ascii="Times New Roman" w:eastAsia="Times New Roman" w:hAnsi="Times New Roman" w:cs="Times New Roman"/>
          <w:sz w:val="24"/>
          <w:szCs w:val="24"/>
        </w:rPr>
        <w:t>Garbarino</w:t>
      </w:r>
      <w:proofErr w:type="spellEnd"/>
      <w:r w:rsidRPr="00D5089A">
        <w:rPr>
          <w:rFonts w:ascii="Times New Roman" w:eastAsia="Times New Roman" w:hAnsi="Times New Roman" w:cs="Times New Roman"/>
          <w:sz w:val="24"/>
          <w:szCs w:val="24"/>
        </w:rPr>
        <w:t>, C. 2011. Aggressive tax strategies and corporate tax governance: An institutional</w:t>
      </w:r>
    </w:p>
    <w:p w14:paraId="103D2E50" w14:textId="77777777" w:rsidR="00854634" w:rsidRDefault="00854634" w:rsidP="00854634">
      <w:pPr>
        <w:spacing w:after="0" w:line="240" w:lineRule="auto"/>
        <w:ind w:firstLine="720"/>
        <w:rPr>
          <w:rFonts w:ascii="Times New Roman" w:eastAsia="Times New Roman" w:hAnsi="Times New Roman" w:cs="Times New Roman"/>
          <w:sz w:val="24"/>
          <w:szCs w:val="24"/>
        </w:rPr>
      </w:pPr>
      <w:r w:rsidRPr="00D5089A">
        <w:rPr>
          <w:rFonts w:ascii="Times New Roman" w:eastAsia="Times New Roman" w:hAnsi="Times New Roman" w:cs="Times New Roman"/>
          <w:sz w:val="24"/>
          <w:szCs w:val="24"/>
        </w:rPr>
        <w:t xml:space="preserve"> </w:t>
      </w:r>
      <w:proofErr w:type="gramStart"/>
      <w:r w:rsidRPr="00D5089A">
        <w:rPr>
          <w:rFonts w:ascii="Times New Roman" w:eastAsia="Times New Roman" w:hAnsi="Times New Roman" w:cs="Times New Roman"/>
          <w:sz w:val="24"/>
          <w:szCs w:val="24"/>
        </w:rPr>
        <w:t>approach</w:t>
      </w:r>
      <w:proofErr w:type="gramEnd"/>
      <w:r w:rsidRPr="00D5089A">
        <w:rPr>
          <w:rFonts w:ascii="Times New Roman" w:eastAsia="Times New Roman" w:hAnsi="Times New Roman" w:cs="Times New Roman"/>
          <w:sz w:val="24"/>
          <w:szCs w:val="24"/>
        </w:rPr>
        <w:t xml:space="preserve">. European Company and Financial Law Review, 8(3), 277-304. </w:t>
      </w:r>
    </w:p>
    <w:p w14:paraId="4857E7E3" w14:textId="77777777" w:rsidR="00F273D6" w:rsidRPr="00D5089A" w:rsidRDefault="00F273D6" w:rsidP="00854634">
      <w:pPr>
        <w:spacing w:after="0" w:line="240" w:lineRule="auto"/>
        <w:ind w:firstLine="720"/>
        <w:rPr>
          <w:rFonts w:ascii="Times New Roman" w:eastAsia="Times New Roman" w:hAnsi="Times New Roman" w:cs="Times New Roman"/>
          <w:sz w:val="24"/>
          <w:szCs w:val="24"/>
        </w:rPr>
      </w:pPr>
    </w:p>
    <w:p w14:paraId="2E523C77" w14:textId="135145EF" w:rsidR="005D660E" w:rsidRDefault="00F273D6" w:rsidP="007F3CAB">
      <w:pPr>
        <w:spacing w:line="240" w:lineRule="auto"/>
        <w:ind w:left="720" w:hanging="72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G</w:t>
      </w:r>
      <w:r w:rsidRPr="00E03219">
        <w:rPr>
          <w:rFonts w:ascii="Times New Roman" w:eastAsiaTheme="minorEastAsia" w:hAnsi="Times New Roman" w:cs="Times New Roman"/>
          <w:sz w:val="24"/>
          <w:szCs w:val="24"/>
        </w:rPr>
        <w:t>and</w:t>
      </w:r>
      <w:r>
        <w:rPr>
          <w:rFonts w:ascii="Times New Roman" w:eastAsiaTheme="minorEastAsia" w:hAnsi="Times New Roman" w:cs="Times New Roman"/>
          <w:sz w:val="24"/>
          <w:szCs w:val="24"/>
        </w:rPr>
        <w:t>h</w:t>
      </w:r>
      <w:r w:rsidRPr="00E03219">
        <w:rPr>
          <w:rFonts w:ascii="Times New Roman" w:eastAsiaTheme="minorEastAsia" w:hAnsi="Times New Roman" w:cs="Times New Roman"/>
          <w:sz w:val="24"/>
          <w:szCs w:val="24"/>
        </w:rPr>
        <w:t>i, N., Spaulding, J., &amp; McDon</w:t>
      </w:r>
      <w:r>
        <w:rPr>
          <w:rFonts w:ascii="Times New Roman" w:eastAsiaTheme="minorEastAsia" w:hAnsi="Times New Roman" w:cs="Times New Roman"/>
          <w:sz w:val="24"/>
          <w:szCs w:val="24"/>
        </w:rPr>
        <w:t>ald, G. 2015</w:t>
      </w:r>
      <w:r w:rsidRPr="00E0321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sidRPr="00E03219">
        <w:rPr>
          <w:rFonts w:ascii="Times New Roman" w:eastAsiaTheme="minorEastAsia" w:hAnsi="Times New Roman" w:cs="Times New Roman"/>
          <w:sz w:val="24"/>
          <w:szCs w:val="24"/>
        </w:rPr>
        <w:t>Budget Growth, Spending, and Inequality in the District of Columbia, 2002</w:t>
      </w:r>
      <w:r>
        <w:rPr>
          <w:rFonts w:ascii="Times New Roman" w:eastAsiaTheme="minorEastAsia" w:hAnsi="Times New Roman" w:cs="Times New Roman"/>
          <w:sz w:val="24"/>
          <w:szCs w:val="24"/>
        </w:rPr>
        <w:t>–</w:t>
      </w:r>
      <w:r w:rsidRPr="00E03219">
        <w:rPr>
          <w:rFonts w:ascii="Times New Roman" w:eastAsiaTheme="minorEastAsia" w:hAnsi="Times New Roman" w:cs="Times New Roman"/>
          <w:sz w:val="24"/>
          <w:szCs w:val="24"/>
        </w:rPr>
        <w:t>2013</w:t>
      </w:r>
      <w:r>
        <w:rPr>
          <w:rFonts w:ascii="Times New Roman" w:eastAsiaTheme="minorEastAsia" w:hAnsi="Times New Roman" w:cs="Times New Roman"/>
          <w:sz w:val="24"/>
          <w:szCs w:val="24"/>
        </w:rPr>
        <w:t>.”</w:t>
      </w:r>
      <w:r w:rsidRPr="00E03219">
        <w:rPr>
          <w:rFonts w:ascii="Times New Roman" w:eastAsiaTheme="minorEastAsia" w:hAnsi="Times New Roman" w:cs="Times New Roman"/>
          <w:sz w:val="24"/>
          <w:szCs w:val="24"/>
        </w:rPr>
        <w:t xml:space="preserve"> In </w:t>
      </w:r>
      <w:r w:rsidRPr="00152141">
        <w:rPr>
          <w:rFonts w:ascii="Times New Roman" w:eastAsiaTheme="minorEastAsia" w:hAnsi="Times New Roman" w:cs="Times New Roman"/>
          <w:i/>
          <w:sz w:val="24"/>
          <w:szCs w:val="24"/>
        </w:rPr>
        <w:t>Capital Dilemma: Growth and Inequality in Washington, D.C</w:t>
      </w:r>
      <w:r>
        <w:rPr>
          <w:rFonts w:ascii="Times New Roman" w:eastAsiaTheme="minorEastAsia" w:hAnsi="Times New Roman" w:cs="Times New Roman"/>
          <w:sz w:val="24"/>
          <w:szCs w:val="24"/>
        </w:rPr>
        <w:t xml:space="preserve">. Derek </w:t>
      </w:r>
      <w:proofErr w:type="spellStart"/>
      <w:r>
        <w:rPr>
          <w:rFonts w:ascii="Times New Roman" w:eastAsiaTheme="minorEastAsia" w:hAnsi="Times New Roman" w:cs="Times New Roman"/>
          <w:sz w:val="24"/>
          <w:szCs w:val="24"/>
        </w:rPr>
        <w:t>Hyra</w:t>
      </w:r>
      <w:proofErr w:type="spellEnd"/>
      <w:r>
        <w:rPr>
          <w:rFonts w:ascii="Times New Roman" w:eastAsiaTheme="minorEastAsia" w:hAnsi="Times New Roman" w:cs="Times New Roman"/>
          <w:sz w:val="24"/>
          <w:szCs w:val="24"/>
        </w:rPr>
        <w:t xml:space="preserve"> and </w:t>
      </w:r>
      <w:proofErr w:type="spellStart"/>
      <w:r>
        <w:rPr>
          <w:rFonts w:ascii="Times New Roman" w:eastAsiaTheme="minorEastAsia" w:hAnsi="Times New Roman" w:cs="Times New Roman"/>
          <w:sz w:val="24"/>
          <w:szCs w:val="24"/>
        </w:rPr>
        <w:t>Sabiyha</w:t>
      </w:r>
      <w:proofErr w:type="spellEnd"/>
      <w:r w:rsidRPr="00E03219">
        <w:rPr>
          <w:rFonts w:ascii="Times New Roman" w:eastAsiaTheme="minorEastAsia" w:hAnsi="Times New Roman" w:cs="Times New Roman"/>
          <w:sz w:val="24"/>
          <w:szCs w:val="24"/>
        </w:rPr>
        <w:t xml:space="preserve"> Prince, eds. Routledge: New York. </w:t>
      </w:r>
    </w:p>
    <w:p w14:paraId="43B8B0D6" w14:textId="77777777" w:rsidR="00303B29" w:rsidRDefault="00303B29" w:rsidP="007F3CAB">
      <w:pPr>
        <w:spacing w:line="240" w:lineRule="auto"/>
        <w:ind w:left="720" w:hanging="720"/>
        <w:contextualSpacing/>
        <w:rPr>
          <w:rFonts w:ascii="Times New Roman" w:eastAsiaTheme="minorEastAsia" w:hAnsi="Times New Roman" w:cs="Times New Roman"/>
          <w:sz w:val="24"/>
          <w:szCs w:val="24"/>
        </w:rPr>
      </w:pPr>
    </w:p>
    <w:p w14:paraId="62CCA8C6" w14:textId="5E9F7FDE" w:rsidR="00303B29" w:rsidRPr="007F3CAB" w:rsidRDefault="00303B29" w:rsidP="007F3CAB">
      <w:pPr>
        <w:spacing w:line="240" w:lineRule="auto"/>
        <w:ind w:left="720" w:hanging="720"/>
        <w:contextualSpacing/>
        <w:rPr>
          <w:rStyle w:val="nlmstring-name"/>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Grogger</w:t>
      </w:r>
      <w:proofErr w:type="spellEnd"/>
      <w:r>
        <w:rPr>
          <w:rFonts w:ascii="Times New Roman" w:eastAsiaTheme="minorEastAsia" w:hAnsi="Times New Roman" w:cs="Times New Roman"/>
          <w:sz w:val="24"/>
          <w:szCs w:val="24"/>
        </w:rPr>
        <w:t xml:space="preserve">, J. 2003. The Effects of Time Limits, The EITC, and other Policy Changes on Welfare Use, Work, and Income Among Female-Headed Families. The Review of Economics and Statistics 85(2): 394-408. </w:t>
      </w:r>
    </w:p>
    <w:p w14:paraId="5C4DBF4C" w14:textId="77777777" w:rsidR="005D660E" w:rsidRDefault="005D660E" w:rsidP="005D660E">
      <w:pPr>
        <w:pStyle w:val="NoSpacing"/>
        <w:rPr>
          <w:rStyle w:val="journalname"/>
          <w:rFonts w:ascii="Times New Roman" w:hAnsi="Times New Roman" w:cs="Times New Roman"/>
          <w:sz w:val="24"/>
          <w:szCs w:val="24"/>
        </w:rPr>
      </w:pPr>
      <w:proofErr w:type="gramStart"/>
      <w:r w:rsidRPr="005D660E">
        <w:rPr>
          <w:rStyle w:val="nlmstring-name"/>
          <w:rFonts w:ascii="Times New Roman" w:hAnsi="Times New Roman" w:cs="Times New Roman"/>
          <w:sz w:val="24"/>
          <w:szCs w:val="24"/>
        </w:rPr>
        <w:t>Hall</w:t>
      </w:r>
      <w:r w:rsidRPr="005D660E">
        <w:rPr>
          <w:rFonts w:ascii="Times New Roman" w:hAnsi="Times New Roman" w:cs="Times New Roman"/>
          <w:sz w:val="24"/>
          <w:szCs w:val="24"/>
        </w:rPr>
        <w:t xml:space="preserve"> ,</w:t>
      </w:r>
      <w:proofErr w:type="gramEnd"/>
      <w:r w:rsidRPr="005D660E">
        <w:rPr>
          <w:rFonts w:ascii="Times New Roman" w:hAnsi="Times New Roman" w:cs="Times New Roman"/>
          <w:sz w:val="24"/>
          <w:szCs w:val="24"/>
        </w:rPr>
        <w:t xml:space="preserve"> </w:t>
      </w:r>
      <w:r w:rsidRPr="005D660E">
        <w:rPr>
          <w:rStyle w:val="nlmstring-name"/>
          <w:rFonts w:ascii="Times New Roman" w:hAnsi="Times New Roman" w:cs="Times New Roman"/>
          <w:sz w:val="24"/>
          <w:szCs w:val="24"/>
        </w:rPr>
        <w:t xml:space="preserve">Robert E., 1991, </w:t>
      </w:r>
      <w:hyperlink r:id="rId9" w:history="1">
        <w:r w:rsidRPr="005D660E">
          <w:rPr>
            <w:rStyle w:val="Hyperlink"/>
            <w:rFonts w:ascii="Times New Roman" w:hAnsi="Times New Roman" w:cs="Times New Roman"/>
            <w:color w:val="auto"/>
            <w:sz w:val="24"/>
            <w:szCs w:val="24"/>
            <w:u w:val="none"/>
          </w:rPr>
          <w:t>Labor Demand, Labor Supply, and Employment Volatility</w:t>
        </w:r>
      </w:hyperlink>
      <w:r w:rsidRPr="005D660E">
        <w:rPr>
          <w:rFonts w:ascii="Times New Roman" w:hAnsi="Times New Roman" w:cs="Times New Roman"/>
          <w:sz w:val="24"/>
          <w:szCs w:val="24"/>
        </w:rPr>
        <w:t xml:space="preserve">, </w:t>
      </w:r>
      <w:r w:rsidRPr="005D660E">
        <w:rPr>
          <w:rStyle w:val="nlmstring-name"/>
          <w:rFonts w:ascii="Times New Roman" w:hAnsi="Times New Roman" w:cs="Times New Roman"/>
          <w:sz w:val="24"/>
          <w:szCs w:val="24"/>
        </w:rPr>
        <w:t xml:space="preserve">, </w:t>
      </w:r>
      <w:r w:rsidRPr="005D660E">
        <w:rPr>
          <w:rStyle w:val="journalname"/>
          <w:rFonts w:ascii="Times New Roman" w:hAnsi="Times New Roman" w:cs="Times New Roman"/>
          <w:sz w:val="24"/>
          <w:szCs w:val="24"/>
        </w:rPr>
        <w:t>NBER</w:t>
      </w:r>
    </w:p>
    <w:p w14:paraId="60C1A01D" w14:textId="119328A8" w:rsidR="005D660E" w:rsidRPr="005D660E" w:rsidRDefault="005D660E" w:rsidP="005D660E">
      <w:pPr>
        <w:pStyle w:val="NoSpacing"/>
        <w:ind w:firstLine="720"/>
        <w:rPr>
          <w:rFonts w:ascii="Times New Roman" w:hAnsi="Times New Roman" w:cs="Times New Roman"/>
          <w:sz w:val="24"/>
          <w:szCs w:val="24"/>
        </w:rPr>
      </w:pPr>
      <w:r w:rsidRPr="005D660E">
        <w:rPr>
          <w:rStyle w:val="journalname"/>
          <w:rFonts w:ascii="Times New Roman" w:hAnsi="Times New Roman" w:cs="Times New Roman"/>
          <w:sz w:val="24"/>
          <w:szCs w:val="24"/>
        </w:rPr>
        <w:t>Macroeconomics</w:t>
      </w:r>
      <w:r>
        <w:rPr>
          <w:rStyle w:val="journalname"/>
          <w:rFonts w:ascii="Times New Roman" w:hAnsi="Times New Roman" w:cs="Times New Roman"/>
          <w:sz w:val="24"/>
          <w:szCs w:val="24"/>
        </w:rPr>
        <w:t xml:space="preserve"> </w:t>
      </w:r>
      <w:r w:rsidRPr="005D660E">
        <w:rPr>
          <w:rStyle w:val="journalname"/>
          <w:rFonts w:ascii="Times New Roman" w:hAnsi="Times New Roman" w:cs="Times New Roman"/>
          <w:sz w:val="24"/>
          <w:szCs w:val="24"/>
        </w:rPr>
        <w:t>Annual</w:t>
      </w:r>
      <w:r w:rsidRPr="005D660E">
        <w:rPr>
          <w:rFonts w:ascii="Times New Roman" w:hAnsi="Times New Roman" w:cs="Times New Roman"/>
          <w:sz w:val="24"/>
          <w:szCs w:val="24"/>
        </w:rPr>
        <w:t> </w:t>
      </w:r>
      <w:proofErr w:type="spellStart"/>
      <w:proofErr w:type="gramStart"/>
      <w:r w:rsidRPr="005D660E">
        <w:rPr>
          <w:rStyle w:val="year"/>
          <w:rFonts w:ascii="Times New Roman" w:hAnsi="Times New Roman" w:cs="Times New Roman"/>
          <w:sz w:val="24"/>
          <w:szCs w:val="24"/>
        </w:rPr>
        <w:t>Vol</w:t>
      </w:r>
      <w:proofErr w:type="spellEnd"/>
      <w:r w:rsidRPr="005D660E">
        <w:rPr>
          <w:rStyle w:val="year"/>
          <w:rFonts w:ascii="Times New Roman" w:hAnsi="Times New Roman" w:cs="Times New Roman"/>
          <w:sz w:val="24"/>
          <w:szCs w:val="24"/>
        </w:rPr>
        <w:t xml:space="preserve"> </w:t>
      </w:r>
      <w:r w:rsidRPr="005D660E">
        <w:rPr>
          <w:rFonts w:ascii="Times New Roman" w:hAnsi="Times New Roman" w:cs="Times New Roman"/>
          <w:sz w:val="24"/>
          <w:szCs w:val="24"/>
        </w:rPr>
        <w:t> </w:t>
      </w:r>
      <w:r w:rsidRPr="005D660E">
        <w:rPr>
          <w:rStyle w:val="volume"/>
          <w:rFonts w:ascii="Times New Roman" w:hAnsi="Times New Roman" w:cs="Times New Roman"/>
          <w:sz w:val="24"/>
          <w:szCs w:val="24"/>
        </w:rPr>
        <w:t>6</w:t>
      </w:r>
      <w:proofErr w:type="gramEnd"/>
      <w:r w:rsidRPr="005D660E">
        <w:rPr>
          <w:rFonts w:ascii="Times New Roman" w:hAnsi="Times New Roman" w:cs="Times New Roman"/>
          <w:sz w:val="24"/>
          <w:szCs w:val="24"/>
        </w:rPr>
        <w:t>, </w:t>
      </w:r>
      <w:r w:rsidRPr="005D660E">
        <w:rPr>
          <w:rStyle w:val="page"/>
          <w:rFonts w:ascii="Times New Roman" w:hAnsi="Times New Roman" w:cs="Times New Roman"/>
          <w:sz w:val="24"/>
          <w:szCs w:val="24"/>
        </w:rPr>
        <w:t>17-47 .</w:t>
      </w:r>
    </w:p>
    <w:p w14:paraId="3A047E20" w14:textId="77777777" w:rsidR="00854634" w:rsidRDefault="00854634" w:rsidP="00854634">
      <w:pPr>
        <w:ind w:left="720" w:hanging="720"/>
        <w:contextualSpacing/>
        <w:rPr>
          <w:rFonts w:ascii="Times New Roman" w:hAnsi="Times New Roman" w:cs="Times New Roman"/>
          <w:sz w:val="24"/>
          <w:szCs w:val="24"/>
        </w:rPr>
      </w:pPr>
    </w:p>
    <w:p w14:paraId="16265FDF" w14:textId="77777777" w:rsidR="00854634" w:rsidRPr="00B359DB" w:rsidRDefault="00854634" w:rsidP="00854634">
      <w:pPr>
        <w:ind w:left="720" w:hanging="720"/>
        <w:contextualSpacing/>
        <w:rPr>
          <w:rFonts w:ascii="Times New Roman" w:hAnsi="Times New Roman" w:cs="Times New Roman"/>
          <w:sz w:val="24"/>
          <w:szCs w:val="24"/>
        </w:rPr>
      </w:pPr>
      <w:proofErr w:type="spellStart"/>
      <w:r w:rsidRPr="00B359DB">
        <w:rPr>
          <w:rFonts w:ascii="Times New Roman" w:hAnsi="Times New Roman" w:cs="Times New Roman"/>
          <w:sz w:val="24"/>
          <w:szCs w:val="24"/>
        </w:rPr>
        <w:t>Holzer</w:t>
      </w:r>
      <w:proofErr w:type="spellEnd"/>
      <w:r w:rsidRPr="00B359DB">
        <w:rPr>
          <w:rFonts w:ascii="Times New Roman" w:hAnsi="Times New Roman" w:cs="Times New Roman"/>
          <w:sz w:val="24"/>
          <w:szCs w:val="24"/>
        </w:rPr>
        <w:t>, Harry J.</w:t>
      </w:r>
      <w:r>
        <w:rPr>
          <w:rFonts w:ascii="Times New Roman" w:hAnsi="Times New Roman" w:cs="Times New Roman"/>
          <w:sz w:val="24"/>
          <w:szCs w:val="24"/>
        </w:rPr>
        <w:t xml:space="preserve"> 2013.</w:t>
      </w:r>
      <w:r w:rsidRPr="00B359DB">
        <w:rPr>
          <w:rFonts w:ascii="Times New Roman" w:hAnsi="Times New Roman" w:cs="Times New Roman"/>
          <w:sz w:val="24"/>
          <w:szCs w:val="24"/>
        </w:rPr>
        <w:t xml:space="preserve"> </w:t>
      </w:r>
      <w:r>
        <w:rPr>
          <w:rFonts w:ascii="Times New Roman" w:hAnsi="Times New Roman" w:cs="Times New Roman"/>
          <w:sz w:val="24"/>
          <w:szCs w:val="24"/>
        </w:rPr>
        <w:t>“</w:t>
      </w:r>
      <w:r w:rsidRPr="00EC36A4">
        <w:rPr>
          <w:rFonts w:ascii="Times New Roman" w:hAnsi="Times New Roman" w:cs="Times New Roman"/>
          <w:bCs/>
          <w:sz w:val="24"/>
          <w:szCs w:val="24"/>
        </w:rPr>
        <w:t>Use caution in raising the minimum wage</w:t>
      </w:r>
      <w:r>
        <w:rPr>
          <w:rFonts w:ascii="Times New Roman" w:hAnsi="Times New Roman" w:cs="Times New Roman"/>
          <w:bCs/>
          <w:sz w:val="24"/>
          <w:szCs w:val="24"/>
        </w:rPr>
        <w:t xml:space="preserve">” Washington Post. December 9 2013. </w:t>
      </w:r>
    </w:p>
    <w:p w14:paraId="722E7822" w14:textId="77777777" w:rsidR="00854634" w:rsidRDefault="00854634" w:rsidP="00854634">
      <w:pPr>
        <w:spacing w:after="0" w:line="240" w:lineRule="auto"/>
        <w:ind w:left="720" w:hanging="720"/>
        <w:contextualSpacing/>
        <w:rPr>
          <w:rFonts w:ascii="Times New Roman" w:hAnsi="Times New Roman" w:cs="Times New Roman"/>
          <w:sz w:val="24"/>
          <w:szCs w:val="24"/>
        </w:rPr>
      </w:pPr>
    </w:p>
    <w:p w14:paraId="5938B950" w14:textId="77777777" w:rsidR="00854634" w:rsidRDefault="00854634" w:rsidP="00854634">
      <w:pPr>
        <w:ind w:left="720" w:hanging="720"/>
        <w:contextualSpacing/>
        <w:rPr>
          <w:rFonts w:ascii="Times New Roman" w:hAnsi="Times New Roman" w:cs="Times New Roman"/>
          <w:sz w:val="24"/>
          <w:szCs w:val="24"/>
        </w:rPr>
      </w:pPr>
      <w:proofErr w:type="spellStart"/>
      <w:r w:rsidRPr="0010540C">
        <w:rPr>
          <w:rFonts w:ascii="Times New Roman" w:hAnsi="Times New Roman" w:cs="Times New Roman"/>
          <w:sz w:val="24"/>
          <w:szCs w:val="24"/>
        </w:rPr>
        <w:t>H</w:t>
      </w:r>
      <w:r>
        <w:rPr>
          <w:rFonts w:ascii="Times New Roman" w:hAnsi="Times New Roman" w:cs="Times New Roman"/>
          <w:sz w:val="24"/>
          <w:szCs w:val="24"/>
        </w:rPr>
        <w:t>owes</w:t>
      </w:r>
      <w:proofErr w:type="spellEnd"/>
      <w:r w:rsidRPr="0010540C">
        <w:rPr>
          <w:rFonts w:ascii="Times New Roman" w:hAnsi="Times New Roman" w:cs="Times New Roman"/>
          <w:sz w:val="24"/>
          <w:szCs w:val="24"/>
        </w:rPr>
        <w:t>, C</w:t>
      </w:r>
      <w:r>
        <w:rPr>
          <w:rFonts w:ascii="Times New Roman" w:hAnsi="Times New Roman" w:cs="Times New Roman"/>
          <w:sz w:val="24"/>
          <w:szCs w:val="24"/>
        </w:rPr>
        <w:t xml:space="preserve">andace. </w:t>
      </w:r>
      <w:r w:rsidRPr="0010540C">
        <w:rPr>
          <w:rFonts w:ascii="Times New Roman" w:hAnsi="Times New Roman" w:cs="Times New Roman"/>
          <w:sz w:val="24"/>
          <w:szCs w:val="24"/>
        </w:rPr>
        <w:t>2005</w:t>
      </w:r>
      <w:r>
        <w:rPr>
          <w:rFonts w:ascii="Times New Roman" w:hAnsi="Times New Roman" w:cs="Times New Roman"/>
          <w:sz w:val="24"/>
          <w:szCs w:val="24"/>
        </w:rPr>
        <w:t>. “</w:t>
      </w:r>
      <w:r w:rsidRPr="0010540C">
        <w:rPr>
          <w:rFonts w:ascii="Times New Roman" w:hAnsi="Times New Roman" w:cs="Times New Roman"/>
          <w:sz w:val="24"/>
          <w:szCs w:val="24"/>
        </w:rPr>
        <w:t>Living Wages and Retention</w:t>
      </w:r>
      <w:r w:rsidRPr="00273446">
        <w:rPr>
          <w:rFonts w:ascii="Times New Roman" w:hAnsi="Times New Roman" w:cs="Times New Roman"/>
          <w:sz w:val="24"/>
          <w:szCs w:val="24"/>
        </w:rPr>
        <w:t xml:space="preserve"> of Homecare Workers in San Francisco</w:t>
      </w:r>
      <w:r>
        <w:rPr>
          <w:rFonts w:ascii="Times New Roman" w:hAnsi="Times New Roman" w:cs="Times New Roman"/>
          <w:sz w:val="24"/>
          <w:szCs w:val="24"/>
        </w:rPr>
        <w:t>.”</w:t>
      </w:r>
      <w:r w:rsidRPr="00273446">
        <w:rPr>
          <w:rFonts w:ascii="Times New Roman" w:hAnsi="Times New Roman" w:cs="Times New Roman"/>
          <w:sz w:val="24"/>
          <w:szCs w:val="24"/>
        </w:rPr>
        <w:t xml:space="preserve"> Industrial Relations: A Journal of Economy and Society, </w:t>
      </w:r>
      <w:proofErr w:type="spellStart"/>
      <w:r w:rsidRPr="00273446">
        <w:rPr>
          <w:rFonts w:ascii="Times New Roman" w:hAnsi="Times New Roman" w:cs="Times New Roman"/>
          <w:sz w:val="24"/>
          <w:szCs w:val="24"/>
        </w:rPr>
        <w:t>Vol</w:t>
      </w:r>
      <w:proofErr w:type="spellEnd"/>
      <w:r w:rsidRPr="00273446">
        <w:rPr>
          <w:rFonts w:ascii="Times New Roman" w:hAnsi="Times New Roman" w:cs="Times New Roman"/>
          <w:sz w:val="24"/>
          <w:szCs w:val="24"/>
        </w:rPr>
        <w:t xml:space="preserve"> 44, No 1, pp. 139-163.</w:t>
      </w:r>
    </w:p>
    <w:p w14:paraId="2EE95378" w14:textId="77777777" w:rsidR="00C01408" w:rsidRDefault="00C01408" w:rsidP="00854634">
      <w:pPr>
        <w:ind w:left="720" w:hanging="720"/>
        <w:contextualSpacing/>
        <w:rPr>
          <w:rFonts w:ascii="Times New Roman" w:hAnsi="Times New Roman" w:cs="Times New Roman"/>
          <w:sz w:val="24"/>
          <w:szCs w:val="24"/>
        </w:rPr>
      </w:pPr>
    </w:p>
    <w:p w14:paraId="1B54D1D3" w14:textId="1583D564" w:rsidR="00C01408" w:rsidRPr="00EC36A4" w:rsidRDefault="00C01408" w:rsidP="00854634">
      <w:pPr>
        <w:ind w:left="720" w:hanging="720"/>
        <w:contextualSpacing/>
        <w:rPr>
          <w:rFonts w:ascii="Times New Roman" w:hAnsi="Times New Roman" w:cs="Times New Roman"/>
          <w:sz w:val="24"/>
          <w:szCs w:val="24"/>
        </w:rPr>
      </w:pPr>
      <w:proofErr w:type="spellStart"/>
      <w:r>
        <w:rPr>
          <w:rFonts w:ascii="Times New Roman" w:hAnsi="Times New Roman" w:cs="Times New Roman"/>
          <w:sz w:val="24"/>
          <w:szCs w:val="24"/>
        </w:rPr>
        <w:t>Jardim</w:t>
      </w:r>
      <w:proofErr w:type="spellEnd"/>
      <w:r>
        <w:rPr>
          <w:rFonts w:ascii="Times New Roman" w:hAnsi="Times New Roman" w:cs="Times New Roman"/>
          <w:sz w:val="24"/>
          <w:szCs w:val="24"/>
        </w:rPr>
        <w:t xml:space="preserve">, E., Long, M.C., </w:t>
      </w:r>
      <w:proofErr w:type="spellStart"/>
      <w:r>
        <w:rPr>
          <w:rFonts w:ascii="Times New Roman" w:hAnsi="Times New Roman" w:cs="Times New Roman"/>
          <w:sz w:val="24"/>
          <w:szCs w:val="24"/>
        </w:rPr>
        <w:t>Plotnick</w:t>
      </w:r>
      <w:proofErr w:type="spellEnd"/>
      <w:r>
        <w:rPr>
          <w:rFonts w:ascii="Times New Roman" w:hAnsi="Times New Roman" w:cs="Times New Roman"/>
          <w:sz w:val="24"/>
          <w:szCs w:val="24"/>
        </w:rPr>
        <w:t xml:space="preserve">, R., van </w:t>
      </w:r>
      <w:proofErr w:type="spellStart"/>
      <w:r>
        <w:rPr>
          <w:rFonts w:ascii="Times New Roman" w:hAnsi="Times New Roman" w:cs="Times New Roman"/>
          <w:sz w:val="24"/>
          <w:szCs w:val="24"/>
        </w:rPr>
        <w:t>Inwegen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Vigdor</w:t>
      </w:r>
      <w:proofErr w:type="spellEnd"/>
      <w:r>
        <w:rPr>
          <w:rFonts w:ascii="Times New Roman" w:hAnsi="Times New Roman" w:cs="Times New Roman"/>
          <w:sz w:val="24"/>
          <w:szCs w:val="24"/>
        </w:rPr>
        <w:t xml:space="preserve">, J., and H. </w:t>
      </w:r>
      <w:proofErr w:type="spellStart"/>
      <w:r>
        <w:rPr>
          <w:rFonts w:ascii="Times New Roman" w:hAnsi="Times New Roman" w:cs="Times New Roman"/>
          <w:sz w:val="24"/>
          <w:szCs w:val="24"/>
        </w:rPr>
        <w:t>Wething</w:t>
      </w:r>
      <w:proofErr w:type="spellEnd"/>
      <w:r>
        <w:rPr>
          <w:rFonts w:ascii="Times New Roman" w:hAnsi="Times New Roman" w:cs="Times New Roman"/>
          <w:sz w:val="24"/>
          <w:szCs w:val="24"/>
        </w:rPr>
        <w:t xml:space="preserve">. 2017. Minimum Wage Increases, Wages, and Low-Wage Employment: Evidence from Seattle. NBER Working Paper 23532. June. </w:t>
      </w:r>
    </w:p>
    <w:p w14:paraId="7BC3AC6E" w14:textId="77777777" w:rsidR="00854634" w:rsidRDefault="00854634" w:rsidP="00854634">
      <w:pPr>
        <w:spacing w:after="0" w:line="240" w:lineRule="auto"/>
        <w:ind w:left="720" w:hanging="720"/>
        <w:contextualSpacing/>
        <w:rPr>
          <w:rFonts w:ascii="Times New Roman" w:hAnsi="Times New Roman" w:cs="Times New Roman"/>
          <w:sz w:val="24"/>
          <w:szCs w:val="24"/>
        </w:rPr>
      </w:pPr>
    </w:p>
    <w:p w14:paraId="702A20F4" w14:textId="77777777" w:rsidR="00854634" w:rsidRPr="00273446" w:rsidRDefault="00854634" w:rsidP="00854634">
      <w:pPr>
        <w:ind w:left="720" w:hanging="720"/>
        <w:contextualSpacing/>
        <w:rPr>
          <w:rFonts w:ascii="Times New Roman" w:hAnsi="Times New Roman" w:cs="Times New Roman"/>
          <w:sz w:val="24"/>
          <w:szCs w:val="24"/>
        </w:rPr>
      </w:pPr>
      <w:proofErr w:type="spellStart"/>
      <w:r w:rsidRPr="0010540C">
        <w:rPr>
          <w:rFonts w:ascii="Times New Roman" w:hAnsi="Times New Roman" w:cs="Times New Roman"/>
          <w:sz w:val="24"/>
          <w:szCs w:val="24"/>
        </w:rPr>
        <w:t>Lopresti</w:t>
      </w:r>
      <w:proofErr w:type="spellEnd"/>
      <w:r w:rsidRPr="0010540C">
        <w:rPr>
          <w:rFonts w:ascii="Times New Roman" w:hAnsi="Times New Roman" w:cs="Times New Roman"/>
          <w:sz w:val="24"/>
          <w:szCs w:val="24"/>
        </w:rPr>
        <w:t>, John W. and Kevin J. Mumford. 2015. "Who Benefits from a Minimum Wage Increase?" Upjohn Institute Working Paper</w:t>
      </w:r>
      <w:r w:rsidRPr="00273446">
        <w:rPr>
          <w:rFonts w:ascii="Times New Roman" w:hAnsi="Times New Roman" w:cs="Times New Roman"/>
          <w:sz w:val="24"/>
          <w:szCs w:val="24"/>
        </w:rPr>
        <w:t xml:space="preserve"> 15-224. Kalamazoo, MI: W.E. Upjohn Institute for Employment Research.</w:t>
      </w:r>
    </w:p>
    <w:p w14:paraId="02F098CB" w14:textId="77777777" w:rsidR="00854634" w:rsidRDefault="00854634" w:rsidP="00854634">
      <w:pPr>
        <w:spacing w:after="0" w:line="240" w:lineRule="auto"/>
        <w:ind w:left="720" w:hanging="720"/>
        <w:contextualSpacing/>
        <w:rPr>
          <w:rFonts w:ascii="Times New Roman" w:hAnsi="Times New Roman" w:cs="Times New Roman"/>
          <w:sz w:val="24"/>
          <w:szCs w:val="24"/>
        </w:rPr>
      </w:pPr>
    </w:p>
    <w:p w14:paraId="25B1B634" w14:textId="445C2993" w:rsidR="00854634" w:rsidRDefault="00854634" w:rsidP="00854634">
      <w:pPr>
        <w:shd w:val="clear" w:color="auto" w:fill="FFFFFF"/>
        <w:spacing w:line="240" w:lineRule="atLeast"/>
        <w:ind w:left="720" w:hanging="720"/>
        <w:rPr>
          <w:rFonts w:ascii="Times New Roman" w:hAnsi="Times New Roman" w:cs="Times New Roman"/>
          <w:sz w:val="24"/>
        </w:rPr>
      </w:pPr>
      <w:r w:rsidRPr="00854634">
        <w:rPr>
          <w:rFonts w:ascii="Times New Roman" w:hAnsi="Times New Roman" w:cs="Times New Roman"/>
          <w:sz w:val="24"/>
        </w:rPr>
        <w:t xml:space="preserve">Mas, Alexandre. 2006. Pay, Reference Points, and Police Performance. </w:t>
      </w:r>
      <w:r w:rsidRPr="00854634">
        <w:rPr>
          <w:rFonts w:ascii="Times New Roman" w:hAnsi="Times New Roman" w:cs="Times New Roman"/>
          <w:i/>
          <w:sz w:val="24"/>
        </w:rPr>
        <w:t xml:space="preserve">The Quarterly Journal of </w:t>
      </w:r>
      <w:r>
        <w:rPr>
          <w:rFonts w:ascii="Times New Roman" w:hAnsi="Times New Roman" w:cs="Times New Roman"/>
          <w:i/>
          <w:sz w:val="24"/>
        </w:rPr>
        <w:t xml:space="preserve">   </w:t>
      </w:r>
      <w:r w:rsidRPr="00854634">
        <w:rPr>
          <w:rFonts w:ascii="Times New Roman" w:hAnsi="Times New Roman" w:cs="Times New Roman"/>
          <w:i/>
          <w:sz w:val="24"/>
        </w:rPr>
        <w:t xml:space="preserve">Economics </w:t>
      </w:r>
      <w:r w:rsidRPr="00854634">
        <w:rPr>
          <w:rFonts w:ascii="Times New Roman" w:hAnsi="Times New Roman" w:cs="Times New Roman"/>
          <w:sz w:val="24"/>
        </w:rPr>
        <w:t>Vol. 121, No. 3, pp. 783-821.</w:t>
      </w:r>
    </w:p>
    <w:p w14:paraId="1EB3C652" w14:textId="735EA971" w:rsidR="00CC789E" w:rsidRDefault="00CC789E" w:rsidP="00854634">
      <w:pPr>
        <w:shd w:val="clear" w:color="auto" w:fill="FFFFFF"/>
        <w:spacing w:line="240" w:lineRule="atLeast"/>
        <w:ind w:left="720" w:hanging="720"/>
        <w:rPr>
          <w:rFonts w:ascii="Times New Roman" w:hAnsi="Times New Roman" w:cs="Times New Roman"/>
          <w:sz w:val="24"/>
        </w:rPr>
      </w:pPr>
      <w:proofErr w:type="spellStart"/>
      <w:r>
        <w:rPr>
          <w:rFonts w:ascii="Times New Roman" w:hAnsi="Times New Roman" w:cs="Times New Roman"/>
          <w:sz w:val="24"/>
        </w:rPr>
        <w:t>Mitra</w:t>
      </w:r>
      <w:proofErr w:type="spellEnd"/>
      <w:r>
        <w:rPr>
          <w:rFonts w:ascii="Times New Roman" w:hAnsi="Times New Roman" w:cs="Times New Roman"/>
          <w:sz w:val="24"/>
        </w:rPr>
        <w:t>-Kahn, Benjamin H. 2008. “Debunking the Myths of Computable General Equilibrium Models.” Working Paper 2008-1. Schwartz Center for Economic Policy Analysis.</w:t>
      </w:r>
    </w:p>
    <w:p w14:paraId="785DC27D" w14:textId="77777777" w:rsidR="00EB01FE" w:rsidRPr="007F3CAB" w:rsidRDefault="00EB01FE" w:rsidP="007F3CAB">
      <w:pPr>
        <w:shd w:val="clear" w:color="auto" w:fill="FFFFFF"/>
        <w:spacing w:line="240" w:lineRule="atLeast"/>
        <w:ind w:left="720" w:hanging="720"/>
        <w:contextualSpacing/>
        <w:rPr>
          <w:rFonts w:ascii="Times New Roman" w:hAnsi="Times New Roman" w:cs="Times New Roman"/>
          <w:i/>
          <w:sz w:val="24"/>
        </w:rPr>
      </w:pPr>
      <w:r w:rsidRPr="00EB01FE">
        <w:rPr>
          <w:rFonts w:ascii="Times New Roman" w:hAnsi="Times New Roman" w:cs="Times New Roman"/>
          <w:sz w:val="24"/>
        </w:rPr>
        <w:t xml:space="preserve">Moffitt, R. (2015a). “Multiple Program Participation and the SNAP Program.” In </w:t>
      </w:r>
      <w:r w:rsidRPr="007F3CAB">
        <w:rPr>
          <w:rFonts w:ascii="Times New Roman" w:hAnsi="Times New Roman" w:cs="Times New Roman"/>
          <w:i/>
          <w:sz w:val="24"/>
        </w:rPr>
        <w:t>SNAP Matters:</w:t>
      </w:r>
    </w:p>
    <w:p w14:paraId="67BEE906" w14:textId="62EB2532" w:rsidR="00EB01FE" w:rsidRDefault="00EB01FE" w:rsidP="007F3CAB">
      <w:pPr>
        <w:ind w:left="720"/>
        <w:contextualSpacing/>
        <w:rPr>
          <w:rFonts w:ascii="Times New Roman" w:hAnsi="Times New Roman" w:cs="Times New Roman"/>
          <w:sz w:val="24"/>
        </w:rPr>
      </w:pPr>
      <w:r w:rsidRPr="007F3CAB">
        <w:rPr>
          <w:rFonts w:ascii="Times New Roman" w:hAnsi="Times New Roman" w:cs="Times New Roman"/>
          <w:i/>
          <w:sz w:val="24"/>
        </w:rPr>
        <w:t>How Food Stamps Affect Health and Well Being</w:t>
      </w:r>
      <w:r w:rsidRPr="00EB01FE">
        <w:rPr>
          <w:rFonts w:ascii="Times New Roman" w:hAnsi="Times New Roman" w:cs="Times New Roman"/>
          <w:sz w:val="24"/>
        </w:rPr>
        <w:t xml:space="preserve">, J. </w:t>
      </w:r>
      <w:proofErr w:type="spellStart"/>
      <w:r w:rsidRPr="00EB01FE">
        <w:rPr>
          <w:rFonts w:ascii="Times New Roman" w:hAnsi="Times New Roman" w:cs="Times New Roman"/>
          <w:sz w:val="24"/>
        </w:rPr>
        <w:t>Bartfeld</w:t>
      </w:r>
      <w:proofErr w:type="spellEnd"/>
      <w:r w:rsidRPr="00EB01FE">
        <w:rPr>
          <w:rFonts w:ascii="Times New Roman" w:hAnsi="Times New Roman" w:cs="Times New Roman"/>
          <w:sz w:val="24"/>
        </w:rPr>
        <w:t xml:space="preserve">, C. </w:t>
      </w:r>
      <w:proofErr w:type="spellStart"/>
      <w:r w:rsidRPr="00EB01FE">
        <w:rPr>
          <w:rFonts w:ascii="Times New Roman" w:hAnsi="Times New Roman" w:cs="Times New Roman"/>
          <w:sz w:val="24"/>
        </w:rPr>
        <w:t>Gundersen</w:t>
      </w:r>
      <w:proofErr w:type="spellEnd"/>
      <w:r w:rsidRPr="00EB01FE">
        <w:rPr>
          <w:rFonts w:ascii="Times New Roman" w:hAnsi="Times New Roman" w:cs="Times New Roman"/>
          <w:sz w:val="24"/>
        </w:rPr>
        <w:t xml:space="preserve">, T. </w:t>
      </w:r>
      <w:proofErr w:type="spellStart"/>
      <w:r w:rsidRPr="00EB01FE">
        <w:rPr>
          <w:rFonts w:ascii="Times New Roman" w:hAnsi="Times New Roman" w:cs="Times New Roman"/>
          <w:sz w:val="24"/>
        </w:rPr>
        <w:t>Smeeding</w:t>
      </w:r>
      <w:proofErr w:type="spellEnd"/>
      <w:r w:rsidRPr="00EB01FE">
        <w:rPr>
          <w:rFonts w:ascii="Times New Roman" w:hAnsi="Times New Roman" w:cs="Times New Roman"/>
          <w:sz w:val="24"/>
        </w:rPr>
        <w:t>,</w:t>
      </w:r>
      <w:r>
        <w:rPr>
          <w:rFonts w:ascii="Times New Roman" w:hAnsi="Times New Roman" w:cs="Times New Roman"/>
          <w:sz w:val="24"/>
        </w:rPr>
        <w:t xml:space="preserve"> </w:t>
      </w:r>
      <w:r w:rsidRPr="00EB01FE">
        <w:rPr>
          <w:rFonts w:ascii="Times New Roman" w:hAnsi="Times New Roman" w:cs="Times New Roman"/>
          <w:sz w:val="24"/>
        </w:rPr>
        <w:t xml:space="preserve">&amp; J.P. </w:t>
      </w:r>
      <w:proofErr w:type="spellStart"/>
      <w:r w:rsidRPr="00EB01FE">
        <w:rPr>
          <w:rFonts w:ascii="Times New Roman" w:hAnsi="Times New Roman" w:cs="Times New Roman"/>
          <w:sz w:val="24"/>
        </w:rPr>
        <w:t>Ziliak</w:t>
      </w:r>
      <w:proofErr w:type="spellEnd"/>
      <w:r w:rsidRPr="00EB01FE">
        <w:rPr>
          <w:rFonts w:ascii="Times New Roman" w:hAnsi="Times New Roman" w:cs="Times New Roman"/>
          <w:sz w:val="24"/>
        </w:rPr>
        <w:t xml:space="preserve"> (eds.), Stanford, CA: Stanford University Press.</w:t>
      </w:r>
    </w:p>
    <w:p w14:paraId="3B74F368" w14:textId="77777777" w:rsidR="00EB01FE" w:rsidRPr="00854634" w:rsidRDefault="00EB01FE" w:rsidP="007F3CAB">
      <w:pPr>
        <w:shd w:val="clear" w:color="auto" w:fill="FFFFFF"/>
        <w:spacing w:line="240" w:lineRule="atLeast"/>
        <w:contextualSpacing/>
        <w:rPr>
          <w:rFonts w:ascii="Times New Roman" w:hAnsi="Times New Roman" w:cs="Times New Roman"/>
          <w:color w:val="333333"/>
          <w:sz w:val="24"/>
        </w:rPr>
      </w:pPr>
    </w:p>
    <w:p w14:paraId="1B3F2A40" w14:textId="77777777" w:rsidR="00854634" w:rsidRPr="00273446" w:rsidRDefault="00854634" w:rsidP="00854634">
      <w:pPr>
        <w:ind w:left="720" w:hanging="720"/>
        <w:contextualSpacing/>
        <w:rPr>
          <w:rFonts w:ascii="Times New Roman" w:hAnsi="Times New Roman" w:cs="Times New Roman"/>
          <w:sz w:val="24"/>
          <w:szCs w:val="24"/>
        </w:rPr>
      </w:pPr>
      <w:proofErr w:type="spellStart"/>
      <w:r w:rsidRPr="00273446">
        <w:rPr>
          <w:rFonts w:ascii="Times New Roman" w:hAnsi="Times New Roman" w:cs="Times New Roman"/>
          <w:sz w:val="24"/>
          <w:szCs w:val="24"/>
        </w:rPr>
        <w:t>Neumark</w:t>
      </w:r>
      <w:proofErr w:type="spellEnd"/>
      <w:r w:rsidRPr="00273446">
        <w:rPr>
          <w:rFonts w:ascii="Times New Roman" w:hAnsi="Times New Roman" w:cs="Times New Roman"/>
          <w:sz w:val="24"/>
          <w:szCs w:val="24"/>
        </w:rPr>
        <w:t xml:space="preserve">, D. 2004. “The Economic Effects of Mandated Wage Floors.” Public Policy Institute of California. </w:t>
      </w:r>
    </w:p>
    <w:p w14:paraId="7CB69F64" w14:textId="77777777" w:rsidR="00854634" w:rsidRDefault="00854634" w:rsidP="00854634">
      <w:pPr>
        <w:spacing w:after="0" w:line="240" w:lineRule="auto"/>
        <w:ind w:left="720" w:hanging="720"/>
        <w:contextualSpacing/>
        <w:rPr>
          <w:rFonts w:ascii="Times New Roman" w:hAnsi="Times New Roman" w:cs="Times New Roman"/>
          <w:sz w:val="24"/>
          <w:szCs w:val="24"/>
        </w:rPr>
      </w:pPr>
    </w:p>
    <w:p w14:paraId="6144AB98" w14:textId="77777777" w:rsidR="00854634" w:rsidRPr="005621B3" w:rsidRDefault="00854634" w:rsidP="00854634">
      <w:pPr>
        <w:ind w:left="720" w:hanging="720"/>
        <w:contextualSpacing/>
        <w:rPr>
          <w:rFonts w:ascii="Times New Roman" w:hAnsi="Times New Roman" w:cs="Times New Roman"/>
          <w:sz w:val="24"/>
          <w:szCs w:val="24"/>
        </w:rPr>
      </w:pPr>
      <w:proofErr w:type="spellStart"/>
      <w:r w:rsidRPr="005621B3">
        <w:rPr>
          <w:rFonts w:ascii="Times New Roman" w:hAnsi="Times New Roman" w:cs="Times New Roman"/>
          <w:sz w:val="24"/>
          <w:szCs w:val="24"/>
        </w:rPr>
        <w:t>Neumark</w:t>
      </w:r>
      <w:proofErr w:type="spellEnd"/>
      <w:r w:rsidRPr="005621B3">
        <w:rPr>
          <w:rFonts w:ascii="Times New Roman" w:hAnsi="Times New Roman" w:cs="Times New Roman"/>
          <w:sz w:val="24"/>
          <w:szCs w:val="24"/>
        </w:rPr>
        <w:t xml:space="preserve">, D., and W. </w:t>
      </w:r>
      <w:proofErr w:type="spellStart"/>
      <w:r w:rsidRPr="005621B3">
        <w:rPr>
          <w:rFonts w:ascii="Times New Roman" w:hAnsi="Times New Roman" w:cs="Times New Roman"/>
          <w:sz w:val="24"/>
          <w:szCs w:val="24"/>
        </w:rPr>
        <w:t>Wascher</w:t>
      </w:r>
      <w:proofErr w:type="spellEnd"/>
      <w:r w:rsidRPr="005621B3">
        <w:rPr>
          <w:rFonts w:ascii="Times New Roman" w:hAnsi="Times New Roman" w:cs="Times New Roman"/>
          <w:sz w:val="24"/>
          <w:szCs w:val="24"/>
        </w:rPr>
        <w:t xml:space="preserve">. 2007. “Minimum Wages and Employment.” IZA Discussion Papers No. 2570. </w:t>
      </w:r>
    </w:p>
    <w:p w14:paraId="276F87BA" w14:textId="77777777" w:rsidR="00854634" w:rsidRDefault="00854634" w:rsidP="00854634">
      <w:pPr>
        <w:spacing w:after="0" w:line="240" w:lineRule="auto"/>
        <w:ind w:left="720" w:hanging="720"/>
        <w:contextualSpacing/>
        <w:rPr>
          <w:rFonts w:ascii="Times New Roman" w:hAnsi="Times New Roman" w:cs="Times New Roman"/>
          <w:sz w:val="24"/>
          <w:szCs w:val="24"/>
        </w:rPr>
      </w:pPr>
    </w:p>
    <w:p w14:paraId="2277D7F6" w14:textId="77777777" w:rsidR="00854634" w:rsidRPr="00854634" w:rsidRDefault="00854634" w:rsidP="00854634">
      <w:pPr>
        <w:ind w:left="720" w:hanging="720"/>
        <w:contextualSpacing/>
        <w:rPr>
          <w:rFonts w:ascii="Times New Roman" w:hAnsi="Times New Roman" w:cs="Times New Roman"/>
          <w:sz w:val="24"/>
          <w:szCs w:val="24"/>
        </w:rPr>
      </w:pPr>
      <w:proofErr w:type="spellStart"/>
      <w:r w:rsidRPr="00854634">
        <w:rPr>
          <w:rFonts w:ascii="Times New Roman" w:hAnsi="Times New Roman" w:cs="Times New Roman"/>
          <w:sz w:val="24"/>
          <w:szCs w:val="24"/>
        </w:rPr>
        <w:t>Neumark</w:t>
      </w:r>
      <w:proofErr w:type="spellEnd"/>
      <w:r w:rsidRPr="00854634">
        <w:rPr>
          <w:rFonts w:ascii="Times New Roman" w:hAnsi="Times New Roman" w:cs="Times New Roman"/>
          <w:sz w:val="24"/>
          <w:szCs w:val="24"/>
        </w:rPr>
        <w:t xml:space="preserve">, D., &amp; </w:t>
      </w:r>
      <w:proofErr w:type="spellStart"/>
      <w:r w:rsidRPr="00854634">
        <w:rPr>
          <w:rFonts w:ascii="Times New Roman" w:hAnsi="Times New Roman" w:cs="Times New Roman"/>
          <w:sz w:val="24"/>
          <w:szCs w:val="24"/>
        </w:rPr>
        <w:t>Wascher</w:t>
      </w:r>
      <w:proofErr w:type="spellEnd"/>
      <w:r w:rsidRPr="00854634">
        <w:rPr>
          <w:rFonts w:ascii="Times New Roman" w:hAnsi="Times New Roman" w:cs="Times New Roman"/>
          <w:sz w:val="24"/>
          <w:szCs w:val="24"/>
        </w:rPr>
        <w:t xml:space="preserve">, W. (2001). Using the EITC to Help Poor Families: New Evidence and a Comparison with the Minimum Wage. National Tax Journal 54(2): 281-318. </w:t>
      </w:r>
    </w:p>
    <w:p w14:paraId="15FD09D9" w14:textId="77777777" w:rsidR="00854634" w:rsidRDefault="00854634" w:rsidP="00854634">
      <w:pPr>
        <w:spacing w:after="0" w:line="240" w:lineRule="auto"/>
        <w:ind w:left="720" w:hanging="720"/>
        <w:rPr>
          <w:rFonts w:ascii="Times New Roman" w:hAnsi="Times New Roman" w:cs="Times New Roman"/>
          <w:sz w:val="24"/>
          <w:szCs w:val="24"/>
        </w:rPr>
      </w:pPr>
    </w:p>
    <w:p w14:paraId="6AA4C7DD" w14:textId="77777777" w:rsidR="00854634" w:rsidRPr="00EC36A4" w:rsidRDefault="00854634" w:rsidP="00854634">
      <w:pPr>
        <w:ind w:left="720" w:hanging="720"/>
        <w:rPr>
          <w:rFonts w:ascii="Times New Roman" w:hAnsi="Times New Roman" w:cs="Times New Roman"/>
          <w:sz w:val="24"/>
          <w:szCs w:val="24"/>
        </w:rPr>
      </w:pPr>
      <w:r w:rsidRPr="00EC36A4">
        <w:rPr>
          <w:rFonts w:ascii="Times New Roman" w:hAnsi="Times New Roman" w:cs="Times New Roman"/>
          <w:sz w:val="24"/>
          <w:szCs w:val="24"/>
        </w:rPr>
        <w:t xml:space="preserve">Nichols, A., and J. </w:t>
      </w:r>
      <w:proofErr w:type="spellStart"/>
      <w:r w:rsidRPr="00EC36A4">
        <w:rPr>
          <w:rFonts w:ascii="Times New Roman" w:hAnsi="Times New Roman" w:cs="Times New Roman"/>
          <w:sz w:val="24"/>
          <w:szCs w:val="24"/>
        </w:rPr>
        <w:t>Schwabish</w:t>
      </w:r>
      <w:proofErr w:type="spellEnd"/>
      <w:r w:rsidRPr="00EC36A4">
        <w:rPr>
          <w:rFonts w:ascii="Times New Roman" w:hAnsi="Times New Roman" w:cs="Times New Roman"/>
          <w:sz w:val="24"/>
          <w:szCs w:val="24"/>
        </w:rPr>
        <w:t xml:space="preserve">. 2014. “Effects of a Higher Minimum Wage in the District of Columbia.” Urban Institute. </w:t>
      </w:r>
    </w:p>
    <w:p w14:paraId="4E945EC6" w14:textId="77777777" w:rsidR="00854634" w:rsidRPr="0010540C" w:rsidRDefault="00854634" w:rsidP="00854634">
      <w:pPr>
        <w:ind w:left="720" w:hanging="720"/>
        <w:rPr>
          <w:rFonts w:ascii="Times New Roman" w:hAnsi="Times New Roman" w:cs="Times New Roman"/>
          <w:sz w:val="24"/>
          <w:szCs w:val="24"/>
        </w:rPr>
      </w:pPr>
      <w:r w:rsidRPr="0010540C">
        <w:rPr>
          <w:rFonts w:ascii="Times New Roman" w:hAnsi="Times New Roman" w:cs="Times New Roman"/>
          <w:sz w:val="24"/>
          <w:szCs w:val="24"/>
        </w:rPr>
        <w:t>Reich, Michael, Peter Hall, and Ken Jacobs. 2003. Living Wages and Economic Performance: The San Francisco Airport Model. Berkeley, Calif.: Institute of Industrial Relations.</w:t>
      </w:r>
    </w:p>
    <w:p w14:paraId="4D16AA91" w14:textId="1AF836C8" w:rsidR="005D660E" w:rsidRDefault="00286D07" w:rsidP="005D660E">
      <w:pPr>
        <w:pStyle w:val="NoSpacing"/>
      </w:pPr>
      <w:r>
        <w:rPr>
          <w:rFonts w:ascii="Times New Roman" w:hAnsi="Times New Roman" w:cs="Times New Roman"/>
          <w:sz w:val="24"/>
          <w:szCs w:val="24"/>
        </w:rPr>
        <w:t xml:space="preserve">REMI, 2015, </w:t>
      </w:r>
      <w:r w:rsidR="005D660E" w:rsidRPr="005D660E">
        <w:rPr>
          <w:rFonts w:ascii="Times New Roman" w:hAnsi="Times New Roman" w:cs="Times New Roman"/>
          <w:sz w:val="24"/>
          <w:szCs w:val="24"/>
        </w:rPr>
        <w:t>Model Equations for PI+ 1.7:</w:t>
      </w:r>
      <w:r w:rsidR="005D660E">
        <w:t xml:space="preserve"> </w:t>
      </w:r>
    </w:p>
    <w:p w14:paraId="2D04A494" w14:textId="2A59AB8B" w:rsidR="00854634" w:rsidRDefault="000502DB" w:rsidP="005D660E">
      <w:pPr>
        <w:pStyle w:val="NoSpacing"/>
        <w:ind w:firstLine="720"/>
      </w:pPr>
      <w:hyperlink r:id="rId10" w:history="1">
        <w:r w:rsidR="005D660E" w:rsidRPr="003557BF">
          <w:rPr>
            <w:rStyle w:val="Hyperlink"/>
            <w:rFonts w:ascii="Times New Roman" w:hAnsi="Times New Roman" w:cs="Times New Roman"/>
          </w:rPr>
          <w:t>http://www.remi.com/download/pi-v1-7-model-equations-2?wpdmdl=7421</w:t>
        </w:r>
      </w:hyperlink>
    </w:p>
    <w:p w14:paraId="27DDFA30" w14:textId="77777777" w:rsidR="005D660E" w:rsidRDefault="005D660E" w:rsidP="005D660E">
      <w:pPr>
        <w:pStyle w:val="NoSpacing"/>
        <w:rPr>
          <w:sz w:val="24"/>
          <w:szCs w:val="24"/>
        </w:rPr>
      </w:pPr>
    </w:p>
    <w:p w14:paraId="262A82A8" w14:textId="77777777" w:rsidR="00854634" w:rsidRPr="00273446" w:rsidRDefault="00854634" w:rsidP="00854634">
      <w:pPr>
        <w:ind w:left="720" w:hanging="720"/>
        <w:outlineLvl w:val="0"/>
        <w:rPr>
          <w:rFonts w:ascii="Times New Roman" w:hAnsi="Times New Roman" w:cs="Times New Roman"/>
          <w:sz w:val="24"/>
          <w:szCs w:val="24"/>
        </w:rPr>
      </w:pPr>
      <w:proofErr w:type="spellStart"/>
      <w:r>
        <w:rPr>
          <w:rFonts w:ascii="Times New Roman" w:hAnsi="Times New Roman" w:cs="Times New Roman"/>
          <w:sz w:val="24"/>
          <w:szCs w:val="24"/>
        </w:rPr>
        <w:t>Sabia</w:t>
      </w:r>
      <w:proofErr w:type="spellEnd"/>
      <w:r>
        <w:rPr>
          <w:rFonts w:ascii="Times New Roman" w:hAnsi="Times New Roman" w:cs="Times New Roman"/>
          <w:sz w:val="24"/>
          <w:szCs w:val="24"/>
        </w:rPr>
        <w:t>, J.J. 2014. The Minimum Wage: No Feature, All Bugs. Journal of Policy Analysis and Management 33(4): 1043-1046.</w:t>
      </w:r>
    </w:p>
    <w:p w14:paraId="47E3260C" w14:textId="77777777" w:rsidR="00854634" w:rsidRPr="00273446" w:rsidRDefault="00854634" w:rsidP="00854634">
      <w:pPr>
        <w:ind w:left="720" w:hanging="720"/>
        <w:rPr>
          <w:rFonts w:ascii="Times New Roman" w:hAnsi="Times New Roman" w:cs="Times New Roman"/>
          <w:sz w:val="24"/>
          <w:szCs w:val="24"/>
        </w:rPr>
      </w:pPr>
      <w:proofErr w:type="spellStart"/>
      <w:r w:rsidRPr="00273446">
        <w:rPr>
          <w:rFonts w:ascii="Times New Roman" w:hAnsi="Times New Roman" w:cs="Times New Roman"/>
          <w:sz w:val="24"/>
          <w:szCs w:val="24"/>
        </w:rPr>
        <w:t>Sabia</w:t>
      </w:r>
      <w:proofErr w:type="spellEnd"/>
      <w:r w:rsidRPr="00273446">
        <w:rPr>
          <w:rFonts w:ascii="Times New Roman" w:hAnsi="Times New Roman" w:cs="Times New Roman"/>
          <w:sz w:val="24"/>
          <w:szCs w:val="24"/>
        </w:rPr>
        <w:t xml:space="preserve">, J.J., </w:t>
      </w:r>
      <w:proofErr w:type="spellStart"/>
      <w:r w:rsidRPr="00273446">
        <w:rPr>
          <w:rFonts w:ascii="Times New Roman" w:hAnsi="Times New Roman" w:cs="Times New Roman"/>
          <w:sz w:val="24"/>
          <w:szCs w:val="24"/>
        </w:rPr>
        <w:t>Burkhauser</w:t>
      </w:r>
      <w:proofErr w:type="spellEnd"/>
      <w:r w:rsidRPr="00273446">
        <w:rPr>
          <w:rFonts w:ascii="Times New Roman" w:hAnsi="Times New Roman" w:cs="Times New Roman"/>
          <w:sz w:val="24"/>
          <w:szCs w:val="24"/>
        </w:rPr>
        <w:t xml:space="preserve">, R., and B. Hansen. 2012. “Are Minimum Wage Effects Always Small? Evidence from a Case Study of New York State,” </w:t>
      </w:r>
      <w:r w:rsidRPr="00273446">
        <w:rPr>
          <w:rFonts w:ascii="Times New Roman" w:hAnsi="Times New Roman" w:cs="Times New Roman"/>
          <w:i/>
          <w:sz w:val="24"/>
          <w:szCs w:val="24"/>
        </w:rPr>
        <w:t>Industrial and Labor Relations Review</w:t>
      </w:r>
      <w:r w:rsidRPr="00273446">
        <w:rPr>
          <w:rFonts w:ascii="Times New Roman" w:hAnsi="Times New Roman" w:cs="Times New Roman"/>
          <w:sz w:val="24"/>
          <w:szCs w:val="24"/>
        </w:rPr>
        <w:t xml:space="preserve"> 65(2): 350-376.</w:t>
      </w:r>
    </w:p>
    <w:p w14:paraId="70376AFB" w14:textId="7EA55765" w:rsidR="00854634" w:rsidRDefault="00854634" w:rsidP="00854634">
      <w:pPr>
        <w:ind w:left="720" w:hanging="720"/>
        <w:rPr>
          <w:rFonts w:ascii="Times New Roman" w:hAnsi="Times New Roman" w:cs="Times New Roman"/>
          <w:sz w:val="24"/>
          <w:szCs w:val="24"/>
        </w:rPr>
      </w:pPr>
      <w:proofErr w:type="spellStart"/>
      <w:r w:rsidRPr="00273446">
        <w:rPr>
          <w:rFonts w:ascii="Times New Roman" w:hAnsi="Times New Roman" w:cs="Times New Roman"/>
          <w:sz w:val="24"/>
          <w:szCs w:val="24"/>
        </w:rPr>
        <w:t>Silvestri</w:t>
      </w:r>
      <w:proofErr w:type="spellEnd"/>
      <w:r w:rsidRPr="00273446">
        <w:rPr>
          <w:rFonts w:ascii="Times New Roman" w:hAnsi="Times New Roman" w:cs="Times New Roman"/>
          <w:sz w:val="24"/>
          <w:szCs w:val="24"/>
        </w:rPr>
        <w:t xml:space="preserve">, G.T. and J. </w:t>
      </w:r>
      <w:proofErr w:type="spellStart"/>
      <w:r w:rsidRPr="00273446">
        <w:rPr>
          <w:rFonts w:ascii="Times New Roman" w:hAnsi="Times New Roman" w:cs="Times New Roman"/>
          <w:sz w:val="24"/>
          <w:szCs w:val="24"/>
        </w:rPr>
        <w:t>Segalof</w:t>
      </w:r>
      <w:proofErr w:type="spellEnd"/>
      <w:r w:rsidRPr="00273446">
        <w:rPr>
          <w:rFonts w:ascii="Times New Roman" w:hAnsi="Times New Roman" w:cs="Times New Roman"/>
          <w:sz w:val="24"/>
          <w:szCs w:val="24"/>
        </w:rPr>
        <w:t xml:space="preserve">, </w:t>
      </w:r>
      <w:r w:rsidRPr="00273446">
        <w:rPr>
          <w:rFonts w:ascii="Times New Roman" w:hAnsi="Times New Roman" w:cs="Times New Roman"/>
          <w:i/>
          <w:sz w:val="24"/>
          <w:szCs w:val="24"/>
        </w:rPr>
        <w:t xml:space="preserve">National Industry-Occupation Employment Matrix, 1970, 1978, and Projected 1990: Bulletin of the United States Bureau of Labor Statistics, No. 2086, </w:t>
      </w:r>
      <w:r w:rsidRPr="00273446">
        <w:rPr>
          <w:rFonts w:ascii="Times New Roman" w:hAnsi="Times New Roman" w:cs="Times New Roman"/>
          <w:sz w:val="24"/>
          <w:szCs w:val="24"/>
        </w:rPr>
        <w:t>1981</w:t>
      </w:r>
      <w:r>
        <w:rPr>
          <w:rFonts w:ascii="Times New Roman" w:hAnsi="Times New Roman" w:cs="Times New Roman"/>
          <w:sz w:val="24"/>
          <w:szCs w:val="24"/>
        </w:rPr>
        <w:t>.</w:t>
      </w:r>
    </w:p>
    <w:p w14:paraId="28617F3F" w14:textId="77777777" w:rsidR="00EB01FE" w:rsidRPr="00EB01FE" w:rsidRDefault="00EB01FE" w:rsidP="007F3CAB">
      <w:pPr>
        <w:ind w:left="720" w:hanging="720"/>
        <w:contextualSpacing/>
        <w:rPr>
          <w:rFonts w:ascii="Times New Roman" w:eastAsia="Times New Roman" w:hAnsi="Times New Roman" w:cs="Times New Roman"/>
          <w:sz w:val="24"/>
          <w:szCs w:val="24"/>
        </w:rPr>
      </w:pPr>
      <w:proofErr w:type="spellStart"/>
      <w:r w:rsidRPr="00EB01FE">
        <w:rPr>
          <w:rFonts w:ascii="Times New Roman" w:eastAsia="Times New Roman" w:hAnsi="Times New Roman" w:cs="Times New Roman"/>
          <w:sz w:val="24"/>
          <w:szCs w:val="24"/>
        </w:rPr>
        <w:t>Steuerle</w:t>
      </w:r>
      <w:proofErr w:type="spellEnd"/>
      <w:r w:rsidRPr="00EB01FE">
        <w:rPr>
          <w:rFonts w:ascii="Times New Roman" w:eastAsia="Times New Roman" w:hAnsi="Times New Roman" w:cs="Times New Roman"/>
          <w:sz w:val="24"/>
          <w:szCs w:val="24"/>
        </w:rPr>
        <w:t>, E. (2015). “Marginal Tax Rates and 21st Century Social Welfare Reform.” Statement</w:t>
      </w:r>
    </w:p>
    <w:p w14:paraId="3F5B5440" w14:textId="77777777" w:rsidR="00EB01FE" w:rsidRPr="00EB01FE" w:rsidRDefault="00EB01FE" w:rsidP="007F3CAB">
      <w:pPr>
        <w:ind w:left="720"/>
        <w:contextualSpacing/>
        <w:rPr>
          <w:rFonts w:ascii="Times New Roman" w:eastAsia="Times New Roman" w:hAnsi="Times New Roman" w:cs="Times New Roman"/>
          <w:sz w:val="24"/>
          <w:szCs w:val="24"/>
        </w:rPr>
      </w:pPr>
      <w:proofErr w:type="gramStart"/>
      <w:r w:rsidRPr="00EB01FE">
        <w:rPr>
          <w:rFonts w:ascii="Times New Roman" w:eastAsia="Times New Roman" w:hAnsi="Times New Roman" w:cs="Times New Roman"/>
          <w:sz w:val="24"/>
          <w:szCs w:val="24"/>
        </w:rPr>
        <w:t>before</w:t>
      </w:r>
      <w:proofErr w:type="gramEnd"/>
      <w:r w:rsidRPr="00EB01FE">
        <w:rPr>
          <w:rFonts w:ascii="Times New Roman" w:eastAsia="Times New Roman" w:hAnsi="Times New Roman" w:cs="Times New Roman"/>
          <w:sz w:val="24"/>
          <w:szCs w:val="24"/>
        </w:rPr>
        <w:t xml:space="preserve"> Joint Hearing of the Subcommittee on Human Resources—Committee on Ways</w:t>
      </w:r>
    </w:p>
    <w:p w14:paraId="4B09DD5D" w14:textId="71FED5D0" w:rsidR="00EB01FE" w:rsidRDefault="00EB01FE" w:rsidP="007F3CAB">
      <w:pPr>
        <w:ind w:left="720"/>
        <w:contextualSpacing/>
        <w:rPr>
          <w:rFonts w:ascii="Times New Roman" w:eastAsia="Times New Roman" w:hAnsi="Times New Roman" w:cs="Times New Roman"/>
          <w:sz w:val="24"/>
          <w:szCs w:val="24"/>
        </w:rPr>
      </w:pPr>
      <w:proofErr w:type="gramStart"/>
      <w:r w:rsidRPr="00EB01FE">
        <w:rPr>
          <w:rFonts w:ascii="Times New Roman" w:eastAsia="Times New Roman" w:hAnsi="Times New Roman" w:cs="Times New Roman"/>
          <w:sz w:val="24"/>
          <w:szCs w:val="24"/>
        </w:rPr>
        <w:t>and</w:t>
      </w:r>
      <w:proofErr w:type="gramEnd"/>
      <w:r w:rsidRPr="00EB01FE">
        <w:rPr>
          <w:rFonts w:ascii="Times New Roman" w:eastAsia="Times New Roman" w:hAnsi="Times New Roman" w:cs="Times New Roman"/>
          <w:sz w:val="24"/>
          <w:szCs w:val="24"/>
        </w:rPr>
        <w:t xml:space="preserve"> Means, and Subcommittee on Nutrition—Committee on Agriculture.</w:t>
      </w:r>
    </w:p>
    <w:p w14:paraId="1EE16317" w14:textId="77777777" w:rsidR="00EB01FE" w:rsidRDefault="00EB01FE" w:rsidP="007F3CAB">
      <w:pPr>
        <w:ind w:left="720" w:hanging="720"/>
        <w:contextualSpacing/>
        <w:rPr>
          <w:rFonts w:ascii="Times New Roman" w:hAnsi="Times New Roman" w:cs="Times New Roman"/>
          <w:sz w:val="24"/>
          <w:szCs w:val="24"/>
        </w:rPr>
      </w:pPr>
    </w:p>
    <w:p w14:paraId="2816AB9D" w14:textId="170DD70A" w:rsidR="00822A63" w:rsidRDefault="00822A63" w:rsidP="00854634">
      <w:pPr>
        <w:ind w:left="720" w:hanging="720"/>
        <w:rPr>
          <w:rFonts w:ascii="Times New Roman" w:hAnsi="Times New Roman" w:cs="Times New Roman"/>
          <w:sz w:val="24"/>
          <w:szCs w:val="24"/>
        </w:rPr>
      </w:pPr>
      <w:r>
        <w:rPr>
          <w:rFonts w:ascii="Times New Roman" w:hAnsi="Times New Roman" w:cs="Times New Roman"/>
          <w:sz w:val="24"/>
          <w:szCs w:val="24"/>
        </w:rPr>
        <w:t xml:space="preserve">Sue Wing, I. </w:t>
      </w:r>
      <w:r w:rsidRPr="00822A63">
        <w:rPr>
          <w:rFonts w:ascii="Times New Roman" w:hAnsi="Times New Roman" w:cs="Times New Roman"/>
          <w:sz w:val="24"/>
          <w:szCs w:val="24"/>
        </w:rPr>
        <w:t>2004. CGE Models for Economy-Wide Policy Analysis, MIT Joint Program on the Scien</w:t>
      </w:r>
      <w:r>
        <w:rPr>
          <w:rFonts w:ascii="Times New Roman" w:hAnsi="Times New Roman" w:cs="Times New Roman"/>
          <w:sz w:val="24"/>
          <w:szCs w:val="24"/>
        </w:rPr>
        <w:t>ce and Policy of Global Change, T</w:t>
      </w:r>
      <w:r w:rsidRPr="00822A63">
        <w:rPr>
          <w:rFonts w:ascii="Times New Roman" w:hAnsi="Times New Roman" w:cs="Times New Roman"/>
          <w:sz w:val="24"/>
          <w:szCs w:val="24"/>
        </w:rPr>
        <w:t>echnical Note No. 6.</w:t>
      </w:r>
    </w:p>
    <w:p w14:paraId="19100A1C" w14:textId="0648EBE5" w:rsidR="00854634" w:rsidRDefault="00854634" w:rsidP="00854634">
      <w:pPr>
        <w:ind w:left="720" w:hanging="720"/>
        <w:rPr>
          <w:rFonts w:ascii="Times New Roman" w:hAnsi="Times New Roman" w:cs="Times New Roman"/>
          <w:sz w:val="24"/>
          <w:szCs w:val="24"/>
        </w:rPr>
      </w:pPr>
      <w:proofErr w:type="spellStart"/>
      <w:r>
        <w:rPr>
          <w:rFonts w:ascii="Times New Roman" w:hAnsi="Times New Roman" w:cs="Times New Roman"/>
          <w:sz w:val="24"/>
          <w:szCs w:val="24"/>
        </w:rPr>
        <w:t>Upadhyay</w:t>
      </w:r>
      <w:proofErr w:type="spellEnd"/>
      <w:r>
        <w:rPr>
          <w:rFonts w:ascii="Times New Roman" w:hAnsi="Times New Roman" w:cs="Times New Roman"/>
          <w:sz w:val="24"/>
          <w:szCs w:val="24"/>
        </w:rPr>
        <w:t>, A. 2017. “The Labor Supply Effects of the District of Columbia Earned Income Tax Credit</w:t>
      </w:r>
      <w:r w:rsidRPr="00D5089A">
        <w:rPr>
          <w:rFonts w:ascii="Times New Roman" w:hAnsi="Times New Roman" w:cs="Times New Roman"/>
          <w:sz w:val="24"/>
          <w:szCs w:val="24"/>
        </w:rPr>
        <w:t>.</w:t>
      </w:r>
      <w:r>
        <w:rPr>
          <w:rFonts w:ascii="Times New Roman" w:hAnsi="Times New Roman" w:cs="Times New Roman"/>
          <w:sz w:val="24"/>
          <w:szCs w:val="24"/>
        </w:rPr>
        <w:t>” Working Paper. Office of Revenue Analysis, District of Columbia Government, Washington, DC.</w:t>
      </w:r>
    </w:p>
    <w:p w14:paraId="669FB6A9" w14:textId="77777777" w:rsidR="000047EA" w:rsidRPr="000047EA" w:rsidRDefault="000047EA" w:rsidP="000047EA">
      <w:pPr>
        <w:pStyle w:val="NoSpacing"/>
        <w:rPr>
          <w:rFonts w:ascii="Times New Roman" w:hAnsi="Times New Roman" w:cs="Times New Roman"/>
          <w:sz w:val="24"/>
          <w:szCs w:val="24"/>
        </w:rPr>
      </w:pPr>
      <w:proofErr w:type="spellStart"/>
      <w:r w:rsidRPr="000047EA">
        <w:rPr>
          <w:rFonts w:ascii="Times New Roman" w:hAnsi="Times New Roman" w:cs="Times New Roman"/>
          <w:sz w:val="24"/>
          <w:szCs w:val="24"/>
        </w:rPr>
        <w:t>Treyz</w:t>
      </w:r>
      <w:proofErr w:type="spellEnd"/>
      <w:r w:rsidRPr="000047EA">
        <w:rPr>
          <w:rFonts w:ascii="Times New Roman" w:hAnsi="Times New Roman" w:cs="Times New Roman"/>
          <w:sz w:val="24"/>
          <w:szCs w:val="24"/>
        </w:rPr>
        <w:t xml:space="preserve">, George I., Rickman Dan S., and Shao Gang, 1992, </w:t>
      </w:r>
      <w:proofErr w:type="gramStart"/>
      <w:r w:rsidRPr="000047EA">
        <w:rPr>
          <w:rFonts w:ascii="Times New Roman" w:hAnsi="Times New Roman" w:cs="Times New Roman"/>
          <w:sz w:val="24"/>
          <w:szCs w:val="24"/>
        </w:rPr>
        <w:t>The</w:t>
      </w:r>
      <w:proofErr w:type="gramEnd"/>
      <w:r w:rsidRPr="000047EA">
        <w:rPr>
          <w:rFonts w:ascii="Times New Roman" w:hAnsi="Times New Roman" w:cs="Times New Roman"/>
          <w:sz w:val="24"/>
          <w:szCs w:val="24"/>
        </w:rPr>
        <w:t xml:space="preserve"> REMI Economic-Demographic</w:t>
      </w:r>
    </w:p>
    <w:p w14:paraId="684D9396" w14:textId="77777777" w:rsidR="000047EA" w:rsidRDefault="000047EA" w:rsidP="000047EA">
      <w:pPr>
        <w:pStyle w:val="NoSpacing"/>
        <w:rPr>
          <w:rFonts w:ascii="Times New Roman" w:hAnsi="Times New Roman" w:cs="Times New Roman"/>
          <w:sz w:val="24"/>
          <w:szCs w:val="24"/>
        </w:rPr>
      </w:pPr>
      <w:r w:rsidRPr="000047EA">
        <w:rPr>
          <w:rFonts w:ascii="Times New Roman" w:hAnsi="Times New Roman" w:cs="Times New Roman"/>
          <w:sz w:val="24"/>
          <w:szCs w:val="24"/>
        </w:rPr>
        <w:tab/>
        <w:t>Forecasting and Simulation Model, International Regional Science Review, Vol. 14, No.</w:t>
      </w:r>
    </w:p>
    <w:p w14:paraId="0A61B3C1" w14:textId="23296AD4" w:rsidR="000047EA" w:rsidRPr="000047EA" w:rsidRDefault="000047EA" w:rsidP="000047EA">
      <w:pPr>
        <w:pStyle w:val="NoSpacing"/>
        <w:ind w:firstLine="720"/>
        <w:rPr>
          <w:rFonts w:ascii="Times New Roman" w:hAnsi="Times New Roman" w:cs="Times New Roman"/>
          <w:sz w:val="24"/>
          <w:szCs w:val="24"/>
        </w:rPr>
      </w:pPr>
      <w:r w:rsidRPr="000047EA">
        <w:rPr>
          <w:rFonts w:ascii="Times New Roman" w:hAnsi="Times New Roman" w:cs="Times New Roman"/>
          <w:sz w:val="24"/>
          <w:szCs w:val="24"/>
        </w:rPr>
        <w:t>3, pp.</w:t>
      </w:r>
      <w:r>
        <w:rPr>
          <w:rFonts w:ascii="Times New Roman" w:hAnsi="Times New Roman" w:cs="Times New Roman"/>
          <w:sz w:val="24"/>
          <w:szCs w:val="24"/>
        </w:rPr>
        <w:t xml:space="preserve"> </w:t>
      </w:r>
      <w:r w:rsidRPr="000047EA">
        <w:rPr>
          <w:rFonts w:ascii="Times New Roman" w:hAnsi="Times New Roman" w:cs="Times New Roman"/>
          <w:sz w:val="24"/>
          <w:szCs w:val="24"/>
        </w:rPr>
        <w:t>221-253, 1992.</w:t>
      </w:r>
    </w:p>
    <w:p w14:paraId="6AA44445" w14:textId="77777777" w:rsidR="000047EA" w:rsidRDefault="000047EA" w:rsidP="00854634">
      <w:pPr>
        <w:ind w:left="720" w:hanging="720"/>
        <w:rPr>
          <w:rFonts w:ascii="Times New Roman" w:hAnsi="Times New Roman" w:cs="Times New Roman"/>
          <w:sz w:val="24"/>
          <w:szCs w:val="24"/>
        </w:rPr>
      </w:pPr>
    </w:p>
    <w:p w14:paraId="17608F71" w14:textId="77777777" w:rsidR="00854634" w:rsidRDefault="00854634" w:rsidP="00854634">
      <w:pPr>
        <w:ind w:left="720" w:hanging="720"/>
        <w:rPr>
          <w:rFonts w:ascii="Times New Roman" w:hAnsi="Times New Roman" w:cs="Times New Roman"/>
          <w:sz w:val="24"/>
          <w:szCs w:val="24"/>
        </w:rPr>
      </w:pPr>
      <w:proofErr w:type="spellStart"/>
      <w:r>
        <w:rPr>
          <w:rFonts w:ascii="Times New Roman" w:hAnsi="Times New Roman" w:cs="Times New Roman"/>
          <w:sz w:val="24"/>
          <w:szCs w:val="24"/>
        </w:rPr>
        <w:t>Weisbrod</w:t>
      </w:r>
      <w:proofErr w:type="spellEnd"/>
      <w:r>
        <w:rPr>
          <w:rFonts w:ascii="Times New Roman" w:hAnsi="Times New Roman" w:cs="Times New Roman"/>
          <w:sz w:val="24"/>
          <w:szCs w:val="24"/>
        </w:rPr>
        <w:t>, G., D. Vary, and G.</w:t>
      </w:r>
      <w:r w:rsidRPr="001945A4">
        <w:rPr>
          <w:rFonts w:ascii="Times New Roman" w:hAnsi="Times New Roman" w:cs="Times New Roman"/>
          <w:sz w:val="24"/>
          <w:szCs w:val="24"/>
        </w:rPr>
        <w:t xml:space="preserve"> </w:t>
      </w:r>
      <w:proofErr w:type="spellStart"/>
      <w:r w:rsidRPr="001945A4">
        <w:rPr>
          <w:rFonts w:ascii="Times New Roman" w:hAnsi="Times New Roman" w:cs="Times New Roman"/>
          <w:sz w:val="24"/>
          <w:szCs w:val="24"/>
        </w:rPr>
        <w:t>Treyz</w:t>
      </w:r>
      <w:proofErr w:type="spellEnd"/>
      <w:r w:rsidRPr="001945A4">
        <w:rPr>
          <w:rFonts w:ascii="Times New Roman" w:hAnsi="Times New Roman" w:cs="Times New Roman"/>
          <w:sz w:val="24"/>
          <w:szCs w:val="24"/>
        </w:rPr>
        <w:t xml:space="preserve">. </w:t>
      </w:r>
      <w:r>
        <w:rPr>
          <w:rFonts w:ascii="Times New Roman" w:hAnsi="Times New Roman" w:cs="Times New Roman"/>
          <w:sz w:val="24"/>
          <w:szCs w:val="24"/>
        </w:rPr>
        <w:t>2</w:t>
      </w:r>
      <w:r w:rsidRPr="001945A4">
        <w:rPr>
          <w:rFonts w:ascii="Times New Roman" w:hAnsi="Times New Roman" w:cs="Times New Roman"/>
          <w:sz w:val="24"/>
          <w:szCs w:val="24"/>
        </w:rPr>
        <w:t xml:space="preserve">001. “Project -21 – Final Report: Economic Implications of </w:t>
      </w:r>
      <w:r>
        <w:rPr>
          <w:rFonts w:ascii="Times New Roman" w:hAnsi="Times New Roman" w:cs="Times New Roman"/>
          <w:sz w:val="24"/>
          <w:szCs w:val="24"/>
        </w:rPr>
        <w:t>C</w:t>
      </w:r>
      <w:r w:rsidRPr="001945A4">
        <w:rPr>
          <w:rFonts w:ascii="Times New Roman" w:hAnsi="Times New Roman" w:cs="Times New Roman"/>
          <w:sz w:val="24"/>
          <w:szCs w:val="24"/>
        </w:rPr>
        <w:t xml:space="preserve">ongestion.” </w:t>
      </w:r>
      <w:r w:rsidRPr="001945A4">
        <w:rPr>
          <w:rFonts w:ascii="Times New Roman" w:hAnsi="Times New Roman" w:cs="Times New Roman"/>
          <w:i/>
          <w:sz w:val="24"/>
          <w:szCs w:val="24"/>
        </w:rPr>
        <w:t>Transportation Research Board, National Cooperative Highway Research Program Report 46</w:t>
      </w:r>
    </w:p>
    <w:p w14:paraId="30205AD9" w14:textId="6BA99D6B" w:rsidR="000047EA" w:rsidRDefault="000047EA">
      <w:pPr>
        <w:rPr>
          <w:rFonts w:ascii="Times New Roman" w:hAnsi="Times New Roman" w:cs="Times New Roman"/>
          <w:sz w:val="24"/>
          <w:szCs w:val="24"/>
        </w:rPr>
      </w:pPr>
    </w:p>
    <w:p w14:paraId="6508FF44" w14:textId="2535B509" w:rsidR="00AD2E8F" w:rsidRDefault="00AD2E8F">
      <w:pPr>
        <w:rPr>
          <w:rFonts w:ascii="Times New Roman" w:hAnsi="Times New Roman" w:cs="Times New Roman"/>
          <w:sz w:val="24"/>
          <w:szCs w:val="24"/>
        </w:rPr>
      </w:pPr>
    </w:p>
    <w:p w14:paraId="186EF23D" w14:textId="734FCB13" w:rsidR="00AD2E8F" w:rsidRDefault="00AD2E8F">
      <w:pPr>
        <w:rPr>
          <w:rFonts w:ascii="Times New Roman" w:hAnsi="Times New Roman" w:cs="Times New Roman"/>
          <w:sz w:val="24"/>
          <w:szCs w:val="24"/>
        </w:rPr>
      </w:pPr>
    </w:p>
    <w:p w14:paraId="572E8B97" w14:textId="2FAE0B14" w:rsidR="00AD2E8F" w:rsidRDefault="00AD2E8F">
      <w:pPr>
        <w:rPr>
          <w:rFonts w:ascii="Times New Roman" w:hAnsi="Times New Roman" w:cs="Times New Roman"/>
          <w:sz w:val="24"/>
          <w:szCs w:val="24"/>
        </w:rPr>
      </w:pPr>
    </w:p>
    <w:p w14:paraId="42EBD555" w14:textId="6C63FA43" w:rsidR="00AD2E8F" w:rsidRDefault="00AD2E8F">
      <w:pPr>
        <w:rPr>
          <w:rFonts w:ascii="Times New Roman" w:hAnsi="Times New Roman" w:cs="Times New Roman"/>
          <w:sz w:val="24"/>
          <w:szCs w:val="24"/>
        </w:rPr>
      </w:pPr>
    </w:p>
    <w:p w14:paraId="5284DB1E" w14:textId="4DD6F4A0" w:rsidR="00AD2E8F" w:rsidRDefault="00AD2E8F">
      <w:pPr>
        <w:rPr>
          <w:rFonts w:ascii="Times New Roman" w:hAnsi="Times New Roman" w:cs="Times New Roman"/>
          <w:sz w:val="24"/>
          <w:szCs w:val="24"/>
        </w:rPr>
      </w:pPr>
    </w:p>
    <w:p w14:paraId="4A737916" w14:textId="4AF92E76" w:rsidR="00AD2E8F" w:rsidRDefault="00AD2E8F">
      <w:pPr>
        <w:rPr>
          <w:rFonts w:ascii="Times New Roman" w:hAnsi="Times New Roman" w:cs="Times New Roman"/>
          <w:sz w:val="24"/>
          <w:szCs w:val="24"/>
        </w:rPr>
      </w:pPr>
    </w:p>
    <w:p w14:paraId="54784D2B" w14:textId="26353E78" w:rsidR="00AD2E8F" w:rsidRDefault="00AD2E8F">
      <w:pPr>
        <w:rPr>
          <w:rFonts w:ascii="Times New Roman" w:hAnsi="Times New Roman" w:cs="Times New Roman"/>
          <w:sz w:val="24"/>
          <w:szCs w:val="24"/>
        </w:rPr>
      </w:pPr>
    </w:p>
    <w:p w14:paraId="63AA3EE2" w14:textId="153B5446" w:rsidR="00AD2E8F" w:rsidRDefault="00AD2E8F">
      <w:pPr>
        <w:rPr>
          <w:rFonts w:ascii="Times New Roman" w:hAnsi="Times New Roman" w:cs="Times New Roman"/>
          <w:sz w:val="24"/>
          <w:szCs w:val="24"/>
        </w:rPr>
      </w:pPr>
    </w:p>
    <w:p w14:paraId="201CB1B0" w14:textId="07D95F85" w:rsidR="00AD2E8F" w:rsidRDefault="00AD2E8F">
      <w:pPr>
        <w:rPr>
          <w:rFonts w:ascii="Times New Roman" w:hAnsi="Times New Roman" w:cs="Times New Roman"/>
          <w:sz w:val="24"/>
          <w:szCs w:val="24"/>
        </w:rPr>
      </w:pPr>
    </w:p>
    <w:p w14:paraId="393215BB" w14:textId="51788B69" w:rsidR="00AD2E8F" w:rsidRDefault="00AD2E8F">
      <w:pPr>
        <w:rPr>
          <w:rFonts w:ascii="Times New Roman" w:hAnsi="Times New Roman" w:cs="Times New Roman"/>
          <w:sz w:val="24"/>
          <w:szCs w:val="24"/>
        </w:rPr>
      </w:pPr>
    </w:p>
    <w:p w14:paraId="18892B3D" w14:textId="614C92CF" w:rsidR="00AD2E8F" w:rsidRDefault="00AD2E8F">
      <w:pPr>
        <w:rPr>
          <w:rFonts w:ascii="Times New Roman" w:hAnsi="Times New Roman" w:cs="Times New Roman"/>
          <w:sz w:val="24"/>
          <w:szCs w:val="24"/>
        </w:rPr>
      </w:pPr>
    </w:p>
    <w:p w14:paraId="51A8EC42" w14:textId="587C90BE" w:rsidR="00AD2E8F" w:rsidRDefault="00AD2E8F">
      <w:pPr>
        <w:rPr>
          <w:rFonts w:ascii="Times New Roman" w:hAnsi="Times New Roman" w:cs="Times New Roman"/>
          <w:sz w:val="24"/>
          <w:szCs w:val="24"/>
        </w:rPr>
      </w:pPr>
    </w:p>
    <w:p w14:paraId="3DC9B106" w14:textId="7D991183" w:rsidR="00AD2E8F" w:rsidRDefault="00AD2E8F">
      <w:pPr>
        <w:rPr>
          <w:rFonts w:ascii="Times New Roman" w:hAnsi="Times New Roman" w:cs="Times New Roman"/>
          <w:sz w:val="24"/>
          <w:szCs w:val="24"/>
        </w:rPr>
      </w:pPr>
    </w:p>
    <w:p w14:paraId="7441C2BA" w14:textId="19D84864" w:rsidR="00AD2E8F" w:rsidRDefault="00AD2E8F">
      <w:pPr>
        <w:rPr>
          <w:rFonts w:ascii="Times New Roman" w:hAnsi="Times New Roman" w:cs="Times New Roman"/>
          <w:sz w:val="24"/>
          <w:szCs w:val="24"/>
        </w:rPr>
      </w:pPr>
    </w:p>
    <w:p w14:paraId="195DF0AF" w14:textId="43E72092" w:rsidR="00AD2E8F" w:rsidRDefault="00AD2E8F">
      <w:pPr>
        <w:rPr>
          <w:rFonts w:ascii="Times New Roman" w:hAnsi="Times New Roman" w:cs="Times New Roman"/>
          <w:sz w:val="24"/>
          <w:szCs w:val="24"/>
        </w:rPr>
      </w:pPr>
    </w:p>
    <w:p w14:paraId="14D96752" w14:textId="735D65F0" w:rsidR="00AD2E8F" w:rsidRDefault="00AD2E8F">
      <w:pPr>
        <w:rPr>
          <w:rFonts w:ascii="Times New Roman" w:hAnsi="Times New Roman" w:cs="Times New Roman"/>
          <w:sz w:val="24"/>
          <w:szCs w:val="24"/>
        </w:rPr>
      </w:pPr>
    </w:p>
    <w:p w14:paraId="611CAE62" w14:textId="245ACBBB" w:rsidR="00AD2E8F" w:rsidRDefault="00AD2E8F">
      <w:pPr>
        <w:rPr>
          <w:rFonts w:ascii="Times New Roman" w:hAnsi="Times New Roman" w:cs="Times New Roman"/>
          <w:sz w:val="24"/>
          <w:szCs w:val="24"/>
        </w:rPr>
      </w:pPr>
    </w:p>
    <w:p w14:paraId="4A468E83" w14:textId="0FD61FAB" w:rsidR="00AD2E8F" w:rsidRDefault="00AD2E8F">
      <w:pPr>
        <w:rPr>
          <w:rFonts w:ascii="Times New Roman" w:hAnsi="Times New Roman" w:cs="Times New Roman"/>
          <w:sz w:val="24"/>
          <w:szCs w:val="24"/>
        </w:rPr>
      </w:pPr>
    </w:p>
    <w:p w14:paraId="2489A210" w14:textId="4F1B0977" w:rsidR="00AD2E8F" w:rsidRDefault="00AD2E8F">
      <w:pPr>
        <w:rPr>
          <w:rFonts w:ascii="Times New Roman" w:hAnsi="Times New Roman" w:cs="Times New Roman"/>
          <w:sz w:val="24"/>
          <w:szCs w:val="24"/>
        </w:rPr>
      </w:pPr>
    </w:p>
    <w:p w14:paraId="5B470946" w14:textId="4F3BA39C" w:rsidR="00AD2E8F" w:rsidRDefault="00AD2E8F">
      <w:pPr>
        <w:rPr>
          <w:rFonts w:ascii="Times New Roman" w:hAnsi="Times New Roman" w:cs="Times New Roman"/>
          <w:sz w:val="24"/>
          <w:szCs w:val="24"/>
        </w:rPr>
      </w:pPr>
    </w:p>
    <w:p w14:paraId="3E008811" w14:textId="3570B956" w:rsidR="00AD2E8F" w:rsidRDefault="00AD2E8F">
      <w:pPr>
        <w:rPr>
          <w:rFonts w:ascii="Times New Roman" w:hAnsi="Times New Roman" w:cs="Times New Roman"/>
          <w:sz w:val="24"/>
          <w:szCs w:val="24"/>
        </w:rPr>
      </w:pPr>
    </w:p>
    <w:tbl>
      <w:tblPr>
        <w:tblW w:w="9807" w:type="dxa"/>
        <w:tblInd w:w="93" w:type="dxa"/>
        <w:tblLook w:val="04A0" w:firstRow="1" w:lastRow="0" w:firstColumn="1" w:lastColumn="0" w:noHBand="0" w:noVBand="1"/>
      </w:tblPr>
      <w:tblGrid>
        <w:gridCol w:w="2918"/>
        <w:gridCol w:w="1544"/>
        <w:gridCol w:w="893"/>
        <w:gridCol w:w="849"/>
        <w:gridCol w:w="849"/>
        <w:gridCol w:w="895"/>
        <w:gridCol w:w="895"/>
        <w:gridCol w:w="964"/>
      </w:tblGrid>
      <w:tr w:rsidR="008D5EAA" w:rsidRPr="00AA108E" w14:paraId="77C669C6" w14:textId="77777777" w:rsidTr="00AD2E8F">
        <w:trPr>
          <w:cantSplit/>
          <w:trHeight w:hRule="exact" w:val="288"/>
        </w:trPr>
        <w:tc>
          <w:tcPr>
            <w:tcW w:w="9807" w:type="dxa"/>
            <w:gridSpan w:val="8"/>
            <w:tcBorders>
              <w:bottom w:val="single" w:sz="8" w:space="0" w:color="auto"/>
            </w:tcBorders>
            <w:shd w:val="clear" w:color="auto" w:fill="auto"/>
            <w:noWrap/>
            <w:vAlign w:val="bottom"/>
          </w:tcPr>
          <w:p w14:paraId="044F784A" w14:textId="1866BB97" w:rsidR="008D5EAA" w:rsidRPr="00AA108E" w:rsidRDefault="008D5EAA" w:rsidP="00843AB5">
            <w:pPr>
              <w:rPr>
                <w:rFonts w:ascii="Times New Roman" w:hAnsi="Times New Roman" w:cs="Times New Roman"/>
                <w:b/>
                <w:color w:val="000000"/>
              </w:rPr>
            </w:pPr>
            <w:r w:rsidRPr="00AA108E">
              <w:rPr>
                <w:rFonts w:ascii="Times New Roman" w:hAnsi="Times New Roman" w:cs="Times New Roman"/>
                <w:b/>
              </w:rPr>
              <w:lastRenderedPageBreak/>
              <w:t>Table 1. The Number of Jobs Impacted by the DC $15 MWP, by Occupation</w:t>
            </w:r>
          </w:p>
        </w:tc>
      </w:tr>
      <w:tr w:rsidR="00561A85" w:rsidRPr="00AA108E" w14:paraId="530A5F4D" w14:textId="77777777" w:rsidTr="00AD2E8F">
        <w:trPr>
          <w:cantSplit/>
          <w:trHeight w:hRule="exact" w:val="576"/>
        </w:trPr>
        <w:tc>
          <w:tcPr>
            <w:tcW w:w="2918" w:type="dxa"/>
            <w:tcBorders>
              <w:top w:val="single" w:sz="8" w:space="0" w:color="auto"/>
              <w:bottom w:val="single" w:sz="4" w:space="0" w:color="auto"/>
            </w:tcBorders>
            <w:shd w:val="clear" w:color="auto" w:fill="auto"/>
            <w:noWrap/>
            <w:vAlign w:val="center"/>
          </w:tcPr>
          <w:p w14:paraId="43B99B14" w14:textId="77777777" w:rsidR="00561A85" w:rsidRPr="00AA108E" w:rsidRDefault="00561A85" w:rsidP="00E1785F">
            <w:pPr>
              <w:jc w:val="center"/>
              <w:rPr>
                <w:rFonts w:ascii="Times New Roman" w:hAnsi="Times New Roman" w:cs="Times New Roman"/>
                <w:color w:val="000000"/>
              </w:rPr>
            </w:pPr>
            <w:r w:rsidRPr="00AA108E">
              <w:rPr>
                <w:rFonts w:ascii="Times New Roman" w:hAnsi="Times New Roman" w:cs="Times New Roman"/>
                <w:color w:val="000000"/>
              </w:rPr>
              <w:t>2-digit SOC Occupation</w:t>
            </w:r>
          </w:p>
        </w:tc>
        <w:tc>
          <w:tcPr>
            <w:tcW w:w="5925" w:type="dxa"/>
            <w:gridSpan w:val="6"/>
            <w:shd w:val="clear" w:color="auto" w:fill="auto"/>
            <w:vAlign w:val="center"/>
          </w:tcPr>
          <w:p w14:paraId="21F633B5" w14:textId="6F6B7B47" w:rsidR="00561A85" w:rsidRPr="00AA108E" w:rsidRDefault="00843AB5" w:rsidP="00E1785F">
            <w:pPr>
              <w:jc w:val="center"/>
              <w:rPr>
                <w:rFonts w:ascii="Times New Roman" w:hAnsi="Times New Roman" w:cs="Times New Roman"/>
                <w:color w:val="000000"/>
              </w:rPr>
            </w:pPr>
            <w:r w:rsidRPr="00AA108E">
              <w:rPr>
                <w:rFonts w:ascii="Times New Roman" w:hAnsi="Times New Roman" w:cs="Times New Roman"/>
                <w:color w:val="000000"/>
              </w:rPr>
              <w:t xml:space="preserve">Jobs by Occupations and </w:t>
            </w:r>
            <w:r w:rsidR="00561A85" w:rsidRPr="00AA108E">
              <w:rPr>
                <w:rFonts w:ascii="Times New Roman" w:hAnsi="Times New Roman" w:cs="Times New Roman"/>
                <w:color w:val="000000"/>
              </w:rPr>
              <w:t>By 2014 Wage Rate Levels</w:t>
            </w:r>
          </w:p>
        </w:tc>
        <w:tc>
          <w:tcPr>
            <w:tcW w:w="964" w:type="dxa"/>
            <w:tcBorders>
              <w:top w:val="single" w:sz="8" w:space="0" w:color="auto"/>
              <w:bottom w:val="single" w:sz="4" w:space="0" w:color="auto"/>
            </w:tcBorders>
            <w:shd w:val="clear" w:color="auto" w:fill="auto"/>
            <w:noWrap/>
            <w:vAlign w:val="center"/>
          </w:tcPr>
          <w:p w14:paraId="6174A5D2" w14:textId="0CB84EA2" w:rsidR="00561A85" w:rsidRPr="00AA108E" w:rsidRDefault="00561A85" w:rsidP="00E1785F">
            <w:pPr>
              <w:jc w:val="center"/>
              <w:rPr>
                <w:rFonts w:ascii="Times New Roman" w:hAnsi="Times New Roman" w:cs="Times New Roman"/>
                <w:color w:val="000000"/>
              </w:rPr>
            </w:pPr>
            <w:r w:rsidRPr="00AA108E">
              <w:rPr>
                <w:rFonts w:ascii="Times New Roman" w:hAnsi="Times New Roman" w:cs="Times New Roman"/>
                <w:color w:val="000000"/>
              </w:rPr>
              <w:t>Total</w:t>
            </w:r>
            <w:r w:rsidR="00843AB5" w:rsidRPr="00AA108E">
              <w:rPr>
                <w:rFonts w:ascii="Times New Roman" w:hAnsi="Times New Roman" w:cs="Times New Roman"/>
                <w:color w:val="000000"/>
              </w:rPr>
              <w:t xml:space="preserve"> </w:t>
            </w:r>
            <w:r w:rsidRPr="00AA108E">
              <w:rPr>
                <w:rFonts w:ascii="Times New Roman" w:hAnsi="Times New Roman" w:cs="Times New Roman"/>
                <w:color w:val="000000"/>
              </w:rPr>
              <w:t>Jobs</w:t>
            </w:r>
          </w:p>
        </w:tc>
      </w:tr>
      <w:tr w:rsidR="00E1785F" w:rsidRPr="00AA108E" w14:paraId="10FC069F" w14:textId="77777777" w:rsidTr="00AD2E8F">
        <w:trPr>
          <w:cantSplit/>
          <w:trHeight w:hRule="exact" w:val="576"/>
        </w:trPr>
        <w:tc>
          <w:tcPr>
            <w:tcW w:w="2918" w:type="dxa"/>
            <w:tcBorders>
              <w:top w:val="single" w:sz="4" w:space="0" w:color="auto"/>
              <w:bottom w:val="single" w:sz="4" w:space="0" w:color="auto"/>
            </w:tcBorders>
            <w:shd w:val="clear" w:color="auto" w:fill="auto"/>
            <w:noWrap/>
            <w:vAlign w:val="bottom"/>
            <w:hideMark/>
          </w:tcPr>
          <w:p w14:paraId="4FF6EA08" w14:textId="77777777" w:rsidR="00561A85" w:rsidRPr="00AA108E" w:rsidRDefault="00561A85" w:rsidP="00561A85">
            <w:pPr>
              <w:rPr>
                <w:rFonts w:ascii="Times New Roman" w:hAnsi="Times New Roman" w:cs="Times New Roman"/>
                <w:b/>
                <w:color w:val="000000"/>
              </w:rPr>
            </w:pPr>
          </w:p>
        </w:tc>
        <w:tc>
          <w:tcPr>
            <w:tcW w:w="1544" w:type="dxa"/>
            <w:tcBorders>
              <w:top w:val="single" w:sz="4" w:space="0" w:color="auto"/>
              <w:bottom w:val="single" w:sz="4" w:space="0" w:color="auto"/>
            </w:tcBorders>
            <w:shd w:val="clear" w:color="auto" w:fill="auto"/>
            <w:vAlign w:val="center"/>
            <w:hideMark/>
          </w:tcPr>
          <w:p w14:paraId="4E7D25AC" w14:textId="209EC202" w:rsidR="00561A85" w:rsidRPr="00AA108E" w:rsidRDefault="00561A85" w:rsidP="00E1785F">
            <w:pPr>
              <w:jc w:val="center"/>
              <w:rPr>
                <w:rFonts w:ascii="Times New Roman" w:hAnsi="Times New Roman" w:cs="Times New Roman"/>
                <w:color w:val="000000"/>
              </w:rPr>
            </w:pPr>
            <w:r w:rsidRPr="00AA108E">
              <w:rPr>
                <w:rFonts w:ascii="Times New Roman" w:hAnsi="Times New Roman" w:cs="Times New Roman"/>
                <w:color w:val="000000"/>
              </w:rPr>
              <w:t xml:space="preserve">$8.25 (2014 </w:t>
            </w:r>
            <w:proofErr w:type="spellStart"/>
            <w:r w:rsidRPr="00AA108E">
              <w:rPr>
                <w:rFonts w:ascii="Times New Roman" w:hAnsi="Times New Roman" w:cs="Times New Roman"/>
                <w:color w:val="000000"/>
              </w:rPr>
              <w:t>Min.Wage</w:t>
            </w:r>
            <w:proofErr w:type="spellEnd"/>
            <w:r w:rsidRPr="00AA108E">
              <w:rPr>
                <w:rFonts w:ascii="Times New Roman" w:hAnsi="Times New Roman" w:cs="Times New Roman"/>
                <w:color w:val="000000"/>
              </w:rPr>
              <w:t>)</w:t>
            </w:r>
          </w:p>
        </w:tc>
        <w:tc>
          <w:tcPr>
            <w:tcW w:w="893" w:type="dxa"/>
            <w:tcBorders>
              <w:top w:val="single" w:sz="4" w:space="0" w:color="auto"/>
              <w:bottom w:val="single" w:sz="4" w:space="0" w:color="auto"/>
            </w:tcBorders>
            <w:shd w:val="clear" w:color="auto" w:fill="auto"/>
            <w:noWrap/>
            <w:vAlign w:val="center"/>
            <w:hideMark/>
          </w:tcPr>
          <w:p w14:paraId="321B1F7C" w14:textId="77777777" w:rsidR="00561A85" w:rsidRPr="00AA108E" w:rsidRDefault="00561A85" w:rsidP="00E1785F">
            <w:pPr>
              <w:jc w:val="center"/>
              <w:rPr>
                <w:rFonts w:ascii="Times New Roman" w:hAnsi="Times New Roman" w:cs="Times New Roman"/>
                <w:color w:val="000000"/>
              </w:rPr>
            </w:pPr>
            <w:r w:rsidRPr="00AA108E">
              <w:rPr>
                <w:rFonts w:ascii="Times New Roman" w:hAnsi="Times New Roman" w:cs="Times New Roman"/>
                <w:color w:val="000000"/>
              </w:rPr>
              <w:t>$8.25 -$11.50</w:t>
            </w:r>
          </w:p>
        </w:tc>
        <w:tc>
          <w:tcPr>
            <w:tcW w:w="849" w:type="dxa"/>
            <w:tcBorders>
              <w:top w:val="single" w:sz="4" w:space="0" w:color="auto"/>
              <w:bottom w:val="single" w:sz="4" w:space="0" w:color="auto"/>
            </w:tcBorders>
            <w:shd w:val="clear" w:color="auto" w:fill="auto"/>
            <w:noWrap/>
            <w:vAlign w:val="center"/>
            <w:hideMark/>
          </w:tcPr>
          <w:p w14:paraId="5593B661" w14:textId="77777777" w:rsidR="00561A85" w:rsidRPr="00AA108E" w:rsidRDefault="00561A85" w:rsidP="00E1785F">
            <w:pPr>
              <w:jc w:val="center"/>
              <w:rPr>
                <w:rFonts w:ascii="Times New Roman" w:hAnsi="Times New Roman" w:cs="Times New Roman"/>
                <w:color w:val="000000"/>
              </w:rPr>
            </w:pPr>
            <w:r w:rsidRPr="00AA108E">
              <w:rPr>
                <w:rFonts w:ascii="Times New Roman" w:hAnsi="Times New Roman" w:cs="Times New Roman"/>
                <w:color w:val="000000"/>
              </w:rPr>
              <w:t>$11.50 -$12.50</w:t>
            </w:r>
          </w:p>
        </w:tc>
        <w:tc>
          <w:tcPr>
            <w:tcW w:w="849" w:type="dxa"/>
            <w:tcBorders>
              <w:top w:val="single" w:sz="4" w:space="0" w:color="auto"/>
              <w:bottom w:val="single" w:sz="4" w:space="0" w:color="auto"/>
            </w:tcBorders>
            <w:shd w:val="clear" w:color="auto" w:fill="auto"/>
            <w:noWrap/>
            <w:vAlign w:val="center"/>
            <w:hideMark/>
          </w:tcPr>
          <w:p w14:paraId="1EC89B61" w14:textId="77777777" w:rsidR="00561A85" w:rsidRPr="00AA108E" w:rsidRDefault="00561A85" w:rsidP="00E1785F">
            <w:pPr>
              <w:jc w:val="center"/>
              <w:rPr>
                <w:rFonts w:ascii="Times New Roman" w:hAnsi="Times New Roman" w:cs="Times New Roman"/>
                <w:color w:val="000000"/>
              </w:rPr>
            </w:pPr>
            <w:r w:rsidRPr="00AA108E">
              <w:rPr>
                <w:rFonts w:ascii="Times New Roman" w:hAnsi="Times New Roman" w:cs="Times New Roman"/>
                <w:color w:val="000000"/>
              </w:rPr>
              <w:t>$12.50 -$13.50</w:t>
            </w:r>
          </w:p>
        </w:tc>
        <w:tc>
          <w:tcPr>
            <w:tcW w:w="895" w:type="dxa"/>
            <w:tcBorders>
              <w:top w:val="single" w:sz="4" w:space="0" w:color="auto"/>
              <w:bottom w:val="single" w:sz="4" w:space="0" w:color="auto"/>
            </w:tcBorders>
            <w:shd w:val="clear" w:color="auto" w:fill="auto"/>
            <w:noWrap/>
            <w:vAlign w:val="center"/>
            <w:hideMark/>
          </w:tcPr>
          <w:p w14:paraId="10FDA08C" w14:textId="77777777" w:rsidR="00561A85" w:rsidRPr="00AA108E" w:rsidRDefault="00561A85" w:rsidP="00E1785F">
            <w:pPr>
              <w:jc w:val="center"/>
              <w:rPr>
                <w:rFonts w:ascii="Times New Roman" w:hAnsi="Times New Roman" w:cs="Times New Roman"/>
                <w:color w:val="000000"/>
              </w:rPr>
            </w:pPr>
            <w:r w:rsidRPr="00AA108E">
              <w:rPr>
                <w:rFonts w:ascii="Times New Roman" w:hAnsi="Times New Roman" w:cs="Times New Roman"/>
                <w:color w:val="000000"/>
              </w:rPr>
              <w:t>$13.50-$15.00</w:t>
            </w:r>
          </w:p>
        </w:tc>
        <w:tc>
          <w:tcPr>
            <w:tcW w:w="895" w:type="dxa"/>
            <w:tcBorders>
              <w:top w:val="single" w:sz="4" w:space="0" w:color="auto"/>
              <w:bottom w:val="single" w:sz="4" w:space="0" w:color="auto"/>
            </w:tcBorders>
            <w:shd w:val="clear" w:color="auto" w:fill="auto"/>
            <w:noWrap/>
            <w:vAlign w:val="center"/>
            <w:hideMark/>
          </w:tcPr>
          <w:p w14:paraId="6D04D933" w14:textId="77777777" w:rsidR="00561A85" w:rsidRPr="00AA108E" w:rsidRDefault="00561A85" w:rsidP="00E1785F">
            <w:pPr>
              <w:jc w:val="center"/>
              <w:rPr>
                <w:rFonts w:ascii="Times New Roman" w:hAnsi="Times New Roman" w:cs="Times New Roman"/>
                <w:color w:val="000000"/>
              </w:rPr>
            </w:pPr>
            <w:r w:rsidRPr="00AA108E">
              <w:rPr>
                <w:rFonts w:ascii="Times New Roman" w:hAnsi="Times New Roman" w:cs="Times New Roman"/>
                <w:color w:val="000000"/>
              </w:rPr>
              <w:t>$15.00-$18.00</w:t>
            </w:r>
          </w:p>
        </w:tc>
        <w:tc>
          <w:tcPr>
            <w:tcW w:w="964" w:type="dxa"/>
            <w:tcBorders>
              <w:top w:val="single" w:sz="4" w:space="0" w:color="auto"/>
              <w:left w:val="nil"/>
              <w:bottom w:val="single" w:sz="4" w:space="0" w:color="auto"/>
            </w:tcBorders>
            <w:shd w:val="clear" w:color="auto" w:fill="auto"/>
            <w:noWrap/>
            <w:hideMark/>
          </w:tcPr>
          <w:p w14:paraId="6E0D5829" w14:textId="77777777" w:rsidR="00561A85" w:rsidRPr="00AA108E" w:rsidRDefault="00561A85" w:rsidP="00561A85">
            <w:pPr>
              <w:jc w:val="center"/>
              <w:rPr>
                <w:rFonts w:ascii="Times New Roman" w:hAnsi="Times New Roman" w:cs="Times New Roman"/>
                <w:b/>
                <w:color w:val="000000"/>
              </w:rPr>
            </w:pPr>
          </w:p>
        </w:tc>
      </w:tr>
      <w:tr w:rsidR="00561A85" w:rsidRPr="00AA108E" w14:paraId="611BA90E" w14:textId="77777777" w:rsidTr="00AD2E8F">
        <w:trPr>
          <w:cantSplit/>
          <w:trHeight w:hRule="exact" w:val="559"/>
        </w:trPr>
        <w:tc>
          <w:tcPr>
            <w:tcW w:w="2918" w:type="dxa"/>
            <w:tcBorders>
              <w:top w:val="single" w:sz="4" w:space="0" w:color="auto"/>
            </w:tcBorders>
            <w:shd w:val="clear" w:color="auto" w:fill="auto"/>
            <w:noWrap/>
            <w:vAlign w:val="bottom"/>
            <w:hideMark/>
          </w:tcPr>
          <w:p w14:paraId="2F96C0A1" w14:textId="77777777" w:rsidR="00561A85" w:rsidRPr="00AA108E" w:rsidRDefault="00561A85" w:rsidP="00561A85">
            <w:pPr>
              <w:rPr>
                <w:rFonts w:ascii="Times New Roman" w:hAnsi="Times New Roman" w:cs="Times New Roman"/>
                <w:color w:val="000000"/>
              </w:rPr>
            </w:pPr>
            <w:r w:rsidRPr="00AA108E">
              <w:rPr>
                <w:rFonts w:ascii="Times New Roman" w:hAnsi="Times New Roman" w:cs="Times New Roman"/>
                <w:color w:val="000000"/>
              </w:rPr>
              <w:t>Food Preparation and Serving Related Occupation</w:t>
            </w:r>
          </w:p>
        </w:tc>
        <w:tc>
          <w:tcPr>
            <w:tcW w:w="1544" w:type="dxa"/>
            <w:tcBorders>
              <w:top w:val="single" w:sz="4" w:space="0" w:color="auto"/>
            </w:tcBorders>
            <w:shd w:val="clear" w:color="auto" w:fill="auto"/>
            <w:noWrap/>
            <w:hideMark/>
          </w:tcPr>
          <w:p w14:paraId="4568A32D"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4,040</w:t>
            </w:r>
          </w:p>
        </w:tc>
        <w:tc>
          <w:tcPr>
            <w:tcW w:w="893" w:type="dxa"/>
            <w:tcBorders>
              <w:top w:val="single" w:sz="4" w:space="0" w:color="auto"/>
            </w:tcBorders>
            <w:shd w:val="clear" w:color="auto" w:fill="auto"/>
            <w:noWrap/>
            <w:hideMark/>
          </w:tcPr>
          <w:p w14:paraId="5A48C226"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32,076</w:t>
            </w:r>
          </w:p>
        </w:tc>
        <w:tc>
          <w:tcPr>
            <w:tcW w:w="849" w:type="dxa"/>
            <w:tcBorders>
              <w:top w:val="single" w:sz="4" w:space="0" w:color="auto"/>
            </w:tcBorders>
            <w:shd w:val="clear" w:color="auto" w:fill="auto"/>
            <w:noWrap/>
            <w:hideMark/>
          </w:tcPr>
          <w:p w14:paraId="344D0C9D"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4,062</w:t>
            </w:r>
          </w:p>
        </w:tc>
        <w:tc>
          <w:tcPr>
            <w:tcW w:w="849" w:type="dxa"/>
            <w:tcBorders>
              <w:top w:val="single" w:sz="4" w:space="0" w:color="auto"/>
            </w:tcBorders>
            <w:shd w:val="clear" w:color="auto" w:fill="auto"/>
            <w:noWrap/>
            <w:hideMark/>
          </w:tcPr>
          <w:p w14:paraId="0AE9B097"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2,588</w:t>
            </w:r>
          </w:p>
        </w:tc>
        <w:tc>
          <w:tcPr>
            <w:tcW w:w="895" w:type="dxa"/>
            <w:tcBorders>
              <w:top w:val="single" w:sz="4" w:space="0" w:color="auto"/>
            </w:tcBorders>
            <w:shd w:val="clear" w:color="auto" w:fill="auto"/>
            <w:noWrap/>
            <w:hideMark/>
          </w:tcPr>
          <w:p w14:paraId="42284442"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2,394</w:t>
            </w:r>
          </w:p>
        </w:tc>
        <w:tc>
          <w:tcPr>
            <w:tcW w:w="895" w:type="dxa"/>
            <w:tcBorders>
              <w:top w:val="single" w:sz="4" w:space="0" w:color="auto"/>
            </w:tcBorders>
            <w:shd w:val="clear" w:color="auto" w:fill="auto"/>
            <w:noWrap/>
            <w:hideMark/>
          </w:tcPr>
          <w:p w14:paraId="1DCF62AF"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3,268</w:t>
            </w:r>
          </w:p>
        </w:tc>
        <w:tc>
          <w:tcPr>
            <w:tcW w:w="964" w:type="dxa"/>
            <w:tcBorders>
              <w:top w:val="single" w:sz="4" w:space="0" w:color="auto"/>
            </w:tcBorders>
            <w:shd w:val="clear" w:color="auto" w:fill="auto"/>
            <w:noWrap/>
            <w:hideMark/>
          </w:tcPr>
          <w:p w14:paraId="38098AB9"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48,428</w:t>
            </w:r>
          </w:p>
        </w:tc>
      </w:tr>
      <w:tr w:rsidR="00561A85" w:rsidRPr="00AA108E" w14:paraId="22C4129C" w14:textId="77777777" w:rsidTr="00AD2E8F">
        <w:trPr>
          <w:cantSplit/>
          <w:trHeight w:hRule="exact" w:val="293"/>
        </w:trPr>
        <w:tc>
          <w:tcPr>
            <w:tcW w:w="2918" w:type="dxa"/>
            <w:tcBorders>
              <w:top w:val="nil"/>
            </w:tcBorders>
            <w:shd w:val="clear" w:color="auto" w:fill="auto"/>
            <w:noWrap/>
            <w:vAlign w:val="bottom"/>
            <w:hideMark/>
          </w:tcPr>
          <w:p w14:paraId="7D3173B8" w14:textId="77777777" w:rsidR="00561A85" w:rsidRPr="00AA108E" w:rsidRDefault="00561A85" w:rsidP="00561A85">
            <w:pPr>
              <w:rPr>
                <w:rFonts w:ascii="Times New Roman" w:hAnsi="Times New Roman" w:cs="Times New Roman"/>
                <w:color w:val="000000"/>
              </w:rPr>
            </w:pPr>
            <w:r w:rsidRPr="00AA108E">
              <w:rPr>
                <w:rFonts w:ascii="Times New Roman" w:hAnsi="Times New Roman" w:cs="Times New Roman"/>
                <w:color w:val="000000"/>
              </w:rPr>
              <w:t>Office and Administrative Support</w:t>
            </w:r>
          </w:p>
        </w:tc>
        <w:tc>
          <w:tcPr>
            <w:tcW w:w="1544" w:type="dxa"/>
            <w:tcBorders>
              <w:top w:val="nil"/>
            </w:tcBorders>
            <w:shd w:val="clear" w:color="auto" w:fill="auto"/>
            <w:noWrap/>
            <w:hideMark/>
          </w:tcPr>
          <w:p w14:paraId="6D3160CA"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2,303</w:t>
            </w:r>
          </w:p>
        </w:tc>
        <w:tc>
          <w:tcPr>
            <w:tcW w:w="893" w:type="dxa"/>
            <w:tcBorders>
              <w:top w:val="nil"/>
            </w:tcBorders>
            <w:shd w:val="clear" w:color="auto" w:fill="auto"/>
            <w:noWrap/>
            <w:hideMark/>
          </w:tcPr>
          <w:p w14:paraId="1A5B0478"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3,874</w:t>
            </w:r>
          </w:p>
        </w:tc>
        <w:tc>
          <w:tcPr>
            <w:tcW w:w="849" w:type="dxa"/>
            <w:tcBorders>
              <w:top w:val="nil"/>
            </w:tcBorders>
            <w:shd w:val="clear" w:color="auto" w:fill="auto"/>
            <w:noWrap/>
            <w:hideMark/>
          </w:tcPr>
          <w:p w14:paraId="30C73667"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2,008</w:t>
            </w:r>
          </w:p>
        </w:tc>
        <w:tc>
          <w:tcPr>
            <w:tcW w:w="849" w:type="dxa"/>
            <w:tcBorders>
              <w:top w:val="nil"/>
            </w:tcBorders>
            <w:shd w:val="clear" w:color="auto" w:fill="auto"/>
            <w:noWrap/>
            <w:hideMark/>
          </w:tcPr>
          <w:p w14:paraId="657ED9D8"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2,480</w:t>
            </w:r>
          </w:p>
        </w:tc>
        <w:tc>
          <w:tcPr>
            <w:tcW w:w="895" w:type="dxa"/>
            <w:tcBorders>
              <w:top w:val="nil"/>
            </w:tcBorders>
            <w:shd w:val="clear" w:color="auto" w:fill="auto"/>
            <w:noWrap/>
            <w:hideMark/>
          </w:tcPr>
          <w:p w14:paraId="4E7817CC"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4,588</w:t>
            </w:r>
          </w:p>
        </w:tc>
        <w:tc>
          <w:tcPr>
            <w:tcW w:w="895" w:type="dxa"/>
            <w:tcBorders>
              <w:top w:val="nil"/>
            </w:tcBorders>
            <w:shd w:val="clear" w:color="auto" w:fill="auto"/>
            <w:noWrap/>
            <w:hideMark/>
          </w:tcPr>
          <w:p w14:paraId="7035CF43"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11,440</w:t>
            </w:r>
          </w:p>
        </w:tc>
        <w:tc>
          <w:tcPr>
            <w:tcW w:w="964" w:type="dxa"/>
            <w:tcBorders>
              <w:top w:val="nil"/>
            </w:tcBorders>
            <w:shd w:val="clear" w:color="auto" w:fill="auto"/>
            <w:noWrap/>
            <w:hideMark/>
          </w:tcPr>
          <w:p w14:paraId="5B5D3B98"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26,692</w:t>
            </w:r>
          </w:p>
        </w:tc>
      </w:tr>
      <w:tr w:rsidR="00561A85" w:rsidRPr="00AA108E" w14:paraId="6779532A" w14:textId="77777777" w:rsidTr="00AD2E8F">
        <w:trPr>
          <w:cantSplit/>
          <w:trHeight w:hRule="exact" w:val="284"/>
        </w:trPr>
        <w:tc>
          <w:tcPr>
            <w:tcW w:w="2918" w:type="dxa"/>
            <w:tcBorders>
              <w:top w:val="nil"/>
            </w:tcBorders>
            <w:shd w:val="clear" w:color="auto" w:fill="auto"/>
            <w:vAlign w:val="bottom"/>
            <w:hideMark/>
          </w:tcPr>
          <w:p w14:paraId="570A9CB9" w14:textId="77777777" w:rsidR="00561A85" w:rsidRPr="00AA108E" w:rsidRDefault="00561A85" w:rsidP="00561A85">
            <w:pPr>
              <w:rPr>
                <w:rFonts w:ascii="Times New Roman" w:hAnsi="Times New Roman" w:cs="Times New Roman"/>
                <w:color w:val="000000"/>
              </w:rPr>
            </w:pPr>
            <w:r w:rsidRPr="00AA108E">
              <w:rPr>
                <w:rFonts w:ascii="Times New Roman" w:hAnsi="Times New Roman" w:cs="Times New Roman"/>
                <w:color w:val="000000"/>
              </w:rPr>
              <w:t>Building and Grounds Cleaning and Maintenance</w:t>
            </w:r>
          </w:p>
        </w:tc>
        <w:tc>
          <w:tcPr>
            <w:tcW w:w="1544" w:type="dxa"/>
            <w:tcBorders>
              <w:top w:val="nil"/>
            </w:tcBorders>
            <w:shd w:val="clear" w:color="auto" w:fill="auto"/>
            <w:noWrap/>
            <w:hideMark/>
          </w:tcPr>
          <w:p w14:paraId="4D2B4BEF"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800</w:t>
            </w:r>
          </w:p>
        </w:tc>
        <w:tc>
          <w:tcPr>
            <w:tcW w:w="893" w:type="dxa"/>
            <w:tcBorders>
              <w:top w:val="nil"/>
            </w:tcBorders>
            <w:shd w:val="clear" w:color="auto" w:fill="auto"/>
            <w:noWrap/>
            <w:hideMark/>
          </w:tcPr>
          <w:p w14:paraId="110CEACA"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3,773</w:t>
            </w:r>
          </w:p>
        </w:tc>
        <w:tc>
          <w:tcPr>
            <w:tcW w:w="849" w:type="dxa"/>
            <w:tcBorders>
              <w:top w:val="nil"/>
            </w:tcBorders>
            <w:shd w:val="clear" w:color="auto" w:fill="auto"/>
            <w:noWrap/>
            <w:hideMark/>
          </w:tcPr>
          <w:p w14:paraId="37980E7E"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2,092</w:t>
            </w:r>
          </w:p>
        </w:tc>
        <w:tc>
          <w:tcPr>
            <w:tcW w:w="849" w:type="dxa"/>
            <w:tcBorders>
              <w:top w:val="nil"/>
            </w:tcBorders>
            <w:shd w:val="clear" w:color="auto" w:fill="auto"/>
            <w:noWrap/>
            <w:hideMark/>
          </w:tcPr>
          <w:p w14:paraId="5F70B9B5"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2,381</w:t>
            </w:r>
          </w:p>
        </w:tc>
        <w:tc>
          <w:tcPr>
            <w:tcW w:w="895" w:type="dxa"/>
            <w:tcBorders>
              <w:top w:val="nil"/>
            </w:tcBorders>
            <w:shd w:val="clear" w:color="auto" w:fill="auto"/>
            <w:noWrap/>
            <w:hideMark/>
          </w:tcPr>
          <w:p w14:paraId="02914EF7"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3,642</w:t>
            </w:r>
          </w:p>
        </w:tc>
        <w:tc>
          <w:tcPr>
            <w:tcW w:w="895" w:type="dxa"/>
            <w:tcBorders>
              <w:top w:val="nil"/>
            </w:tcBorders>
            <w:shd w:val="clear" w:color="auto" w:fill="auto"/>
            <w:noWrap/>
            <w:hideMark/>
          </w:tcPr>
          <w:p w14:paraId="1B8F1706"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5,365</w:t>
            </w:r>
          </w:p>
        </w:tc>
        <w:tc>
          <w:tcPr>
            <w:tcW w:w="964" w:type="dxa"/>
            <w:tcBorders>
              <w:top w:val="nil"/>
            </w:tcBorders>
            <w:shd w:val="clear" w:color="auto" w:fill="auto"/>
            <w:noWrap/>
            <w:hideMark/>
          </w:tcPr>
          <w:p w14:paraId="5B730AFC"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18,054</w:t>
            </w:r>
          </w:p>
        </w:tc>
      </w:tr>
      <w:tr w:rsidR="00561A85" w:rsidRPr="00AA108E" w14:paraId="7B20ED85" w14:textId="77777777" w:rsidTr="00AD2E8F">
        <w:trPr>
          <w:cantSplit/>
          <w:trHeight w:hRule="exact" w:val="249"/>
        </w:trPr>
        <w:tc>
          <w:tcPr>
            <w:tcW w:w="2918" w:type="dxa"/>
            <w:tcBorders>
              <w:top w:val="nil"/>
            </w:tcBorders>
            <w:shd w:val="clear" w:color="auto" w:fill="auto"/>
            <w:noWrap/>
            <w:vAlign w:val="bottom"/>
            <w:hideMark/>
          </w:tcPr>
          <w:p w14:paraId="3478687F" w14:textId="77777777" w:rsidR="00561A85" w:rsidRPr="00AA108E" w:rsidRDefault="00561A85" w:rsidP="00561A85">
            <w:pPr>
              <w:rPr>
                <w:rFonts w:ascii="Times New Roman" w:hAnsi="Times New Roman" w:cs="Times New Roman"/>
                <w:color w:val="000000"/>
              </w:rPr>
            </w:pPr>
            <w:r w:rsidRPr="00AA108E">
              <w:rPr>
                <w:rFonts w:ascii="Times New Roman" w:hAnsi="Times New Roman" w:cs="Times New Roman"/>
                <w:color w:val="000000"/>
              </w:rPr>
              <w:t>Sales and Related</w:t>
            </w:r>
          </w:p>
        </w:tc>
        <w:tc>
          <w:tcPr>
            <w:tcW w:w="1544" w:type="dxa"/>
            <w:tcBorders>
              <w:top w:val="nil"/>
            </w:tcBorders>
            <w:shd w:val="clear" w:color="auto" w:fill="auto"/>
            <w:noWrap/>
            <w:hideMark/>
          </w:tcPr>
          <w:p w14:paraId="0A4D9BBE"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1,875</w:t>
            </w:r>
          </w:p>
        </w:tc>
        <w:tc>
          <w:tcPr>
            <w:tcW w:w="893" w:type="dxa"/>
            <w:tcBorders>
              <w:top w:val="nil"/>
            </w:tcBorders>
            <w:shd w:val="clear" w:color="auto" w:fill="auto"/>
            <w:noWrap/>
            <w:hideMark/>
          </w:tcPr>
          <w:p w14:paraId="5E5C8610"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8,842</w:t>
            </w:r>
          </w:p>
        </w:tc>
        <w:tc>
          <w:tcPr>
            <w:tcW w:w="849" w:type="dxa"/>
            <w:tcBorders>
              <w:top w:val="nil"/>
            </w:tcBorders>
            <w:shd w:val="clear" w:color="auto" w:fill="auto"/>
            <w:noWrap/>
            <w:hideMark/>
          </w:tcPr>
          <w:p w14:paraId="1E8FFCF0"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2,552</w:t>
            </w:r>
          </w:p>
        </w:tc>
        <w:tc>
          <w:tcPr>
            <w:tcW w:w="849" w:type="dxa"/>
            <w:tcBorders>
              <w:top w:val="nil"/>
            </w:tcBorders>
            <w:shd w:val="clear" w:color="auto" w:fill="auto"/>
            <w:noWrap/>
            <w:hideMark/>
          </w:tcPr>
          <w:p w14:paraId="14E756F6"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1,669</w:t>
            </w:r>
          </w:p>
        </w:tc>
        <w:tc>
          <w:tcPr>
            <w:tcW w:w="895" w:type="dxa"/>
            <w:tcBorders>
              <w:top w:val="nil"/>
            </w:tcBorders>
            <w:shd w:val="clear" w:color="auto" w:fill="auto"/>
            <w:noWrap/>
            <w:hideMark/>
          </w:tcPr>
          <w:p w14:paraId="09FFD1B2"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1,399</w:t>
            </w:r>
          </w:p>
        </w:tc>
        <w:tc>
          <w:tcPr>
            <w:tcW w:w="895" w:type="dxa"/>
            <w:tcBorders>
              <w:top w:val="nil"/>
            </w:tcBorders>
            <w:shd w:val="clear" w:color="auto" w:fill="auto"/>
            <w:noWrap/>
            <w:hideMark/>
          </w:tcPr>
          <w:p w14:paraId="361C413A"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1,385</w:t>
            </w:r>
          </w:p>
        </w:tc>
        <w:tc>
          <w:tcPr>
            <w:tcW w:w="964" w:type="dxa"/>
            <w:tcBorders>
              <w:top w:val="nil"/>
            </w:tcBorders>
            <w:shd w:val="clear" w:color="auto" w:fill="auto"/>
            <w:noWrap/>
            <w:hideMark/>
          </w:tcPr>
          <w:p w14:paraId="74FF244F"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17,721</w:t>
            </w:r>
          </w:p>
        </w:tc>
      </w:tr>
      <w:tr w:rsidR="00561A85" w:rsidRPr="00AA108E" w14:paraId="6FB35C5E" w14:textId="77777777" w:rsidTr="00AD2E8F">
        <w:trPr>
          <w:cantSplit/>
          <w:trHeight w:hRule="exact" w:val="258"/>
        </w:trPr>
        <w:tc>
          <w:tcPr>
            <w:tcW w:w="2918" w:type="dxa"/>
            <w:tcBorders>
              <w:top w:val="nil"/>
            </w:tcBorders>
            <w:shd w:val="clear" w:color="auto" w:fill="auto"/>
            <w:noWrap/>
            <w:vAlign w:val="bottom"/>
            <w:hideMark/>
          </w:tcPr>
          <w:p w14:paraId="39450D37" w14:textId="77777777" w:rsidR="00561A85" w:rsidRPr="00AA108E" w:rsidRDefault="00561A85" w:rsidP="00561A85">
            <w:pPr>
              <w:rPr>
                <w:rFonts w:ascii="Times New Roman" w:hAnsi="Times New Roman" w:cs="Times New Roman"/>
                <w:color w:val="000000"/>
              </w:rPr>
            </w:pPr>
            <w:r w:rsidRPr="00AA108E">
              <w:rPr>
                <w:rFonts w:ascii="Times New Roman" w:hAnsi="Times New Roman" w:cs="Times New Roman"/>
                <w:color w:val="000000"/>
              </w:rPr>
              <w:t>Personal Care and Service</w:t>
            </w:r>
          </w:p>
        </w:tc>
        <w:tc>
          <w:tcPr>
            <w:tcW w:w="1544" w:type="dxa"/>
            <w:tcBorders>
              <w:top w:val="nil"/>
            </w:tcBorders>
            <w:shd w:val="clear" w:color="auto" w:fill="auto"/>
            <w:noWrap/>
            <w:hideMark/>
          </w:tcPr>
          <w:p w14:paraId="2918C13C"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674</w:t>
            </w:r>
          </w:p>
        </w:tc>
        <w:tc>
          <w:tcPr>
            <w:tcW w:w="893" w:type="dxa"/>
            <w:tcBorders>
              <w:top w:val="nil"/>
            </w:tcBorders>
            <w:shd w:val="clear" w:color="auto" w:fill="auto"/>
            <w:noWrap/>
            <w:hideMark/>
          </w:tcPr>
          <w:p w14:paraId="35B9F4DD"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4,234</w:t>
            </w:r>
          </w:p>
        </w:tc>
        <w:tc>
          <w:tcPr>
            <w:tcW w:w="849" w:type="dxa"/>
            <w:tcBorders>
              <w:top w:val="nil"/>
            </w:tcBorders>
            <w:shd w:val="clear" w:color="auto" w:fill="auto"/>
            <w:noWrap/>
            <w:hideMark/>
          </w:tcPr>
          <w:p w14:paraId="39F38280"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1,534</w:t>
            </w:r>
          </w:p>
        </w:tc>
        <w:tc>
          <w:tcPr>
            <w:tcW w:w="849" w:type="dxa"/>
            <w:tcBorders>
              <w:top w:val="nil"/>
            </w:tcBorders>
            <w:shd w:val="clear" w:color="auto" w:fill="auto"/>
            <w:noWrap/>
            <w:hideMark/>
          </w:tcPr>
          <w:p w14:paraId="4DE23587"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1,090</w:t>
            </w:r>
          </w:p>
        </w:tc>
        <w:tc>
          <w:tcPr>
            <w:tcW w:w="895" w:type="dxa"/>
            <w:tcBorders>
              <w:top w:val="nil"/>
            </w:tcBorders>
            <w:shd w:val="clear" w:color="auto" w:fill="auto"/>
            <w:noWrap/>
            <w:hideMark/>
          </w:tcPr>
          <w:p w14:paraId="7A2C4B64"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1,107</w:t>
            </w:r>
          </w:p>
        </w:tc>
        <w:tc>
          <w:tcPr>
            <w:tcW w:w="895" w:type="dxa"/>
            <w:tcBorders>
              <w:top w:val="nil"/>
            </w:tcBorders>
            <w:shd w:val="clear" w:color="auto" w:fill="auto"/>
            <w:noWrap/>
            <w:hideMark/>
          </w:tcPr>
          <w:p w14:paraId="105522E2"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1,523</w:t>
            </w:r>
          </w:p>
        </w:tc>
        <w:tc>
          <w:tcPr>
            <w:tcW w:w="964" w:type="dxa"/>
            <w:tcBorders>
              <w:top w:val="nil"/>
            </w:tcBorders>
            <w:shd w:val="clear" w:color="auto" w:fill="auto"/>
            <w:noWrap/>
            <w:hideMark/>
          </w:tcPr>
          <w:p w14:paraId="2D27ECC7"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10,161</w:t>
            </w:r>
          </w:p>
        </w:tc>
      </w:tr>
      <w:tr w:rsidR="00561A85" w:rsidRPr="00AA108E" w14:paraId="30C5A390" w14:textId="77777777" w:rsidTr="00AD2E8F">
        <w:trPr>
          <w:cantSplit/>
          <w:trHeight w:hRule="exact" w:val="258"/>
        </w:trPr>
        <w:tc>
          <w:tcPr>
            <w:tcW w:w="2918" w:type="dxa"/>
            <w:tcBorders>
              <w:top w:val="nil"/>
            </w:tcBorders>
            <w:shd w:val="clear" w:color="auto" w:fill="auto"/>
            <w:noWrap/>
            <w:vAlign w:val="bottom"/>
            <w:hideMark/>
          </w:tcPr>
          <w:p w14:paraId="4EEB6654" w14:textId="77777777" w:rsidR="00561A85" w:rsidRPr="00AA108E" w:rsidRDefault="00561A85" w:rsidP="00561A85">
            <w:pPr>
              <w:rPr>
                <w:rFonts w:ascii="Times New Roman" w:hAnsi="Times New Roman" w:cs="Times New Roman"/>
                <w:color w:val="000000"/>
              </w:rPr>
            </w:pPr>
            <w:r w:rsidRPr="00AA108E">
              <w:rPr>
                <w:rFonts w:ascii="Times New Roman" w:hAnsi="Times New Roman" w:cs="Times New Roman"/>
                <w:color w:val="000000"/>
              </w:rPr>
              <w:t>Protective Service</w:t>
            </w:r>
          </w:p>
        </w:tc>
        <w:tc>
          <w:tcPr>
            <w:tcW w:w="1544" w:type="dxa"/>
            <w:tcBorders>
              <w:top w:val="nil"/>
            </w:tcBorders>
            <w:shd w:val="clear" w:color="auto" w:fill="auto"/>
            <w:noWrap/>
            <w:hideMark/>
          </w:tcPr>
          <w:p w14:paraId="37C178D0"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556</w:t>
            </w:r>
          </w:p>
        </w:tc>
        <w:tc>
          <w:tcPr>
            <w:tcW w:w="893" w:type="dxa"/>
            <w:tcBorders>
              <w:top w:val="nil"/>
            </w:tcBorders>
            <w:shd w:val="clear" w:color="auto" w:fill="auto"/>
            <w:noWrap/>
            <w:hideMark/>
          </w:tcPr>
          <w:p w14:paraId="1444844E"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1,179</w:t>
            </w:r>
          </w:p>
        </w:tc>
        <w:tc>
          <w:tcPr>
            <w:tcW w:w="849" w:type="dxa"/>
            <w:tcBorders>
              <w:top w:val="nil"/>
            </w:tcBorders>
            <w:shd w:val="clear" w:color="auto" w:fill="auto"/>
            <w:noWrap/>
            <w:hideMark/>
          </w:tcPr>
          <w:p w14:paraId="2394556B"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675</w:t>
            </w:r>
          </w:p>
        </w:tc>
        <w:tc>
          <w:tcPr>
            <w:tcW w:w="849" w:type="dxa"/>
            <w:tcBorders>
              <w:top w:val="nil"/>
            </w:tcBorders>
            <w:shd w:val="clear" w:color="auto" w:fill="auto"/>
            <w:noWrap/>
            <w:hideMark/>
          </w:tcPr>
          <w:p w14:paraId="0C9D9C60"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848</w:t>
            </w:r>
          </w:p>
        </w:tc>
        <w:tc>
          <w:tcPr>
            <w:tcW w:w="895" w:type="dxa"/>
            <w:tcBorders>
              <w:top w:val="nil"/>
            </w:tcBorders>
            <w:shd w:val="clear" w:color="auto" w:fill="auto"/>
            <w:noWrap/>
            <w:hideMark/>
          </w:tcPr>
          <w:p w14:paraId="1584D2B0"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1,617</w:t>
            </w:r>
          </w:p>
        </w:tc>
        <w:tc>
          <w:tcPr>
            <w:tcW w:w="895" w:type="dxa"/>
            <w:tcBorders>
              <w:top w:val="nil"/>
            </w:tcBorders>
            <w:shd w:val="clear" w:color="auto" w:fill="auto"/>
            <w:noWrap/>
            <w:hideMark/>
          </w:tcPr>
          <w:p w14:paraId="23936C2D"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4,030</w:t>
            </w:r>
          </w:p>
        </w:tc>
        <w:tc>
          <w:tcPr>
            <w:tcW w:w="964" w:type="dxa"/>
            <w:tcBorders>
              <w:top w:val="nil"/>
            </w:tcBorders>
            <w:shd w:val="clear" w:color="auto" w:fill="auto"/>
            <w:noWrap/>
            <w:hideMark/>
          </w:tcPr>
          <w:p w14:paraId="69A9C3B3"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8,904</w:t>
            </w:r>
          </w:p>
        </w:tc>
      </w:tr>
      <w:tr w:rsidR="00561A85" w:rsidRPr="00AA108E" w14:paraId="0414652D" w14:textId="77777777" w:rsidTr="00AD2E8F">
        <w:trPr>
          <w:cantSplit/>
          <w:trHeight w:hRule="exact" w:val="267"/>
        </w:trPr>
        <w:tc>
          <w:tcPr>
            <w:tcW w:w="2918" w:type="dxa"/>
            <w:tcBorders>
              <w:top w:val="nil"/>
            </w:tcBorders>
            <w:shd w:val="clear" w:color="auto" w:fill="auto"/>
            <w:noWrap/>
            <w:vAlign w:val="bottom"/>
            <w:hideMark/>
          </w:tcPr>
          <w:p w14:paraId="2920969E" w14:textId="77777777" w:rsidR="00561A85" w:rsidRPr="00AA108E" w:rsidRDefault="00561A85" w:rsidP="00561A85">
            <w:pPr>
              <w:rPr>
                <w:rFonts w:ascii="Times New Roman" w:hAnsi="Times New Roman" w:cs="Times New Roman"/>
                <w:color w:val="000000"/>
              </w:rPr>
            </w:pPr>
            <w:r w:rsidRPr="00AA108E">
              <w:rPr>
                <w:rFonts w:ascii="Times New Roman" w:hAnsi="Times New Roman" w:cs="Times New Roman"/>
                <w:color w:val="000000"/>
              </w:rPr>
              <w:t>Healthcare Support</w:t>
            </w:r>
          </w:p>
        </w:tc>
        <w:tc>
          <w:tcPr>
            <w:tcW w:w="1544" w:type="dxa"/>
            <w:tcBorders>
              <w:top w:val="nil"/>
            </w:tcBorders>
            <w:shd w:val="clear" w:color="auto" w:fill="auto"/>
            <w:noWrap/>
            <w:hideMark/>
          </w:tcPr>
          <w:p w14:paraId="623EF3ED"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339</w:t>
            </w:r>
          </w:p>
        </w:tc>
        <w:tc>
          <w:tcPr>
            <w:tcW w:w="893" w:type="dxa"/>
            <w:tcBorders>
              <w:top w:val="nil"/>
            </w:tcBorders>
            <w:shd w:val="clear" w:color="auto" w:fill="auto"/>
            <w:noWrap/>
            <w:hideMark/>
          </w:tcPr>
          <w:p w14:paraId="2420C4B5"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2,673</w:t>
            </w:r>
          </w:p>
        </w:tc>
        <w:tc>
          <w:tcPr>
            <w:tcW w:w="849" w:type="dxa"/>
            <w:tcBorders>
              <w:top w:val="nil"/>
            </w:tcBorders>
            <w:shd w:val="clear" w:color="auto" w:fill="auto"/>
            <w:noWrap/>
            <w:hideMark/>
          </w:tcPr>
          <w:p w14:paraId="18272607"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1,300</w:t>
            </w:r>
          </w:p>
        </w:tc>
        <w:tc>
          <w:tcPr>
            <w:tcW w:w="849" w:type="dxa"/>
            <w:tcBorders>
              <w:top w:val="nil"/>
            </w:tcBorders>
            <w:shd w:val="clear" w:color="auto" w:fill="auto"/>
            <w:noWrap/>
            <w:hideMark/>
          </w:tcPr>
          <w:p w14:paraId="30EA9EF4"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1,167</w:t>
            </w:r>
          </w:p>
        </w:tc>
        <w:tc>
          <w:tcPr>
            <w:tcW w:w="895" w:type="dxa"/>
            <w:tcBorders>
              <w:top w:val="nil"/>
            </w:tcBorders>
            <w:shd w:val="clear" w:color="auto" w:fill="auto"/>
            <w:noWrap/>
            <w:hideMark/>
          </w:tcPr>
          <w:p w14:paraId="33E0CA43"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1,368</w:t>
            </w:r>
          </w:p>
        </w:tc>
        <w:tc>
          <w:tcPr>
            <w:tcW w:w="895" w:type="dxa"/>
            <w:tcBorders>
              <w:top w:val="nil"/>
            </w:tcBorders>
            <w:shd w:val="clear" w:color="auto" w:fill="auto"/>
            <w:noWrap/>
            <w:hideMark/>
          </w:tcPr>
          <w:p w14:paraId="51BC3B17"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1,899</w:t>
            </w:r>
          </w:p>
        </w:tc>
        <w:tc>
          <w:tcPr>
            <w:tcW w:w="964" w:type="dxa"/>
            <w:tcBorders>
              <w:top w:val="nil"/>
            </w:tcBorders>
            <w:shd w:val="clear" w:color="auto" w:fill="auto"/>
            <w:noWrap/>
            <w:hideMark/>
          </w:tcPr>
          <w:p w14:paraId="3D33B786"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8,746</w:t>
            </w:r>
          </w:p>
        </w:tc>
      </w:tr>
      <w:tr w:rsidR="00561A85" w:rsidRPr="00AA108E" w14:paraId="053404DC" w14:textId="77777777" w:rsidTr="00AD2E8F">
        <w:trPr>
          <w:cantSplit/>
          <w:trHeight w:hRule="exact" w:val="267"/>
        </w:trPr>
        <w:tc>
          <w:tcPr>
            <w:tcW w:w="2918" w:type="dxa"/>
            <w:tcBorders>
              <w:top w:val="nil"/>
            </w:tcBorders>
            <w:shd w:val="clear" w:color="auto" w:fill="auto"/>
            <w:noWrap/>
            <w:vAlign w:val="bottom"/>
            <w:hideMark/>
          </w:tcPr>
          <w:p w14:paraId="1D7A2C7E" w14:textId="77777777" w:rsidR="00561A85" w:rsidRPr="00AA108E" w:rsidRDefault="00561A85" w:rsidP="00561A85">
            <w:pPr>
              <w:rPr>
                <w:rFonts w:ascii="Times New Roman" w:hAnsi="Times New Roman" w:cs="Times New Roman"/>
                <w:color w:val="000000"/>
              </w:rPr>
            </w:pPr>
            <w:r w:rsidRPr="00AA108E">
              <w:rPr>
                <w:rFonts w:ascii="Times New Roman" w:hAnsi="Times New Roman" w:cs="Times New Roman"/>
                <w:color w:val="000000"/>
              </w:rPr>
              <w:t>Transportation and Material Moving</w:t>
            </w:r>
          </w:p>
        </w:tc>
        <w:tc>
          <w:tcPr>
            <w:tcW w:w="1544" w:type="dxa"/>
            <w:tcBorders>
              <w:top w:val="nil"/>
            </w:tcBorders>
            <w:shd w:val="clear" w:color="auto" w:fill="auto"/>
            <w:noWrap/>
            <w:hideMark/>
          </w:tcPr>
          <w:p w14:paraId="730999A3"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390</w:t>
            </w:r>
          </w:p>
        </w:tc>
        <w:tc>
          <w:tcPr>
            <w:tcW w:w="893" w:type="dxa"/>
            <w:tcBorders>
              <w:top w:val="nil"/>
            </w:tcBorders>
            <w:shd w:val="clear" w:color="auto" w:fill="auto"/>
            <w:noWrap/>
            <w:hideMark/>
          </w:tcPr>
          <w:p w14:paraId="52580770"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3,151</w:t>
            </w:r>
          </w:p>
        </w:tc>
        <w:tc>
          <w:tcPr>
            <w:tcW w:w="849" w:type="dxa"/>
            <w:tcBorders>
              <w:top w:val="nil"/>
            </w:tcBorders>
            <w:shd w:val="clear" w:color="auto" w:fill="auto"/>
            <w:noWrap/>
            <w:hideMark/>
          </w:tcPr>
          <w:p w14:paraId="16222C08"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306</w:t>
            </w:r>
          </w:p>
        </w:tc>
        <w:tc>
          <w:tcPr>
            <w:tcW w:w="849" w:type="dxa"/>
            <w:tcBorders>
              <w:top w:val="nil"/>
            </w:tcBorders>
            <w:shd w:val="clear" w:color="auto" w:fill="auto"/>
            <w:noWrap/>
            <w:hideMark/>
          </w:tcPr>
          <w:p w14:paraId="37FFE84D"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350</w:t>
            </w:r>
          </w:p>
        </w:tc>
        <w:tc>
          <w:tcPr>
            <w:tcW w:w="895" w:type="dxa"/>
            <w:tcBorders>
              <w:top w:val="nil"/>
            </w:tcBorders>
            <w:shd w:val="clear" w:color="auto" w:fill="auto"/>
            <w:noWrap/>
            <w:hideMark/>
          </w:tcPr>
          <w:p w14:paraId="6F7FB10E"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600</w:t>
            </w:r>
          </w:p>
        </w:tc>
        <w:tc>
          <w:tcPr>
            <w:tcW w:w="895" w:type="dxa"/>
            <w:tcBorders>
              <w:top w:val="nil"/>
            </w:tcBorders>
            <w:shd w:val="clear" w:color="auto" w:fill="auto"/>
            <w:noWrap/>
            <w:hideMark/>
          </w:tcPr>
          <w:p w14:paraId="10B8532F"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1,422</w:t>
            </w:r>
          </w:p>
        </w:tc>
        <w:tc>
          <w:tcPr>
            <w:tcW w:w="964" w:type="dxa"/>
            <w:tcBorders>
              <w:top w:val="nil"/>
            </w:tcBorders>
            <w:shd w:val="clear" w:color="auto" w:fill="auto"/>
            <w:noWrap/>
            <w:hideMark/>
          </w:tcPr>
          <w:p w14:paraId="0A5BF789"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6,219</w:t>
            </w:r>
          </w:p>
        </w:tc>
      </w:tr>
      <w:tr w:rsidR="00561A85" w:rsidRPr="00AA108E" w14:paraId="3B5668E2" w14:textId="77777777" w:rsidTr="00AD2E8F">
        <w:trPr>
          <w:cantSplit/>
          <w:trHeight w:hRule="exact" w:val="258"/>
        </w:trPr>
        <w:tc>
          <w:tcPr>
            <w:tcW w:w="2918" w:type="dxa"/>
            <w:tcBorders>
              <w:top w:val="nil"/>
            </w:tcBorders>
            <w:shd w:val="clear" w:color="auto" w:fill="auto"/>
            <w:noWrap/>
            <w:vAlign w:val="bottom"/>
            <w:hideMark/>
          </w:tcPr>
          <w:p w14:paraId="37AB2757" w14:textId="77777777" w:rsidR="00561A85" w:rsidRPr="00AA108E" w:rsidRDefault="00561A85" w:rsidP="00561A85">
            <w:pPr>
              <w:rPr>
                <w:rFonts w:ascii="Times New Roman" w:hAnsi="Times New Roman" w:cs="Times New Roman"/>
                <w:color w:val="000000"/>
              </w:rPr>
            </w:pPr>
            <w:r w:rsidRPr="00AA108E">
              <w:rPr>
                <w:rFonts w:ascii="Times New Roman" w:hAnsi="Times New Roman" w:cs="Times New Roman"/>
                <w:color w:val="000000"/>
              </w:rPr>
              <w:t>Community and Social Services</w:t>
            </w:r>
          </w:p>
        </w:tc>
        <w:tc>
          <w:tcPr>
            <w:tcW w:w="1544" w:type="dxa"/>
            <w:tcBorders>
              <w:top w:val="nil"/>
            </w:tcBorders>
            <w:shd w:val="clear" w:color="auto" w:fill="auto"/>
            <w:noWrap/>
            <w:hideMark/>
          </w:tcPr>
          <w:p w14:paraId="3C111005"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320</w:t>
            </w:r>
          </w:p>
        </w:tc>
        <w:tc>
          <w:tcPr>
            <w:tcW w:w="893" w:type="dxa"/>
            <w:tcBorders>
              <w:top w:val="nil"/>
            </w:tcBorders>
            <w:shd w:val="clear" w:color="auto" w:fill="auto"/>
            <w:noWrap/>
            <w:hideMark/>
          </w:tcPr>
          <w:p w14:paraId="75A05A5E"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400</w:t>
            </w:r>
          </w:p>
        </w:tc>
        <w:tc>
          <w:tcPr>
            <w:tcW w:w="849" w:type="dxa"/>
            <w:tcBorders>
              <w:top w:val="nil"/>
            </w:tcBorders>
            <w:shd w:val="clear" w:color="auto" w:fill="auto"/>
            <w:noWrap/>
            <w:hideMark/>
          </w:tcPr>
          <w:p w14:paraId="23B7BE16"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265</w:t>
            </w:r>
          </w:p>
        </w:tc>
        <w:tc>
          <w:tcPr>
            <w:tcW w:w="849" w:type="dxa"/>
            <w:tcBorders>
              <w:top w:val="nil"/>
            </w:tcBorders>
            <w:shd w:val="clear" w:color="auto" w:fill="auto"/>
            <w:noWrap/>
            <w:hideMark/>
          </w:tcPr>
          <w:p w14:paraId="5B04283C"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360</w:t>
            </w:r>
          </w:p>
        </w:tc>
        <w:tc>
          <w:tcPr>
            <w:tcW w:w="895" w:type="dxa"/>
            <w:tcBorders>
              <w:top w:val="nil"/>
            </w:tcBorders>
            <w:shd w:val="clear" w:color="auto" w:fill="auto"/>
            <w:noWrap/>
            <w:hideMark/>
          </w:tcPr>
          <w:p w14:paraId="49886242"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714</w:t>
            </w:r>
          </w:p>
        </w:tc>
        <w:tc>
          <w:tcPr>
            <w:tcW w:w="895" w:type="dxa"/>
            <w:tcBorders>
              <w:top w:val="nil"/>
            </w:tcBorders>
            <w:shd w:val="clear" w:color="auto" w:fill="auto"/>
            <w:noWrap/>
            <w:hideMark/>
          </w:tcPr>
          <w:p w14:paraId="102E5D5D"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1,653</w:t>
            </w:r>
          </w:p>
        </w:tc>
        <w:tc>
          <w:tcPr>
            <w:tcW w:w="964" w:type="dxa"/>
            <w:tcBorders>
              <w:top w:val="nil"/>
            </w:tcBorders>
            <w:shd w:val="clear" w:color="auto" w:fill="auto"/>
            <w:noWrap/>
            <w:hideMark/>
          </w:tcPr>
          <w:p w14:paraId="5DC07507"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3,713</w:t>
            </w:r>
          </w:p>
        </w:tc>
      </w:tr>
      <w:tr w:rsidR="00561A85" w:rsidRPr="00AA108E" w14:paraId="66348CF8" w14:textId="77777777" w:rsidTr="00AD2E8F">
        <w:trPr>
          <w:cantSplit/>
          <w:trHeight w:hRule="exact" w:val="284"/>
        </w:trPr>
        <w:tc>
          <w:tcPr>
            <w:tcW w:w="2918" w:type="dxa"/>
            <w:tcBorders>
              <w:top w:val="nil"/>
            </w:tcBorders>
            <w:shd w:val="clear" w:color="auto" w:fill="auto"/>
            <w:noWrap/>
            <w:vAlign w:val="bottom"/>
            <w:hideMark/>
          </w:tcPr>
          <w:p w14:paraId="7D0269AF" w14:textId="77777777" w:rsidR="00561A85" w:rsidRPr="00AA108E" w:rsidRDefault="00561A85" w:rsidP="00561A85">
            <w:pPr>
              <w:rPr>
                <w:rFonts w:ascii="Times New Roman" w:hAnsi="Times New Roman" w:cs="Times New Roman"/>
                <w:color w:val="000000"/>
              </w:rPr>
            </w:pPr>
            <w:r w:rsidRPr="00AA108E">
              <w:rPr>
                <w:rFonts w:ascii="Times New Roman" w:hAnsi="Times New Roman" w:cs="Times New Roman"/>
                <w:color w:val="000000"/>
              </w:rPr>
              <w:t>Education, Training, and Library</w:t>
            </w:r>
          </w:p>
        </w:tc>
        <w:tc>
          <w:tcPr>
            <w:tcW w:w="1544" w:type="dxa"/>
            <w:tcBorders>
              <w:top w:val="nil"/>
            </w:tcBorders>
            <w:shd w:val="clear" w:color="auto" w:fill="auto"/>
            <w:noWrap/>
            <w:hideMark/>
          </w:tcPr>
          <w:p w14:paraId="609D58A1"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535</w:t>
            </w:r>
          </w:p>
        </w:tc>
        <w:tc>
          <w:tcPr>
            <w:tcW w:w="893" w:type="dxa"/>
            <w:tcBorders>
              <w:top w:val="nil"/>
            </w:tcBorders>
            <w:shd w:val="clear" w:color="auto" w:fill="auto"/>
            <w:noWrap/>
            <w:hideMark/>
          </w:tcPr>
          <w:p w14:paraId="0F5E14A6"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311</w:t>
            </w:r>
          </w:p>
        </w:tc>
        <w:tc>
          <w:tcPr>
            <w:tcW w:w="849" w:type="dxa"/>
            <w:tcBorders>
              <w:top w:val="nil"/>
            </w:tcBorders>
            <w:shd w:val="clear" w:color="auto" w:fill="auto"/>
            <w:noWrap/>
            <w:hideMark/>
          </w:tcPr>
          <w:p w14:paraId="274AD6F5"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219</w:t>
            </w:r>
          </w:p>
        </w:tc>
        <w:tc>
          <w:tcPr>
            <w:tcW w:w="849" w:type="dxa"/>
            <w:tcBorders>
              <w:top w:val="nil"/>
            </w:tcBorders>
            <w:shd w:val="clear" w:color="auto" w:fill="auto"/>
            <w:noWrap/>
            <w:hideMark/>
          </w:tcPr>
          <w:p w14:paraId="7D2546BF"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270</w:t>
            </w:r>
          </w:p>
        </w:tc>
        <w:tc>
          <w:tcPr>
            <w:tcW w:w="895" w:type="dxa"/>
            <w:tcBorders>
              <w:top w:val="nil"/>
            </w:tcBorders>
            <w:shd w:val="clear" w:color="auto" w:fill="auto"/>
            <w:noWrap/>
            <w:hideMark/>
          </w:tcPr>
          <w:p w14:paraId="1A18141C"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485</w:t>
            </w:r>
          </w:p>
        </w:tc>
        <w:tc>
          <w:tcPr>
            <w:tcW w:w="895" w:type="dxa"/>
            <w:tcBorders>
              <w:top w:val="nil"/>
            </w:tcBorders>
            <w:shd w:val="clear" w:color="auto" w:fill="auto"/>
            <w:noWrap/>
            <w:hideMark/>
          </w:tcPr>
          <w:p w14:paraId="28C8406D"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1,654</w:t>
            </w:r>
          </w:p>
        </w:tc>
        <w:tc>
          <w:tcPr>
            <w:tcW w:w="964" w:type="dxa"/>
            <w:tcBorders>
              <w:top w:val="nil"/>
            </w:tcBorders>
            <w:shd w:val="clear" w:color="auto" w:fill="auto"/>
            <w:noWrap/>
            <w:hideMark/>
          </w:tcPr>
          <w:p w14:paraId="255C6FAA"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3,474</w:t>
            </w:r>
          </w:p>
        </w:tc>
      </w:tr>
      <w:tr w:rsidR="00561A85" w:rsidRPr="00AA108E" w14:paraId="31AD58E7" w14:textId="77777777" w:rsidTr="00AD2E8F">
        <w:trPr>
          <w:cantSplit/>
          <w:trHeight w:hRule="exact" w:val="240"/>
        </w:trPr>
        <w:tc>
          <w:tcPr>
            <w:tcW w:w="2918" w:type="dxa"/>
            <w:tcBorders>
              <w:top w:val="nil"/>
            </w:tcBorders>
            <w:shd w:val="clear" w:color="auto" w:fill="auto"/>
            <w:noWrap/>
            <w:vAlign w:val="bottom"/>
            <w:hideMark/>
          </w:tcPr>
          <w:p w14:paraId="0910F97D" w14:textId="77777777" w:rsidR="00561A85" w:rsidRPr="00AA108E" w:rsidRDefault="00561A85" w:rsidP="00561A85">
            <w:pPr>
              <w:rPr>
                <w:rFonts w:ascii="Times New Roman" w:hAnsi="Times New Roman" w:cs="Times New Roman"/>
                <w:color w:val="000000"/>
              </w:rPr>
            </w:pPr>
            <w:r w:rsidRPr="00AA108E">
              <w:rPr>
                <w:rFonts w:ascii="Times New Roman" w:hAnsi="Times New Roman" w:cs="Times New Roman"/>
                <w:color w:val="000000"/>
              </w:rPr>
              <w:t>Construction and Extraction</w:t>
            </w:r>
          </w:p>
        </w:tc>
        <w:tc>
          <w:tcPr>
            <w:tcW w:w="1544" w:type="dxa"/>
            <w:tcBorders>
              <w:top w:val="nil"/>
            </w:tcBorders>
            <w:shd w:val="clear" w:color="auto" w:fill="auto"/>
            <w:noWrap/>
            <w:hideMark/>
          </w:tcPr>
          <w:p w14:paraId="6B3FD965"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126</w:t>
            </w:r>
          </w:p>
        </w:tc>
        <w:tc>
          <w:tcPr>
            <w:tcW w:w="893" w:type="dxa"/>
            <w:tcBorders>
              <w:top w:val="nil"/>
            </w:tcBorders>
            <w:shd w:val="clear" w:color="auto" w:fill="auto"/>
            <w:noWrap/>
            <w:hideMark/>
          </w:tcPr>
          <w:p w14:paraId="0B83DF3F"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265</w:t>
            </w:r>
          </w:p>
        </w:tc>
        <w:tc>
          <w:tcPr>
            <w:tcW w:w="849" w:type="dxa"/>
            <w:tcBorders>
              <w:top w:val="nil"/>
            </w:tcBorders>
            <w:shd w:val="clear" w:color="auto" w:fill="auto"/>
            <w:noWrap/>
            <w:hideMark/>
          </w:tcPr>
          <w:p w14:paraId="5D18288F"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181</w:t>
            </w:r>
          </w:p>
        </w:tc>
        <w:tc>
          <w:tcPr>
            <w:tcW w:w="849" w:type="dxa"/>
            <w:tcBorders>
              <w:top w:val="nil"/>
            </w:tcBorders>
            <w:shd w:val="clear" w:color="auto" w:fill="auto"/>
            <w:noWrap/>
            <w:hideMark/>
          </w:tcPr>
          <w:p w14:paraId="02D8EA64"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230</w:t>
            </w:r>
          </w:p>
        </w:tc>
        <w:tc>
          <w:tcPr>
            <w:tcW w:w="895" w:type="dxa"/>
            <w:tcBorders>
              <w:top w:val="nil"/>
            </w:tcBorders>
            <w:shd w:val="clear" w:color="auto" w:fill="auto"/>
            <w:noWrap/>
            <w:hideMark/>
          </w:tcPr>
          <w:p w14:paraId="56A4BC25"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470</w:t>
            </w:r>
          </w:p>
        </w:tc>
        <w:tc>
          <w:tcPr>
            <w:tcW w:w="895" w:type="dxa"/>
            <w:tcBorders>
              <w:top w:val="nil"/>
            </w:tcBorders>
            <w:shd w:val="clear" w:color="auto" w:fill="auto"/>
            <w:noWrap/>
            <w:hideMark/>
          </w:tcPr>
          <w:p w14:paraId="08D2ABAB"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1,363</w:t>
            </w:r>
          </w:p>
        </w:tc>
        <w:tc>
          <w:tcPr>
            <w:tcW w:w="964" w:type="dxa"/>
            <w:tcBorders>
              <w:top w:val="nil"/>
            </w:tcBorders>
            <w:shd w:val="clear" w:color="auto" w:fill="auto"/>
            <w:noWrap/>
            <w:hideMark/>
          </w:tcPr>
          <w:p w14:paraId="15106989"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2,635</w:t>
            </w:r>
          </w:p>
        </w:tc>
      </w:tr>
      <w:tr w:rsidR="00561A85" w:rsidRPr="00AA108E" w14:paraId="7FC23496" w14:textId="77777777" w:rsidTr="00AD2E8F">
        <w:trPr>
          <w:cantSplit/>
          <w:trHeight w:hRule="exact" w:val="471"/>
        </w:trPr>
        <w:tc>
          <w:tcPr>
            <w:tcW w:w="2918" w:type="dxa"/>
            <w:tcBorders>
              <w:top w:val="nil"/>
            </w:tcBorders>
            <w:shd w:val="clear" w:color="auto" w:fill="auto"/>
            <w:vAlign w:val="bottom"/>
            <w:hideMark/>
          </w:tcPr>
          <w:p w14:paraId="62386F3B" w14:textId="77777777" w:rsidR="00561A85" w:rsidRPr="00AA108E" w:rsidRDefault="00561A85" w:rsidP="00561A85">
            <w:pPr>
              <w:rPr>
                <w:rFonts w:ascii="Times New Roman" w:hAnsi="Times New Roman" w:cs="Times New Roman"/>
                <w:color w:val="000000"/>
              </w:rPr>
            </w:pPr>
            <w:r w:rsidRPr="00AA108E">
              <w:rPr>
                <w:rFonts w:ascii="Times New Roman" w:hAnsi="Times New Roman" w:cs="Times New Roman"/>
                <w:color w:val="000000"/>
              </w:rPr>
              <w:t>Arts, Design, Entertainment, Sports, and Media</w:t>
            </w:r>
          </w:p>
        </w:tc>
        <w:tc>
          <w:tcPr>
            <w:tcW w:w="1544" w:type="dxa"/>
            <w:tcBorders>
              <w:top w:val="nil"/>
            </w:tcBorders>
            <w:shd w:val="clear" w:color="auto" w:fill="auto"/>
            <w:noWrap/>
            <w:hideMark/>
          </w:tcPr>
          <w:p w14:paraId="2A10180E"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921</w:t>
            </w:r>
          </w:p>
        </w:tc>
        <w:tc>
          <w:tcPr>
            <w:tcW w:w="893" w:type="dxa"/>
            <w:tcBorders>
              <w:top w:val="nil"/>
            </w:tcBorders>
            <w:shd w:val="clear" w:color="auto" w:fill="auto"/>
            <w:noWrap/>
            <w:hideMark/>
          </w:tcPr>
          <w:p w14:paraId="4677A0F6"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40</w:t>
            </w:r>
          </w:p>
        </w:tc>
        <w:tc>
          <w:tcPr>
            <w:tcW w:w="849" w:type="dxa"/>
            <w:tcBorders>
              <w:top w:val="nil"/>
            </w:tcBorders>
            <w:shd w:val="clear" w:color="auto" w:fill="auto"/>
            <w:noWrap/>
            <w:hideMark/>
          </w:tcPr>
          <w:p w14:paraId="7666C8F8"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67</w:t>
            </w:r>
          </w:p>
        </w:tc>
        <w:tc>
          <w:tcPr>
            <w:tcW w:w="849" w:type="dxa"/>
            <w:tcBorders>
              <w:top w:val="nil"/>
            </w:tcBorders>
            <w:shd w:val="clear" w:color="auto" w:fill="auto"/>
            <w:noWrap/>
            <w:hideMark/>
          </w:tcPr>
          <w:p w14:paraId="6038B67F"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78</w:t>
            </w:r>
          </w:p>
        </w:tc>
        <w:tc>
          <w:tcPr>
            <w:tcW w:w="895" w:type="dxa"/>
            <w:tcBorders>
              <w:top w:val="nil"/>
            </w:tcBorders>
            <w:shd w:val="clear" w:color="auto" w:fill="auto"/>
            <w:noWrap/>
            <w:hideMark/>
          </w:tcPr>
          <w:p w14:paraId="7ABE0F42"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181</w:t>
            </w:r>
          </w:p>
        </w:tc>
        <w:tc>
          <w:tcPr>
            <w:tcW w:w="895" w:type="dxa"/>
            <w:tcBorders>
              <w:top w:val="nil"/>
            </w:tcBorders>
            <w:shd w:val="clear" w:color="auto" w:fill="auto"/>
            <w:noWrap/>
            <w:hideMark/>
          </w:tcPr>
          <w:p w14:paraId="685C511C"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936</w:t>
            </w:r>
          </w:p>
        </w:tc>
        <w:tc>
          <w:tcPr>
            <w:tcW w:w="964" w:type="dxa"/>
            <w:tcBorders>
              <w:top w:val="nil"/>
            </w:tcBorders>
            <w:shd w:val="clear" w:color="auto" w:fill="auto"/>
            <w:noWrap/>
            <w:hideMark/>
          </w:tcPr>
          <w:p w14:paraId="38A07C02"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2,222</w:t>
            </w:r>
          </w:p>
        </w:tc>
      </w:tr>
      <w:tr w:rsidR="00561A85" w:rsidRPr="00AA108E" w14:paraId="53305B4F" w14:textId="77777777" w:rsidTr="00AD2E8F">
        <w:trPr>
          <w:cantSplit/>
          <w:trHeight w:hRule="exact" w:val="258"/>
        </w:trPr>
        <w:tc>
          <w:tcPr>
            <w:tcW w:w="2918" w:type="dxa"/>
            <w:tcBorders>
              <w:top w:val="nil"/>
            </w:tcBorders>
            <w:shd w:val="clear" w:color="auto" w:fill="auto"/>
            <w:noWrap/>
            <w:vAlign w:val="bottom"/>
            <w:hideMark/>
          </w:tcPr>
          <w:p w14:paraId="586852DB" w14:textId="77777777" w:rsidR="00561A85" w:rsidRPr="00AA108E" w:rsidRDefault="00561A85" w:rsidP="00561A85">
            <w:pPr>
              <w:rPr>
                <w:rFonts w:ascii="Times New Roman" w:hAnsi="Times New Roman" w:cs="Times New Roman"/>
                <w:color w:val="000000"/>
              </w:rPr>
            </w:pPr>
            <w:r w:rsidRPr="00AA108E">
              <w:rPr>
                <w:rFonts w:ascii="Times New Roman" w:hAnsi="Times New Roman" w:cs="Times New Roman"/>
                <w:color w:val="000000"/>
              </w:rPr>
              <w:t>Business and Financial Operations</w:t>
            </w:r>
          </w:p>
        </w:tc>
        <w:tc>
          <w:tcPr>
            <w:tcW w:w="1544" w:type="dxa"/>
            <w:tcBorders>
              <w:top w:val="nil"/>
            </w:tcBorders>
            <w:shd w:val="clear" w:color="auto" w:fill="auto"/>
            <w:noWrap/>
            <w:hideMark/>
          </w:tcPr>
          <w:p w14:paraId="353F78D8"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808</w:t>
            </w:r>
          </w:p>
        </w:tc>
        <w:tc>
          <w:tcPr>
            <w:tcW w:w="893" w:type="dxa"/>
            <w:tcBorders>
              <w:top w:val="nil"/>
            </w:tcBorders>
            <w:shd w:val="clear" w:color="auto" w:fill="auto"/>
            <w:noWrap/>
            <w:hideMark/>
          </w:tcPr>
          <w:p w14:paraId="5F0BD5C7"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w:t>
            </w:r>
          </w:p>
        </w:tc>
        <w:tc>
          <w:tcPr>
            <w:tcW w:w="849" w:type="dxa"/>
            <w:tcBorders>
              <w:top w:val="nil"/>
            </w:tcBorders>
            <w:shd w:val="clear" w:color="auto" w:fill="auto"/>
            <w:noWrap/>
            <w:hideMark/>
          </w:tcPr>
          <w:p w14:paraId="64150EEE"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w:t>
            </w:r>
          </w:p>
        </w:tc>
        <w:tc>
          <w:tcPr>
            <w:tcW w:w="849" w:type="dxa"/>
            <w:tcBorders>
              <w:top w:val="nil"/>
            </w:tcBorders>
            <w:shd w:val="clear" w:color="auto" w:fill="auto"/>
            <w:noWrap/>
            <w:hideMark/>
          </w:tcPr>
          <w:p w14:paraId="16EA9FEC"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1</w:t>
            </w:r>
          </w:p>
        </w:tc>
        <w:tc>
          <w:tcPr>
            <w:tcW w:w="895" w:type="dxa"/>
            <w:tcBorders>
              <w:top w:val="nil"/>
            </w:tcBorders>
            <w:shd w:val="clear" w:color="auto" w:fill="auto"/>
            <w:noWrap/>
            <w:hideMark/>
          </w:tcPr>
          <w:p w14:paraId="4205E3F2"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34</w:t>
            </w:r>
          </w:p>
        </w:tc>
        <w:tc>
          <w:tcPr>
            <w:tcW w:w="895" w:type="dxa"/>
            <w:tcBorders>
              <w:top w:val="nil"/>
            </w:tcBorders>
            <w:shd w:val="clear" w:color="auto" w:fill="auto"/>
            <w:noWrap/>
            <w:hideMark/>
          </w:tcPr>
          <w:p w14:paraId="77069221"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901</w:t>
            </w:r>
          </w:p>
        </w:tc>
        <w:tc>
          <w:tcPr>
            <w:tcW w:w="964" w:type="dxa"/>
            <w:tcBorders>
              <w:top w:val="nil"/>
            </w:tcBorders>
            <w:shd w:val="clear" w:color="auto" w:fill="auto"/>
            <w:noWrap/>
            <w:hideMark/>
          </w:tcPr>
          <w:p w14:paraId="5220E650"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1,745</w:t>
            </w:r>
          </w:p>
        </w:tc>
      </w:tr>
      <w:tr w:rsidR="00561A85" w:rsidRPr="00AA108E" w14:paraId="262D34C0" w14:textId="77777777" w:rsidTr="00AD2E8F">
        <w:trPr>
          <w:cantSplit/>
          <w:trHeight w:hRule="exact" w:val="524"/>
        </w:trPr>
        <w:tc>
          <w:tcPr>
            <w:tcW w:w="2918" w:type="dxa"/>
            <w:tcBorders>
              <w:top w:val="nil"/>
            </w:tcBorders>
            <w:shd w:val="clear" w:color="auto" w:fill="auto"/>
            <w:noWrap/>
            <w:vAlign w:val="bottom"/>
            <w:hideMark/>
          </w:tcPr>
          <w:p w14:paraId="012BD426" w14:textId="77777777" w:rsidR="00561A85" w:rsidRPr="00AA108E" w:rsidRDefault="00561A85" w:rsidP="00561A85">
            <w:pPr>
              <w:rPr>
                <w:rFonts w:ascii="Times New Roman" w:hAnsi="Times New Roman" w:cs="Times New Roman"/>
                <w:color w:val="000000"/>
              </w:rPr>
            </w:pPr>
            <w:r w:rsidRPr="00AA108E">
              <w:rPr>
                <w:rFonts w:ascii="Times New Roman" w:hAnsi="Times New Roman" w:cs="Times New Roman"/>
                <w:color w:val="000000"/>
              </w:rPr>
              <w:t>Healthcare Practitioners and Technical</w:t>
            </w:r>
          </w:p>
        </w:tc>
        <w:tc>
          <w:tcPr>
            <w:tcW w:w="1544" w:type="dxa"/>
            <w:tcBorders>
              <w:top w:val="nil"/>
            </w:tcBorders>
            <w:shd w:val="clear" w:color="auto" w:fill="auto"/>
            <w:noWrap/>
            <w:hideMark/>
          </w:tcPr>
          <w:p w14:paraId="09765F3E"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463</w:t>
            </w:r>
          </w:p>
        </w:tc>
        <w:tc>
          <w:tcPr>
            <w:tcW w:w="893" w:type="dxa"/>
            <w:tcBorders>
              <w:top w:val="nil"/>
            </w:tcBorders>
            <w:shd w:val="clear" w:color="auto" w:fill="auto"/>
            <w:noWrap/>
            <w:hideMark/>
          </w:tcPr>
          <w:p w14:paraId="1D309229"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158</w:t>
            </w:r>
          </w:p>
        </w:tc>
        <w:tc>
          <w:tcPr>
            <w:tcW w:w="849" w:type="dxa"/>
            <w:tcBorders>
              <w:top w:val="nil"/>
            </w:tcBorders>
            <w:shd w:val="clear" w:color="auto" w:fill="auto"/>
            <w:noWrap/>
            <w:hideMark/>
          </w:tcPr>
          <w:p w14:paraId="6B63FC8E"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85</w:t>
            </w:r>
          </w:p>
        </w:tc>
        <w:tc>
          <w:tcPr>
            <w:tcW w:w="849" w:type="dxa"/>
            <w:tcBorders>
              <w:top w:val="nil"/>
            </w:tcBorders>
            <w:shd w:val="clear" w:color="auto" w:fill="auto"/>
            <w:noWrap/>
            <w:hideMark/>
          </w:tcPr>
          <w:p w14:paraId="75DCCAFB"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104</w:t>
            </w:r>
          </w:p>
        </w:tc>
        <w:tc>
          <w:tcPr>
            <w:tcW w:w="895" w:type="dxa"/>
            <w:tcBorders>
              <w:top w:val="nil"/>
            </w:tcBorders>
            <w:shd w:val="clear" w:color="auto" w:fill="auto"/>
            <w:noWrap/>
            <w:hideMark/>
          </w:tcPr>
          <w:p w14:paraId="3263FD4A"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195</w:t>
            </w:r>
          </w:p>
        </w:tc>
        <w:tc>
          <w:tcPr>
            <w:tcW w:w="895" w:type="dxa"/>
            <w:tcBorders>
              <w:top w:val="nil"/>
            </w:tcBorders>
            <w:shd w:val="clear" w:color="auto" w:fill="auto"/>
            <w:noWrap/>
            <w:hideMark/>
          </w:tcPr>
          <w:p w14:paraId="40F8CE55"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670</w:t>
            </w:r>
          </w:p>
        </w:tc>
        <w:tc>
          <w:tcPr>
            <w:tcW w:w="964" w:type="dxa"/>
            <w:tcBorders>
              <w:top w:val="nil"/>
            </w:tcBorders>
            <w:shd w:val="clear" w:color="auto" w:fill="auto"/>
            <w:noWrap/>
            <w:hideMark/>
          </w:tcPr>
          <w:p w14:paraId="2410738A"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1,676</w:t>
            </w:r>
          </w:p>
        </w:tc>
      </w:tr>
      <w:tr w:rsidR="00561A85" w:rsidRPr="00AA108E" w14:paraId="43132DDD" w14:textId="77777777" w:rsidTr="00AD2E8F">
        <w:trPr>
          <w:cantSplit/>
          <w:trHeight w:hRule="exact" w:val="276"/>
        </w:trPr>
        <w:tc>
          <w:tcPr>
            <w:tcW w:w="2918" w:type="dxa"/>
            <w:tcBorders>
              <w:top w:val="nil"/>
            </w:tcBorders>
            <w:shd w:val="clear" w:color="auto" w:fill="auto"/>
            <w:noWrap/>
            <w:vAlign w:val="bottom"/>
            <w:hideMark/>
          </w:tcPr>
          <w:p w14:paraId="2F4D6565" w14:textId="77777777" w:rsidR="00561A85" w:rsidRPr="00AA108E" w:rsidRDefault="00561A85" w:rsidP="00561A85">
            <w:pPr>
              <w:rPr>
                <w:rFonts w:ascii="Times New Roman" w:hAnsi="Times New Roman" w:cs="Times New Roman"/>
                <w:color w:val="000000"/>
              </w:rPr>
            </w:pPr>
            <w:r w:rsidRPr="00AA108E">
              <w:rPr>
                <w:rFonts w:ascii="Times New Roman" w:hAnsi="Times New Roman" w:cs="Times New Roman"/>
                <w:color w:val="000000"/>
              </w:rPr>
              <w:t>Legal</w:t>
            </w:r>
          </w:p>
        </w:tc>
        <w:tc>
          <w:tcPr>
            <w:tcW w:w="1544" w:type="dxa"/>
            <w:tcBorders>
              <w:top w:val="nil"/>
            </w:tcBorders>
            <w:shd w:val="clear" w:color="auto" w:fill="auto"/>
            <w:noWrap/>
            <w:hideMark/>
          </w:tcPr>
          <w:p w14:paraId="47379DA5"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1,118</w:t>
            </w:r>
          </w:p>
        </w:tc>
        <w:tc>
          <w:tcPr>
            <w:tcW w:w="893" w:type="dxa"/>
            <w:tcBorders>
              <w:top w:val="nil"/>
            </w:tcBorders>
            <w:shd w:val="clear" w:color="auto" w:fill="auto"/>
            <w:noWrap/>
            <w:hideMark/>
          </w:tcPr>
          <w:p w14:paraId="3BA7A77F"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w:t>
            </w:r>
          </w:p>
        </w:tc>
        <w:tc>
          <w:tcPr>
            <w:tcW w:w="849" w:type="dxa"/>
            <w:tcBorders>
              <w:top w:val="nil"/>
            </w:tcBorders>
            <w:shd w:val="clear" w:color="auto" w:fill="auto"/>
            <w:noWrap/>
            <w:hideMark/>
          </w:tcPr>
          <w:p w14:paraId="29D183D6"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w:t>
            </w:r>
          </w:p>
        </w:tc>
        <w:tc>
          <w:tcPr>
            <w:tcW w:w="849" w:type="dxa"/>
            <w:tcBorders>
              <w:top w:val="nil"/>
            </w:tcBorders>
            <w:shd w:val="clear" w:color="auto" w:fill="auto"/>
            <w:noWrap/>
            <w:hideMark/>
          </w:tcPr>
          <w:p w14:paraId="65BB7445"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w:t>
            </w:r>
          </w:p>
        </w:tc>
        <w:tc>
          <w:tcPr>
            <w:tcW w:w="895" w:type="dxa"/>
            <w:tcBorders>
              <w:top w:val="nil"/>
            </w:tcBorders>
            <w:shd w:val="clear" w:color="auto" w:fill="auto"/>
            <w:noWrap/>
            <w:hideMark/>
          </w:tcPr>
          <w:p w14:paraId="63685880"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w:t>
            </w:r>
          </w:p>
        </w:tc>
        <w:tc>
          <w:tcPr>
            <w:tcW w:w="895" w:type="dxa"/>
            <w:tcBorders>
              <w:top w:val="nil"/>
            </w:tcBorders>
            <w:shd w:val="clear" w:color="auto" w:fill="auto"/>
            <w:noWrap/>
            <w:hideMark/>
          </w:tcPr>
          <w:p w14:paraId="351813BF"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237</w:t>
            </w:r>
          </w:p>
        </w:tc>
        <w:tc>
          <w:tcPr>
            <w:tcW w:w="964" w:type="dxa"/>
            <w:tcBorders>
              <w:top w:val="nil"/>
            </w:tcBorders>
            <w:shd w:val="clear" w:color="auto" w:fill="auto"/>
            <w:noWrap/>
            <w:hideMark/>
          </w:tcPr>
          <w:p w14:paraId="77BA59C7"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1,355</w:t>
            </w:r>
          </w:p>
        </w:tc>
      </w:tr>
      <w:tr w:rsidR="00561A85" w:rsidRPr="00AA108E" w14:paraId="4E9BEA19" w14:textId="77777777" w:rsidTr="00AD2E8F">
        <w:trPr>
          <w:cantSplit/>
          <w:trHeight w:hRule="exact" w:val="293"/>
        </w:trPr>
        <w:tc>
          <w:tcPr>
            <w:tcW w:w="2918" w:type="dxa"/>
            <w:tcBorders>
              <w:top w:val="nil"/>
            </w:tcBorders>
            <w:shd w:val="clear" w:color="auto" w:fill="auto"/>
            <w:noWrap/>
            <w:vAlign w:val="bottom"/>
            <w:hideMark/>
          </w:tcPr>
          <w:p w14:paraId="51D359D1" w14:textId="77777777" w:rsidR="00561A85" w:rsidRPr="00AA108E" w:rsidRDefault="00561A85" w:rsidP="00561A85">
            <w:pPr>
              <w:rPr>
                <w:rFonts w:ascii="Times New Roman" w:hAnsi="Times New Roman" w:cs="Times New Roman"/>
                <w:color w:val="000000"/>
              </w:rPr>
            </w:pPr>
            <w:r w:rsidRPr="00AA108E">
              <w:rPr>
                <w:rFonts w:ascii="Times New Roman" w:hAnsi="Times New Roman" w:cs="Times New Roman"/>
                <w:color w:val="000000"/>
              </w:rPr>
              <w:t>Life, Physical, and Social Science</w:t>
            </w:r>
          </w:p>
        </w:tc>
        <w:tc>
          <w:tcPr>
            <w:tcW w:w="1544" w:type="dxa"/>
            <w:tcBorders>
              <w:top w:val="nil"/>
            </w:tcBorders>
            <w:shd w:val="clear" w:color="auto" w:fill="auto"/>
            <w:noWrap/>
            <w:hideMark/>
          </w:tcPr>
          <w:p w14:paraId="34297B4C"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217</w:t>
            </w:r>
          </w:p>
        </w:tc>
        <w:tc>
          <w:tcPr>
            <w:tcW w:w="893" w:type="dxa"/>
            <w:tcBorders>
              <w:top w:val="nil"/>
            </w:tcBorders>
            <w:shd w:val="clear" w:color="auto" w:fill="auto"/>
            <w:noWrap/>
            <w:hideMark/>
          </w:tcPr>
          <w:p w14:paraId="366BDA51"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166</w:t>
            </w:r>
          </w:p>
        </w:tc>
        <w:tc>
          <w:tcPr>
            <w:tcW w:w="849" w:type="dxa"/>
            <w:tcBorders>
              <w:top w:val="nil"/>
            </w:tcBorders>
            <w:shd w:val="clear" w:color="auto" w:fill="auto"/>
            <w:noWrap/>
            <w:hideMark/>
          </w:tcPr>
          <w:p w14:paraId="62A328BF"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99</w:t>
            </w:r>
          </w:p>
        </w:tc>
        <w:tc>
          <w:tcPr>
            <w:tcW w:w="849" w:type="dxa"/>
            <w:tcBorders>
              <w:top w:val="nil"/>
            </w:tcBorders>
            <w:shd w:val="clear" w:color="auto" w:fill="auto"/>
            <w:noWrap/>
            <w:hideMark/>
          </w:tcPr>
          <w:p w14:paraId="285F00A1"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127</w:t>
            </w:r>
          </w:p>
        </w:tc>
        <w:tc>
          <w:tcPr>
            <w:tcW w:w="895" w:type="dxa"/>
            <w:tcBorders>
              <w:top w:val="nil"/>
            </w:tcBorders>
            <w:shd w:val="clear" w:color="auto" w:fill="auto"/>
            <w:noWrap/>
            <w:hideMark/>
          </w:tcPr>
          <w:p w14:paraId="5FA7E0C6"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244</w:t>
            </w:r>
          </w:p>
        </w:tc>
        <w:tc>
          <w:tcPr>
            <w:tcW w:w="895" w:type="dxa"/>
            <w:tcBorders>
              <w:top w:val="nil"/>
            </w:tcBorders>
            <w:shd w:val="clear" w:color="auto" w:fill="auto"/>
            <w:noWrap/>
            <w:hideMark/>
          </w:tcPr>
          <w:p w14:paraId="4667064A"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727</w:t>
            </w:r>
          </w:p>
        </w:tc>
        <w:tc>
          <w:tcPr>
            <w:tcW w:w="964" w:type="dxa"/>
            <w:tcBorders>
              <w:top w:val="nil"/>
            </w:tcBorders>
            <w:shd w:val="clear" w:color="auto" w:fill="auto"/>
            <w:noWrap/>
            <w:hideMark/>
          </w:tcPr>
          <w:p w14:paraId="7969101C"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1,580</w:t>
            </w:r>
          </w:p>
        </w:tc>
      </w:tr>
      <w:tr w:rsidR="00561A85" w:rsidRPr="00AA108E" w14:paraId="2A029951" w14:textId="77777777" w:rsidTr="00AD2E8F">
        <w:trPr>
          <w:cantSplit/>
          <w:trHeight w:hRule="exact" w:val="302"/>
        </w:trPr>
        <w:tc>
          <w:tcPr>
            <w:tcW w:w="2918" w:type="dxa"/>
            <w:tcBorders>
              <w:top w:val="nil"/>
            </w:tcBorders>
            <w:shd w:val="clear" w:color="auto" w:fill="auto"/>
            <w:noWrap/>
            <w:vAlign w:val="bottom"/>
            <w:hideMark/>
          </w:tcPr>
          <w:p w14:paraId="4E709886" w14:textId="77777777" w:rsidR="00561A85" w:rsidRPr="00AA108E" w:rsidRDefault="00561A85" w:rsidP="00561A85">
            <w:pPr>
              <w:rPr>
                <w:rFonts w:ascii="Times New Roman" w:hAnsi="Times New Roman" w:cs="Times New Roman"/>
                <w:color w:val="000000"/>
              </w:rPr>
            </w:pPr>
            <w:r w:rsidRPr="00AA108E">
              <w:rPr>
                <w:rFonts w:ascii="Times New Roman" w:hAnsi="Times New Roman" w:cs="Times New Roman"/>
                <w:color w:val="000000"/>
              </w:rPr>
              <w:t>Installation, Maintenance, and Repair</w:t>
            </w:r>
          </w:p>
        </w:tc>
        <w:tc>
          <w:tcPr>
            <w:tcW w:w="1544" w:type="dxa"/>
            <w:tcBorders>
              <w:top w:val="nil"/>
            </w:tcBorders>
            <w:shd w:val="clear" w:color="auto" w:fill="auto"/>
            <w:noWrap/>
            <w:hideMark/>
          </w:tcPr>
          <w:p w14:paraId="5098258B"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149</w:t>
            </w:r>
          </w:p>
        </w:tc>
        <w:tc>
          <w:tcPr>
            <w:tcW w:w="893" w:type="dxa"/>
            <w:tcBorders>
              <w:top w:val="nil"/>
            </w:tcBorders>
            <w:shd w:val="clear" w:color="auto" w:fill="auto"/>
            <w:noWrap/>
            <w:hideMark/>
          </w:tcPr>
          <w:p w14:paraId="77E52FAB"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77</w:t>
            </w:r>
          </w:p>
        </w:tc>
        <w:tc>
          <w:tcPr>
            <w:tcW w:w="849" w:type="dxa"/>
            <w:tcBorders>
              <w:top w:val="nil"/>
            </w:tcBorders>
            <w:shd w:val="clear" w:color="auto" w:fill="auto"/>
            <w:noWrap/>
            <w:hideMark/>
          </w:tcPr>
          <w:p w14:paraId="2E629BB9"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119</w:t>
            </w:r>
          </w:p>
        </w:tc>
        <w:tc>
          <w:tcPr>
            <w:tcW w:w="849" w:type="dxa"/>
            <w:tcBorders>
              <w:top w:val="nil"/>
            </w:tcBorders>
            <w:shd w:val="clear" w:color="auto" w:fill="auto"/>
            <w:noWrap/>
            <w:hideMark/>
          </w:tcPr>
          <w:p w14:paraId="17FCD191"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145</w:t>
            </w:r>
          </w:p>
        </w:tc>
        <w:tc>
          <w:tcPr>
            <w:tcW w:w="895" w:type="dxa"/>
            <w:tcBorders>
              <w:top w:val="nil"/>
            </w:tcBorders>
            <w:shd w:val="clear" w:color="auto" w:fill="auto"/>
            <w:noWrap/>
            <w:hideMark/>
          </w:tcPr>
          <w:p w14:paraId="5900547B"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277</w:t>
            </w:r>
          </w:p>
        </w:tc>
        <w:tc>
          <w:tcPr>
            <w:tcW w:w="895" w:type="dxa"/>
            <w:tcBorders>
              <w:top w:val="nil"/>
            </w:tcBorders>
            <w:shd w:val="clear" w:color="auto" w:fill="auto"/>
            <w:noWrap/>
            <w:hideMark/>
          </w:tcPr>
          <w:p w14:paraId="7CB5E459"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746</w:t>
            </w:r>
          </w:p>
        </w:tc>
        <w:tc>
          <w:tcPr>
            <w:tcW w:w="964" w:type="dxa"/>
            <w:tcBorders>
              <w:top w:val="nil"/>
            </w:tcBorders>
            <w:shd w:val="clear" w:color="auto" w:fill="auto"/>
            <w:noWrap/>
            <w:hideMark/>
          </w:tcPr>
          <w:p w14:paraId="69061939"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1,514</w:t>
            </w:r>
          </w:p>
        </w:tc>
      </w:tr>
      <w:tr w:rsidR="00561A85" w:rsidRPr="00AA108E" w14:paraId="22261804" w14:textId="77777777" w:rsidTr="00AD2E8F">
        <w:trPr>
          <w:cantSplit/>
          <w:trHeight w:hRule="exact" w:val="249"/>
        </w:trPr>
        <w:tc>
          <w:tcPr>
            <w:tcW w:w="2918" w:type="dxa"/>
            <w:tcBorders>
              <w:top w:val="nil"/>
            </w:tcBorders>
            <w:shd w:val="clear" w:color="auto" w:fill="auto"/>
            <w:noWrap/>
            <w:vAlign w:val="bottom"/>
            <w:hideMark/>
          </w:tcPr>
          <w:p w14:paraId="40C08AB3" w14:textId="77777777" w:rsidR="00561A85" w:rsidRPr="00AA108E" w:rsidRDefault="00561A85" w:rsidP="00561A85">
            <w:pPr>
              <w:rPr>
                <w:rFonts w:ascii="Times New Roman" w:hAnsi="Times New Roman" w:cs="Times New Roman"/>
                <w:color w:val="000000"/>
              </w:rPr>
            </w:pPr>
            <w:r w:rsidRPr="00AA108E">
              <w:rPr>
                <w:rFonts w:ascii="Times New Roman" w:hAnsi="Times New Roman" w:cs="Times New Roman"/>
                <w:color w:val="000000"/>
              </w:rPr>
              <w:t>Production</w:t>
            </w:r>
          </w:p>
        </w:tc>
        <w:tc>
          <w:tcPr>
            <w:tcW w:w="1544" w:type="dxa"/>
            <w:tcBorders>
              <w:top w:val="nil"/>
            </w:tcBorders>
            <w:shd w:val="clear" w:color="auto" w:fill="auto"/>
            <w:noWrap/>
            <w:hideMark/>
          </w:tcPr>
          <w:p w14:paraId="3595B970"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207</w:t>
            </w:r>
          </w:p>
        </w:tc>
        <w:tc>
          <w:tcPr>
            <w:tcW w:w="893" w:type="dxa"/>
            <w:tcBorders>
              <w:top w:val="nil"/>
            </w:tcBorders>
            <w:shd w:val="clear" w:color="auto" w:fill="auto"/>
            <w:noWrap/>
            <w:hideMark/>
          </w:tcPr>
          <w:p w14:paraId="4BF7D14F"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300</w:t>
            </w:r>
          </w:p>
        </w:tc>
        <w:tc>
          <w:tcPr>
            <w:tcW w:w="849" w:type="dxa"/>
            <w:tcBorders>
              <w:top w:val="nil"/>
            </w:tcBorders>
            <w:shd w:val="clear" w:color="auto" w:fill="auto"/>
            <w:noWrap/>
            <w:hideMark/>
          </w:tcPr>
          <w:p w14:paraId="7D259272"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119</w:t>
            </w:r>
          </w:p>
        </w:tc>
        <w:tc>
          <w:tcPr>
            <w:tcW w:w="849" w:type="dxa"/>
            <w:tcBorders>
              <w:top w:val="nil"/>
            </w:tcBorders>
            <w:shd w:val="clear" w:color="auto" w:fill="auto"/>
            <w:noWrap/>
            <w:hideMark/>
          </w:tcPr>
          <w:p w14:paraId="25701BF2"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110</w:t>
            </w:r>
          </w:p>
        </w:tc>
        <w:tc>
          <w:tcPr>
            <w:tcW w:w="895" w:type="dxa"/>
            <w:tcBorders>
              <w:top w:val="nil"/>
            </w:tcBorders>
            <w:shd w:val="clear" w:color="auto" w:fill="auto"/>
            <w:noWrap/>
            <w:hideMark/>
          </w:tcPr>
          <w:p w14:paraId="58ECE88E"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144</w:t>
            </w:r>
          </w:p>
        </w:tc>
        <w:tc>
          <w:tcPr>
            <w:tcW w:w="895" w:type="dxa"/>
            <w:tcBorders>
              <w:top w:val="nil"/>
            </w:tcBorders>
            <w:shd w:val="clear" w:color="auto" w:fill="auto"/>
            <w:noWrap/>
            <w:hideMark/>
          </w:tcPr>
          <w:p w14:paraId="13A28108"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292</w:t>
            </w:r>
          </w:p>
        </w:tc>
        <w:tc>
          <w:tcPr>
            <w:tcW w:w="964" w:type="dxa"/>
            <w:tcBorders>
              <w:top w:val="nil"/>
            </w:tcBorders>
            <w:shd w:val="clear" w:color="auto" w:fill="auto"/>
            <w:noWrap/>
            <w:hideMark/>
          </w:tcPr>
          <w:p w14:paraId="5C3CC388"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1,171</w:t>
            </w:r>
          </w:p>
        </w:tc>
      </w:tr>
      <w:tr w:rsidR="00561A85" w:rsidRPr="00AA108E" w14:paraId="3D9C260B" w14:textId="77777777" w:rsidTr="00AD2E8F">
        <w:trPr>
          <w:cantSplit/>
          <w:trHeight w:hRule="exact" w:val="302"/>
        </w:trPr>
        <w:tc>
          <w:tcPr>
            <w:tcW w:w="2918" w:type="dxa"/>
            <w:tcBorders>
              <w:top w:val="nil"/>
            </w:tcBorders>
            <w:shd w:val="clear" w:color="auto" w:fill="auto"/>
            <w:noWrap/>
            <w:vAlign w:val="bottom"/>
            <w:hideMark/>
          </w:tcPr>
          <w:p w14:paraId="2A74229A" w14:textId="77777777" w:rsidR="00561A85" w:rsidRPr="00AA108E" w:rsidRDefault="00561A85" w:rsidP="00561A85">
            <w:pPr>
              <w:rPr>
                <w:rFonts w:ascii="Times New Roman" w:hAnsi="Times New Roman" w:cs="Times New Roman"/>
                <w:color w:val="000000"/>
              </w:rPr>
            </w:pPr>
            <w:r w:rsidRPr="00AA108E">
              <w:rPr>
                <w:rFonts w:ascii="Times New Roman" w:hAnsi="Times New Roman" w:cs="Times New Roman"/>
                <w:color w:val="000000"/>
              </w:rPr>
              <w:t>Management</w:t>
            </w:r>
          </w:p>
        </w:tc>
        <w:tc>
          <w:tcPr>
            <w:tcW w:w="1544" w:type="dxa"/>
            <w:tcBorders>
              <w:top w:val="nil"/>
            </w:tcBorders>
            <w:shd w:val="clear" w:color="auto" w:fill="auto"/>
            <w:noWrap/>
            <w:hideMark/>
          </w:tcPr>
          <w:p w14:paraId="44603CEB"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390</w:t>
            </w:r>
          </w:p>
        </w:tc>
        <w:tc>
          <w:tcPr>
            <w:tcW w:w="893" w:type="dxa"/>
            <w:tcBorders>
              <w:top w:val="nil"/>
            </w:tcBorders>
            <w:shd w:val="clear" w:color="auto" w:fill="auto"/>
            <w:noWrap/>
            <w:hideMark/>
          </w:tcPr>
          <w:p w14:paraId="3B0DEE72"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w:t>
            </w:r>
          </w:p>
        </w:tc>
        <w:tc>
          <w:tcPr>
            <w:tcW w:w="849" w:type="dxa"/>
            <w:tcBorders>
              <w:top w:val="nil"/>
            </w:tcBorders>
            <w:shd w:val="clear" w:color="auto" w:fill="auto"/>
            <w:noWrap/>
            <w:hideMark/>
          </w:tcPr>
          <w:p w14:paraId="2081548C"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w:t>
            </w:r>
          </w:p>
        </w:tc>
        <w:tc>
          <w:tcPr>
            <w:tcW w:w="849" w:type="dxa"/>
            <w:tcBorders>
              <w:top w:val="nil"/>
            </w:tcBorders>
            <w:shd w:val="clear" w:color="auto" w:fill="auto"/>
            <w:noWrap/>
            <w:hideMark/>
          </w:tcPr>
          <w:p w14:paraId="1C953D21"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w:t>
            </w:r>
          </w:p>
        </w:tc>
        <w:tc>
          <w:tcPr>
            <w:tcW w:w="895" w:type="dxa"/>
            <w:tcBorders>
              <w:top w:val="nil"/>
            </w:tcBorders>
            <w:shd w:val="clear" w:color="auto" w:fill="auto"/>
            <w:noWrap/>
            <w:hideMark/>
          </w:tcPr>
          <w:p w14:paraId="2456CC4B"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w:t>
            </w:r>
          </w:p>
        </w:tc>
        <w:tc>
          <w:tcPr>
            <w:tcW w:w="895" w:type="dxa"/>
            <w:tcBorders>
              <w:top w:val="nil"/>
            </w:tcBorders>
            <w:shd w:val="clear" w:color="auto" w:fill="auto"/>
            <w:noWrap/>
            <w:hideMark/>
          </w:tcPr>
          <w:p w14:paraId="30E820A7"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235</w:t>
            </w:r>
          </w:p>
        </w:tc>
        <w:tc>
          <w:tcPr>
            <w:tcW w:w="964" w:type="dxa"/>
            <w:tcBorders>
              <w:top w:val="nil"/>
            </w:tcBorders>
            <w:shd w:val="clear" w:color="auto" w:fill="auto"/>
            <w:noWrap/>
            <w:hideMark/>
          </w:tcPr>
          <w:p w14:paraId="5439847A"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624</w:t>
            </w:r>
          </w:p>
        </w:tc>
      </w:tr>
      <w:tr w:rsidR="00561A85" w:rsidRPr="00AA108E" w14:paraId="444C3D60" w14:textId="77777777" w:rsidTr="00AD2E8F">
        <w:trPr>
          <w:cantSplit/>
          <w:trHeight w:hRule="exact" w:val="258"/>
        </w:trPr>
        <w:tc>
          <w:tcPr>
            <w:tcW w:w="2918" w:type="dxa"/>
            <w:tcBorders>
              <w:top w:val="nil"/>
            </w:tcBorders>
            <w:shd w:val="clear" w:color="auto" w:fill="auto"/>
            <w:noWrap/>
            <w:vAlign w:val="bottom"/>
            <w:hideMark/>
          </w:tcPr>
          <w:p w14:paraId="2A6C5927" w14:textId="77777777" w:rsidR="00561A85" w:rsidRPr="00AA108E" w:rsidRDefault="00561A85" w:rsidP="00561A85">
            <w:pPr>
              <w:rPr>
                <w:rFonts w:ascii="Times New Roman" w:hAnsi="Times New Roman" w:cs="Times New Roman"/>
                <w:color w:val="000000"/>
              </w:rPr>
            </w:pPr>
            <w:r w:rsidRPr="00AA108E">
              <w:rPr>
                <w:rFonts w:ascii="Times New Roman" w:hAnsi="Times New Roman" w:cs="Times New Roman"/>
                <w:color w:val="000000"/>
              </w:rPr>
              <w:t>Computer and Mathematical</w:t>
            </w:r>
          </w:p>
        </w:tc>
        <w:tc>
          <w:tcPr>
            <w:tcW w:w="1544" w:type="dxa"/>
            <w:tcBorders>
              <w:top w:val="nil"/>
            </w:tcBorders>
            <w:shd w:val="clear" w:color="auto" w:fill="auto"/>
            <w:noWrap/>
            <w:hideMark/>
          </w:tcPr>
          <w:p w14:paraId="19A4E8E3"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219</w:t>
            </w:r>
          </w:p>
        </w:tc>
        <w:tc>
          <w:tcPr>
            <w:tcW w:w="893" w:type="dxa"/>
            <w:tcBorders>
              <w:top w:val="nil"/>
            </w:tcBorders>
            <w:shd w:val="clear" w:color="auto" w:fill="auto"/>
            <w:noWrap/>
            <w:hideMark/>
          </w:tcPr>
          <w:p w14:paraId="66871D63"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w:t>
            </w:r>
          </w:p>
        </w:tc>
        <w:tc>
          <w:tcPr>
            <w:tcW w:w="849" w:type="dxa"/>
            <w:tcBorders>
              <w:top w:val="nil"/>
            </w:tcBorders>
            <w:shd w:val="clear" w:color="auto" w:fill="auto"/>
            <w:noWrap/>
            <w:hideMark/>
          </w:tcPr>
          <w:p w14:paraId="687F3F65"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w:t>
            </w:r>
          </w:p>
        </w:tc>
        <w:tc>
          <w:tcPr>
            <w:tcW w:w="849" w:type="dxa"/>
            <w:tcBorders>
              <w:top w:val="nil"/>
            </w:tcBorders>
            <w:shd w:val="clear" w:color="auto" w:fill="auto"/>
            <w:noWrap/>
            <w:hideMark/>
          </w:tcPr>
          <w:p w14:paraId="74AFFD20"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49</w:t>
            </w:r>
          </w:p>
        </w:tc>
        <w:tc>
          <w:tcPr>
            <w:tcW w:w="895" w:type="dxa"/>
            <w:tcBorders>
              <w:top w:val="nil"/>
            </w:tcBorders>
            <w:shd w:val="clear" w:color="auto" w:fill="auto"/>
            <w:noWrap/>
            <w:hideMark/>
          </w:tcPr>
          <w:p w14:paraId="1E8EA2FF"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89</w:t>
            </w:r>
          </w:p>
        </w:tc>
        <w:tc>
          <w:tcPr>
            <w:tcW w:w="895" w:type="dxa"/>
            <w:tcBorders>
              <w:top w:val="nil"/>
            </w:tcBorders>
            <w:shd w:val="clear" w:color="auto" w:fill="auto"/>
            <w:noWrap/>
            <w:hideMark/>
          </w:tcPr>
          <w:p w14:paraId="610FD98A"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294</w:t>
            </w:r>
          </w:p>
        </w:tc>
        <w:tc>
          <w:tcPr>
            <w:tcW w:w="964" w:type="dxa"/>
            <w:tcBorders>
              <w:top w:val="nil"/>
            </w:tcBorders>
            <w:shd w:val="clear" w:color="auto" w:fill="auto"/>
            <w:noWrap/>
            <w:hideMark/>
          </w:tcPr>
          <w:p w14:paraId="38197938"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650</w:t>
            </w:r>
          </w:p>
        </w:tc>
      </w:tr>
      <w:tr w:rsidR="00561A85" w:rsidRPr="00AA108E" w14:paraId="66597BC2" w14:textId="77777777" w:rsidTr="00AD2E8F">
        <w:trPr>
          <w:cantSplit/>
          <w:trHeight w:hRule="exact" w:val="311"/>
        </w:trPr>
        <w:tc>
          <w:tcPr>
            <w:tcW w:w="2918" w:type="dxa"/>
            <w:tcBorders>
              <w:top w:val="nil"/>
            </w:tcBorders>
            <w:shd w:val="clear" w:color="auto" w:fill="auto"/>
            <w:noWrap/>
            <w:vAlign w:val="bottom"/>
            <w:hideMark/>
          </w:tcPr>
          <w:p w14:paraId="3BDB5229" w14:textId="77777777" w:rsidR="00561A85" w:rsidRPr="00AA108E" w:rsidRDefault="00561A85" w:rsidP="00561A85">
            <w:pPr>
              <w:rPr>
                <w:rFonts w:ascii="Times New Roman" w:hAnsi="Times New Roman" w:cs="Times New Roman"/>
                <w:color w:val="000000"/>
              </w:rPr>
            </w:pPr>
            <w:r w:rsidRPr="00AA108E">
              <w:rPr>
                <w:rFonts w:ascii="Times New Roman" w:hAnsi="Times New Roman" w:cs="Times New Roman"/>
                <w:color w:val="000000"/>
              </w:rPr>
              <w:t>Architecture and Engineering</w:t>
            </w:r>
          </w:p>
        </w:tc>
        <w:tc>
          <w:tcPr>
            <w:tcW w:w="1544" w:type="dxa"/>
            <w:tcBorders>
              <w:top w:val="nil"/>
            </w:tcBorders>
            <w:shd w:val="clear" w:color="auto" w:fill="auto"/>
            <w:noWrap/>
            <w:hideMark/>
          </w:tcPr>
          <w:p w14:paraId="67EBB0E7"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42</w:t>
            </w:r>
          </w:p>
        </w:tc>
        <w:tc>
          <w:tcPr>
            <w:tcW w:w="893" w:type="dxa"/>
            <w:tcBorders>
              <w:top w:val="nil"/>
            </w:tcBorders>
            <w:shd w:val="clear" w:color="auto" w:fill="auto"/>
            <w:noWrap/>
            <w:hideMark/>
          </w:tcPr>
          <w:p w14:paraId="57EE8F18"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w:t>
            </w:r>
          </w:p>
        </w:tc>
        <w:tc>
          <w:tcPr>
            <w:tcW w:w="849" w:type="dxa"/>
            <w:tcBorders>
              <w:top w:val="nil"/>
            </w:tcBorders>
            <w:shd w:val="clear" w:color="auto" w:fill="auto"/>
            <w:noWrap/>
            <w:hideMark/>
          </w:tcPr>
          <w:p w14:paraId="75F46B40"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3</w:t>
            </w:r>
          </w:p>
        </w:tc>
        <w:tc>
          <w:tcPr>
            <w:tcW w:w="849" w:type="dxa"/>
            <w:tcBorders>
              <w:top w:val="nil"/>
            </w:tcBorders>
            <w:shd w:val="clear" w:color="auto" w:fill="auto"/>
            <w:noWrap/>
            <w:hideMark/>
          </w:tcPr>
          <w:p w14:paraId="3CC366CB"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3</w:t>
            </w:r>
          </w:p>
        </w:tc>
        <w:tc>
          <w:tcPr>
            <w:tcW w:w="895" w:type="dxa"/>
            <w:tcBorders>
              <w:top w:val="nil"/>
            </w:tcBorders>
            <w:shd w:val="clear" w:color="auto" w:fill="auto"/>
            <w:noWrap/>
            <w:hideMark/>
          </w:tcPr>
          <w:p w14:paraId="2F4B4CFE"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6</w:t>
            </w:r>
          </w:p>
        </w:tc>
        <w:tc>
          <w:tcPr>
            <w:tcW w:w="895" w:type="dxa"/>
            <w:tcBorders>
              <w:top w:val="nil"/>
            </w:tcBorders>
            <w:shd w:val="clear" w:color="auto" w:fill="auto"/>
            <w:noWrap/>
            <w:hideMark/>
          </w:tcPr>
          <w:p w14:paraId="76D57E8B"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81</w:t>
            </w:r>
          </w:p>
        </w:tc>
        <w:tc>
          <w:tcPr>
            <w:tcW w:w="964" w:type="dxa"/>
            <w:tcBorders>
              <w:top w:val="nil"/>
            </w:tcBorders>
            <w:shd w:val="clear" w:color="auto" w:fill="auto"/>
            <w:noWrap/>
            <w:hideMark/>
          </w:tcPr>
          <w:p w14:paraId="77648544"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135</w:t>
            </w:r>
          </w:p>
        </w:tc>
      </w:tr>
      <w:tr w:rsidR="00561A85" w:rsidRPr="00AA108E" w14:paraId="13E1E9C6" w14:textId="77777777" w:rsidTr="00AD2E8F">
        <w:trPr>
          <w:cantSplit/>
          <w:trHeight w:hRule="exact" w:val="258"/>
        </w:trPr>
        <w:tc>
          <w:tcPr>
            <w:tcW w:w="2918" w:type="dxa"/>
            <w:tcBorders>
              <w:top w:val="nil"/>
            </w:tcBorders>
            <w:shd w:val="clear" w:color="auto" w:fill="auto"/>
            <w:noWrap/>
            <w:vAlign w:val="bottom"/>
            <w:hideMark/>
          </w:tcPr>
          <w:p w14:paraId="11EDBDA3" w14:textId="77777777" w:rsidR="00561A85" w:rsidRPr="00AA108E" w:rsidRDefault="00561A85" w:rsidP="00561A85">
            <w:pPr>
              <w:rPr>
                <w:rFonts w:ascii="Times New Roman" w:hAnsi="Times New Roman" w:cs="Times New Roman"/>
                <w:color w:val="000000"/>
              </w:rPr>
            </w:pPr>
            <w:r w:rsidRPr="00AA108E">
              <w:rPr>
                <w:rFonts w:ascii="Times New Roman" w:hAnsi="Times New Roman" w:cs="Times New Roman"/>
                <w:color w:val="000000"/>
              </w:rPr>
              <w:t>Farming, Fishing, and Forestry</w:t>
            </w:r>
          </w:p>
        </w:tc>
        <w:tc>
          <w:tcPr>
            <w:tcW w:w="1544" w:type="dxa"/>
            <w:tcBorders>
              <w:top w:val="nil"/>
            </w:tcBorders>
            <w:shd w:val="clear" w:color="auto" w:fill="auto"/>
            <w:noWrap/>
            <w:hideMark/>
          </w:tcPr>
          <w:p w14:paraId="6890C8DD"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w:t>
            </w:r>
          </w:p>
        </w:tc>
        <w:tc>
          <w:tcPr>
            <w:tcW w:w="893" w:type="dxa"/>
            <w:tcBorders>
              <w:top w:val="nil"/>
            </w:tcBorders>
            <w:shd w:val="clear" w:color="auto" w:fill="auto"/>
            <w:noWrap/>
            <w:hideMark/>
          </w:tcPr>
          <w:p w14:paraId="1576BE66"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w:t>
            </w:r>
          </w:p>
        </w:tc>
        <w:tc>
          <w:tcPr>
            <w:tcW w:w="849" w:type="dxa"/>
            <w:tcBorders>
              <w:top w:val="nil"/>
            </w:tcBorders>
            <w:shd w:val="clear" w:color="auto" w:fill="auto"/>
            <w:noWrap/>
            <w:hideMark/>
          </w:tcPr>
          <w:p w14:paraId="0773090E"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w:t>
            </w:r>
          </w:p>
        </w:tc>
        <w:tc>
          <w:tcPr>
            <w:tcW w:w="849" w:type="dxa"/>
            <w:tcBorders>
              <w:top w:val="nil"/>
            </w:tcBorders>
            <w:shd w:val="clear" w:color="auto" w:fill="auto"/>
            <w:noWrap/>
            <w:hideMark/>
          </w:tcPr>
          <w:p w14:paraId="632F01D3"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w:t>
            </w:r>
          </w:p>
        </w:tc>
        <w:tc>
          <w:tcPr>
            <w:tcW w:w="895" w:type="dxa"/>
            <w:tcBorders>
              <w:top w:val="nil"/>
            </w:tcBorders>
            <w:shd w:val="clear" w:color="auto" w:fill="auto"/>
            <w:noWrap/>
            <w:hideMark/>
          </w:tcPr>
          <w:p w14:paraId="1D65EE25"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w:t>
            </w:r>
          </w:p>
        </w:tc>
        <w:tc>
          <w:tcPr>
            <w:tcW w:w="895" w:type="dxa"/>
            <w:tcBorders>
              <w:top w:val="nil"/>
            </w:tcBorders>
            <w:shd w:val="clear" w:color="auto" w:fill="auto"/>
            <w:noWrap/>
            <w:hideMark/>
          </w:tcPr>
          <w:p w14:paraId="6A6DC9E5"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w:t>
            </w:r>
          </w:p>
        </w:tc>
        <w:tc>
          <w:tcPr>
            <w:tcW w:w="964" w:type="dxa"/>
            <w:tcBorders>
              <w:top w:val="nil"/>
            </w:tcBorders>
            <w:shd w:val="clear" w:color="auto" w:fill="auto"/>
            <w:noWrap/>
            <w:hideMark/>
          </w:tcPr>
          <w:p w14:paraId="10E748D6" w14:textId="77777777" w:rsidR="00561A85" w:rsidRPr="00AA108E" w:rsidRDefault="00561A85" w:rsidP="00561A85">
            <w:pPr>
              <w:jc w:val="center"/>
              <w:rPr>
                <w:rFonts w:ascii="Times New Roman" w:hAnsi="Times New Roman" w:cs="Times New Roman"/>
                <w:color w:val="000000"/>
              </w:rPr>
            </w:pPr>
            <w:r w:rsidRPr="00AA108E">
              <w:rPr>
                <w:rFonts w:ascii="Times New Roman" w:hAnsi="Times New Roman" w:cs="Times New Roman"/>
                <w:color w:val="000000"/>
              </w:rPr>
              <w:t>-</w:t>
            </w:r>
          </w:p>
        </w:tc>
      </w:tr>
      <w:tr w:rsidR="00561A85" w:rsidRPr="00AA108E" w14:paraId="1D16D14E" w14:textId="77777777" w:rsidTr="00AD2E8F">
        <w:trPr>
          <w:cantSplit/>
          <w:trHeight w:hRule="exact" w:val="284"/>
        </w:trPr>
        <w:tc>
          <w:tcPr>
            <w:tcW w:w="2918" w:type="dxa"/>
            <w:tcBorders>
              <w:bottom w:val="single" w:sz="4" w:space="0" w:color="auto"/>
            </w:tcBorders>
            <w:shd w:val="clear" w:color="auto" w:fill="auto"/>
            <w:noWrap/>
            <w:vAlign w:val="bottom"/>
            <w:hideMark/>
          </w:tcPr>
          <w:p w14:paraId="5CD214F7" w14:textId="77777777" w:rsidR="00561A85" w:rsidRPr="00AA108E" w:rsidRDefault="00561A85" w:rsidP="00561A85">
            <w:pPr>
              <w:rPr>
                <w:rFonts w:ascii="Times New Roman" w:hAnsi="Times New Roman" w:cs="Times New Roman"/>
                <w:b/>
                <w:color w:val="000000"/>
              </w:rPr>
            </w:pPr>
            <w:r w:rsidRPr="00AA108E">
              <w:rPr>
                <w:rFonts w:ascii="Times New Roman" w:hAnsi="Times New Roman" w:cs="Times New Roman"/>
                <w:b/>
                <w:color w:val="000000"/>
              </w:rPr>
              <w:t>Total</w:t>
            </w:r>
          </w:p>
        </w:tc>
        <w:tc>
          <w:tcPr>
            <w:tcW w:w="1544" w:type="dxa"/>
            <w:tcBorders>
              <w:bottom w:val="single" w:sz="4" w:space="0" w:color="auto"/>
            </w:tcBorders>
            <w:shd w:val="clear" w:color="auto" w:fill="auto"/>
            <w:noWrap/>
            <w:hideMark/>
          </w:tcPr>
          <w:p w14:paraId="027B1EE0" w14:textId="77777777" w:rsidR="00561A85" w:rsidRPr="00AA108E" w:rsidRDefault="00561A85" w:rsidP="00561A85">
            <w:pPr>
              <w:jc w:val="center"/>
              <w:rPr>
                <w:rFonts w:ascii="Times New Roman" w:hAnsi="Times New Roman" w:cs="Times New Roman"/>
                <w:b/>
                <w:color w:val="000000"/>
              </w:rPr>
            </w:pPr>
            <w:r w:rsidRPr="00AA108E">
              <w:rPr>
                <w:rFonts w:ascii="Times New Roman" w:hAnsi="Times New Roman" w:cs="Times New Roman"/>
                <w:b/>
                <w:color w:val="000000"/>
              </w:rPr>
              <w:t>16,492</w:t>
            </w:r>
          </w:p>
        </w:tc>
        <w:tc>
          <w:tcPr>
            <w:tcW w:w="893" w:type="dxa"/>
            <w:tcBorders>
              <w:bottom w:val="single" w:sz="4" w:space="0" w:color="auto"/>
            </w:tcBorders>
            <w:shd w:val="clear" w:color="auto" w:fill="auto"/>
            <w:noWrap/>
            <w:hideMark/>
          </w:tcPr>
          <w:p w14:paraId="485C345E" w14:textId="77777777" w:rsidR="00561A85" w:rsidRPr="00AA108E" w:rsidRDefault="00561A85" w:rsidP="00561A85">
            <w:pPr>
              <w:jc w:val="center"/>
              <w:rPr>
                <w:rFonts w:ascii="Times New Roman" w:hAnsi="Times New Roman" w:cs="Times New Roman"/>
                <w:b/>
                <w:color w:val="000000"/>
              </w:rPr>
            </w:pPr>
            <w:r w:rsidRPr="00AA108E">
              <w:rPr>
                <w:rFonts w:ascii="Times New Roman" w:hAnsi="Times New Roman" w:cs="Times New Roman"/>
                <w:b/>
                <w:color w:val="000000"/>
              </w:rPr>
              <w:t>61,518</w:t>
            </w:r>
          </w:p>
        </w:tc>
        <w:tc>
          <w:tcPr>
            <w:tcW w:w="849" w:type="dxa"/>
            <w:tcBorders>
              <w:bottom w:val="single" w:sz="4" w:space="0" w:color="auto"/>
            </w:tcBorders>
            <w:shd w:val="clear" w:color="auto" w:fill="auto"/>
            <w:noWrap/>
            <w:hideMark/>
          </w:tcPr>
          <w:p w14:paraId="1451CE73" w14:textId="77777777" w:rsidR="00561A85" w:rsidRPr="00AA108E" w:rsidRDefault="00561A85" w:rsidP="00561A85">
            <w:pPr>
              <w:jc w:val="center"/>
              <w:rPr>
                <w:rFonts w:ascii="Times New Roman" w:hAnsi="Times New Roman" w:cs="Times New Roman"/>
                <w:b/>
                <w:color w:val="000000"/>
              </w:rPr>
            </w:pPr>
            <w:r w:rsidRPr="00AA108E">
              <w:rPr>
                <w:rFonts w:ascii="Times New Roman" w:hAnsi="Times New Roman" w:cs="Times New Roman"/>
                <w:b/>
                <w:color w:val="000000"/>
              </w:rPr>
              <w:t>15,686</w:t>
            </w:r>
          </w:p>
        </w:tc>
        <w:tc>
          <w:tcPr>
            <w:tcW w:w="849" w:type="dxa"/>
            <w:tcBorders>
              <w:bottom w:val="single" w:sz="4" w:space="0" w:color="auto"/>
            </w:tcBorders>
            <w:shd w:val="clear" w:color="auto" w:fill="auto"/>
            <w:noWrap/>
            <w:hideMark/>
          </w:tcPr>
          <w:p w14:paraId="2169C328" w14:textId="77777777" w:rsidR="00561A85" w:rsidRPr="00AA108E" w:rsidRDefault="00561A85" w:rsidP="00561A85">
            <w:pPr>
              <w:jc w:val="center"/>
              <w:rPr>
                <w:rFonts w:ascii="Times New Roman" w:hAnsi="Times New Roman" w:cs="Times New Roman"/>
                <w:b/>
                <w:color w:val="000000"/>
              </w:rPr>
            </w:pPr>
            <w:r w:rsidRPr="00AA108E">
              <w:rPr>
                <w:rFonts w:ascii="Times New Roman" w:hAnsi="Times New Roman" w:cs="Times New Roman"/>
                <w:b/>
                <w:color w:val="000000"/>
              </w:rPr>
              <w:t>14,049</w:t>
            </w:r>
          </w:p>
        </w:tc>
        <w:tc>
          <w:tcPr>
            <w:tcW w:w="895" w:type="dxa"/>
            <w:tcBorders>
              <w:bottom w:val="single" w:sz="4" w:space="0" w:color="auto"/>
            </w:tcBorders>
            <w:shd w:val="clear" w:color="auto" w:fill="auto"/>
            <w:noWrap/>
            <w:hideMark/>
          </w:tcPr>
          <w:p w14:paraId="7170A3E7" w14:textId="77777777" w:rsidR="00561A85" w:rsidRPr="00AA108E" w:rsidRDefault="00561A85" w:rsidP="00561A85">
            <w:pPr>
              <w:jc w:val="center"/>
              <w:rPr>
                <w:rFonts w:ascii="Times New Roman" w:hAnsi="Times New Roman" w:cs="Times New Roman"/>
                <w:b/>
                <w:color w:val="000000"/>
              </w:rPr>
            </w:pPr>
            <w:r w:rsidRPr="00AA108E">
              <w:rPr>
                <w:rFonts w:ascii="Times New Roman" w:hAnsi="Times New Roman" w:cs="Times New Roman"/>
                <w:b/>
                <w:color w:val="000000"/>
              </w:rPr>
              <w:t>19,554</w:t>
            </w:r>
          </w:p>
        </w:tc>
        <w:tc>
          <w:tcPr>
            <w:tcW w:w="895" w:type="dxa"/>
            <w:tcBorders>
              <w:bottom w:val="single" w:sz="4" w:space="0" w:color="auto"/>
            </w:tcBorders>
            <w:shd w:val="clear" w:color="auto" w:fill="auto"/>
            <w:noWrap/>
            <w:hideMark/>
          </w:tcPr>
          <w:p w14:paraId="094CD4F9" w14:textId="77777777" w:rsidR="00561A85" w:rsidRPr="00AA108E" w:rsidRDefault="00561A85" w:rsidP="00561A85">
            <w:pPr>
              <w:jc w:val="center"/>
              <w:rPr>
                <w:rFonts w:ascii="Times New Roman" w:hAnsi="Times New Roman" w:cs="Times New Roman"/>
                <w:b/>
                <w:color w:val="000000"/>
              </w:rPr>
            </w:pPr>
            <w:r w:rsidRPr="00AA108E">
              <w:rPr>
                <w:rFonts w:ascii="Times New Roman" w:hAnsi="Times New Roman" w:cs="Times New Roman"/>
                <w:b/>
                <w:color w:val="000000"/>
              </w:rPr>
              <w:t>40,120</w:t>
            </w:r>
          </w:p>
        </w:tc>
        <w:tc>
          <w:tcPr>
            <w:tcW w:w="964" w:type="dxa"/>
            <w:tcBorders>
              <w:bottom w:val="single" w:sz="4" w:space="0" w:color="auto"/>
            </w:tcBorders>
            <w:shd w:val="clear" w:color="auto" w:fill="auto"/>
            <w:noWrap/>
            <w:hideMark/>
          </w:tcPr>
          <w:p w14:paraId="63931844" w14:textId="77777777" w:rsidR="00561A85" w:rsidRPr="00AA108E" w:rsidRDefault="00561A85" w:rsidP="00561A85">
            <w:pPr>
              <w:jc w:val="center"/>
              <w:rPr>
                <w:rFonts w:ascii="Times New Roman" w:hAnsi="Times New Roman" w:cs="Times New Roman"/>
                <w:b/>
                <w:color w:val="000000"/>
              </w:rPr>
            </w:pPr>
            <w:r w:rsidRPr="00AA108E">
              <w:rPr>
                <w:rFonts w:ascii="Times New Roman" w:hAnsi="Times New Roman" w:cs="Times New Roman"/>
                <w:b/>
                <w:color w:val="000000"/>
              </w:rPr>
              <w:t>167,419</w:t>
            </w:r>
          </w:p>
        </w:tc>
      </w:tr>
    </w:tbl>
    <w:p w14:paraId="33386779" w14:textId="77777777" w:rsidR="00561A85" w:rsidRDefault="00561A85">
      <w:pPr>
        <w:rPr>
          <w:rFonts w:ascii="Times New Roman" w:hAnsi="Times New Roman" w:cs="Times New Roman"/>
          <w:sz w:val="24"/>
          <w:szCs w:val="24"/>
        </w:rPr>
      </w:pPr>
    </w:p>
    <w:p w14:paraId="40D4CADF" w14:textId="77777777" w:rsidR="00561A85" w:rsidRDefault="00561A85">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5"/>
        <w:gridCol w:w="2112"/>
        <w:gridCol w:w="1513"/>
      </w:tblGrid>
      <w:tr w:rsidR="008D5EAA" w:rsidRPr="00AA108E" w14:paraId="161D3520" w14:textId="77777777" w:rsidTr="009178B5">
        <w:tc>
          <w:tcPr>
            <w:tcW w:w="5000" w:type="pct"/>
            <w:gridSpan w:val="3"/>
            <w:tcBorders>
              <w:bottom w:val="single" w:sz="8" w:space="0" w:color="auto"/>
            </w:tcBorders>
          </w:tcPr>
          <w:p w14:paraId="5F81EAE5" w14:textId="442C32A8" w:rsidR="008D5EAA" w:rsidRPr="00AA108E" w:rsidRDefault="008D5EAA" w:rsidP="00B52A83">
            <w:pPr>
              <w:pStyle w:val="NoSpacing"/>
              <w:rPr>
                <w:rFonts w:ascii="Times New Roman" w:hAnsi="Times New Roman" w:cs="Times New Roman"/>
                <w:b/>
              </w:rPr>
            </w:pPr>
            <w:r w:rsidRPr="00AA108E">
              <w:rPr>
                <w:rFonts w:ascii="Times New Roman" w:hAnsi="Times New Roman" w:cs="Times New Roman"/>
                <w:b/>
              </w:rPr>
              <w:lastRenderedPageBreak/>
              <w:t>Table 2. Estimated Impact of the DC $15 MWP on Wages and Salaries in 2021</w:t>
            </w:r>
            <w:r w:rsidR="00B52A83" w:rsidRPr="00AA108E">
              <w:rPr>
                <w:rFonts w:ascii="Times New Roman" w:hAnsi="Times New Roman" w:cs="Times New Roman"/>
                <w:b/>
              </w:rPr>
              <w:t xml:space="preserve"> </w:t>
            </w:r>
            <w:r w:rsidRPr="00AA108E">
              <w:rPr>
                <w:rFonts w:ascii="Times New Roman" w:hAnsi="Times New Roman" w:cs="Times New Roman"/>
                <w:b/>
              </w:rPr>
              <w:t>($ in millions)</w:t>
            </w:r>
          </w:p>
        </w:tc>
      </w:tr>
      <w:tr w:rsidR="00561A85" w:rsidRPr="00AA108E" w14:paraId="4124AD86" w14:textId="77777777" w:rsidTr="00843AB5">
        <w:trPr>
          <w:trHeight w:val="288"/>
        </w:trPr>
        <w:tc>
          <w:tcPr>
            <w:tcW w:w="3064" w:type="pct"/>
            <w:tcBorders>
              <w:top w:val="single" w:sz="8" w:space="0" w:color="auto"/>
              <w:bottom w:val="single" w:sz="4" w:space="0" w:color="auto"/>
            </w:tcBorders>
          </w:tcPr>
          <w:p w14:paraId="7B94630D" w14:textId="77777777" w:rsidR="00561A85" w:rsidRPr="00AA108E" w:rsidRDefault="00561A85" w:rsidP="00561A85">
            <w:pPr>
              <w:pStyle w:val="NoSpacing"/>
              <w:rPr>
                <w:rFonts w:ascii="Times New Roman" w:hAnsi="Times New Roman" w:cs="Times New Roman"/>
              </w:rPr>
            </w:pPr>
          </w:p>
        </w:tc>
        <w:tc>
          <w:tcPr>
            <w:tcW w:w="1128" w:type="pct"/>
            <w:tcBorders>
              <w:top w:val="single" w:sz="8" w:space="0" w:color="auto"/>
              <w:bottom w:val="single" w:sz="4" w:space="0" w:color="auto"/>
            </w:tcBorders>
            <w:vAlign w:val="center"/>
          </w:tcPr>
          <w:p w14:paraId="06A8D7B9" w14:textId="77777777" w:rsidR="00561A85" w:rsidRPr="00AA108E" w:rsidRDefault="00561A85" w:rsidP="00843AB5">
            <w:pPr>
              <w:pStyle w:val="NoSpacing"/>
              <w:rPr>
                <w:rFonts w:ascii="Times New Roman" w:hAnsi="Times New Roman" w:cs="Times New Roman"/>
              </w:rPr>
            </w:pPr>
            <w:r w:rsidRPr="00AA108E">
              <w:rPr>
                <w:rFonts w:ascii="Times New Roman" w:hAnsi="Times New Roman" w:cs="Times New Roman"/>
              </w:rPr>
              <w:t>All DC Employees</w:t>
            </w:r>
          </w:p>
        </w:tc>
        <w:tc>
          <w:tcPr>
            <w:tcW w:w="808" w:type="pct"/>
            <w:tcBorders>
              <w:top w:val="single" w:sz="8" w:space="0" w:color="auto"/>
              <w:bottom w:val="single" w:sz="4" w:space="0" w:color="auto"/>
            </w:tcBorders>
            <w:vAlign w:val="center"/>
          </w:tcPr>
          <w:p w14:paraId="16687A33" w14:textId="77777777" w:rsidR="00561A85" w:rsidRPr="00AA108E" w:rsidRDefault="00561A85" w:rsidP="00843AB5">
            <w:pPr>
              <w:pStyle w:val="NoSpacing"/>
              <w:rPr>
                <w:rFonts w:ascii="Times New Roman" w:hAnsi="Times New Roman" w:cs="Times New Roman"/>
              </w:rPr>
            </w:pPr>
            <w:r w:rsidRPr="00AA108E">
              <w:rPr>
                <w:rFonts w:ascii="Times New Roman" w:hAnsi="Times New Roman" w:cs="Times New Roman"/>
              </w:rPr>
              <w:t>DC Residents</w:t>
            </w:r>
          </w:p>
        </w:tc>
      </w:tr>
      <w:tr w:rsidR="00561A85" w:rsidRPr="00AA108E" w14:paraId="1FD10ADC" w14:textId="77777777" w:rsidTr="009178B5">
        <w:tc>
          <w:tcPr>
            <w:tcW w:w="3064" w:type="pct"/>
            <w:tcBorders>
              <w:top w:val="single" w:sz="4" w:space="0" w:color="auto"/>
            </w:tcBorders>
          </w:tcPr>
          <w:p w14:paraId="3721D3F5" w14:textId="77777777" w:rsidR="00561A85" w:rsidRPr="00AA108E" w:rsidRDefault="00561A85" w:rsidP="00561A85">
            <w:pPr>
              <w:pStyle w:val="NoSpacing"/>
              <w:rPr>
                <w:rFonts w:ascii="Times New Roman" w:hAnsi="Times New Roman" w:cs="Times New Roman"/>
              </w:rPr>
            </w:pPr>
            <w:r w:rsidRPr="00AA108E">
              <w:rPr>
                <w:rFonts w:ascii="Times New Roman" w:hAnsi="Times New Roman" w:cs="Times New Roman"/>
              </w:rPr>
              <w:t>Total Private Wages &amp; Salaries ($11.50 MWP- baseline)</w:t>
            </w:r>
          </w:p>
        </w:tc>
        <w:tc>
          <w:tcPr>
            <w:tcW w:w="1128" w:type="pct"/>
            <w:tcBorders>
              <w:top w:val="single" w:sz="4" w:space="0" w:color="auto"/>
            </w:tcBorders>
          </w:tcPr>
          <w:p w14:paraId="27CD3586" w14:textId="77777777" w:rsidR="00561A85" w:rsidRPr="00AA108E" w:rsidRDefault="00561A85" w:rsidP="00561A85">
            <w:pPr>
              <w:pStyle w:val="NoSpacing"/>
              <w:jc w:val="right"/>
              <w:rPr>
                <w:rFonts w:ascii="Times New Roman" w:hAnsi="Times New Roman" w:cs="Times New Roman"/>
              </w:rPr>
            </w:pPr>
            <w:r w:rsidRPr="00AA108E">
              <w:rPr>
                <w:rFonts w:ascii="Times New Roman" w:hAnsi="Times New Roman" w:cs="Times New Roman"/>
              </w:rPr>
              <w:t>$53,056.0</w:t>
            </w:r>
          </w:p>
        </w:tc>
        <w:tc>
          <w:tcPr>
            <w:tcW w:w="808" w:type="pct"/>
            <w:tcBorders>
              <w:top w:val="single" w:sz="4" w:space="0" w:color="auto"/>
            </w:tcBorders>
          </w:tcPr>
          <w:p w14:paraId="068B0F27" w14:textId="77777777" w:rsidR="00561A85" w:rsidRPr="00AA108E" w:rsidRDefault="00561A85" w:rsidP="00561A85">
            <w:pPr>
              <w:pStyle w:val="NoSpacing"/>
              <w:jc w:val="right"/>
              <w:rPr>
                <w:rFonts w:ascii="Times New Roman" w:hAnsi="Times New Roman" w:cs="Times New Roman"/>
              </w:rPr>
            </w:pPr>
            <w:r w:rsidRPr="00AA108E">
              <w:rPr>
                <w:rFonts w:ascii="Times New Roman" w:hAnsi="Times New Roman" w:cs="Times New Roman"/>
              </w:rPr>
              <w:t>$21,222.0</w:t>
            </w:r>
          </w:p>
        </w:tc>
      </w:tr>
      <w:tr w:rsidR="00561A85" w:rsidRPr="00AA108E" w14:paraId="07F1B78E" w14:textId="77777777" w:rsidTr="00AA108E">
        <w:trPr>
          <w:trHeight w:val="252"/>
        </w:trPr>
        <w:tc>
          <w:tcPr>
            <w:tcW w:w="3064" w:type="pct"/>
          </w:tcPr>
          <w:p w14:paraId="319A5C89" w14:textId="77777777" w:rsidR="00561A85" w:rsidRPr="00AA108E" w:rsidRDefault="00561A85" w:rsidP="00561A85">
            <w:pPr>
              <w:pStyle w:val="NoSpacing"/>
              <w:rPr>
                <w:rFonts w:ascii="Times New Roman" w:hAnsi="Times New Roman" w:cs="Times New Roman"/>
              </w:rPr>
            </w:pPr>
            <w:r w:rsidRPr="00AA108E">
              <w:rPr>
                <w:rFonts w:ascii="Times New Roman" w:hAnsi="Times New Roman" w:cs="Times New Roman"/>
              </w:rPr>
              <w:t>Total Private Wages &amp; Salaries ($15 MWP - policy simulation)</w:t>
            </w:r>
          </w:p>
        </w:tc>
        <w:tc>
          <w:tcPr>
            <w:tcW w:w="1128" w:type="pct"/>
          </w:tcPr>
          <w:p w14:paraId="09DCB99B" w14:textId="77777777" w:rsidR="00561A85" w:rsidRPr="00AA108E" w:rsidRDefault="00561A85" w:rsidP="00561A85">
            <w:pPr>
              <w:pStyle w:val="NoSpacing"/>
              <w:jc w:val="right"/>
              <w:rPr>
                <w:rFonts w:ascii="Times New Roman" w:hAnsi="Times New Roman" w:cs="Times New Roman"/>
              </w:rPr>
            </w:pPr>
            <w:r w:rsidRPr="00AA108E">
              <w:rPr>
                <w:rFonts w:ascii="Times New Roman" w:hAnsi="Times New Roman" w:cs="Times New Roman"/>
              </w:rPr>
              <w:t>$53,549.0</w:t>
            </w:r>
          </w:p>
        </w:tc>
        <w:tc>
          <w:tcPr>
            <w:tcW w:w="808" w:type="pct"/>
          </w:tcPr>
          <w:p w14:paraId="73C92DDF" w14:textId="77777777" w:rsidR="00561A85" w:rsidRPr="00AA108E" w:rsidRDefault="00561A85" w:rsidP="00561A85">
            <w:pPr>
              <w:pStyle w:val="NoSpacing"/>
              <w:jc w:val="right"/>
              <w:rPr>
                <w:rFonts w:ascii="Times New Roman" w:hAnsi="Times New Roman" w:cs="Times New Roman"/>
              </w:rPr>
            </w:pPr>
            <w:r w:rsidRPr="00AA108E">
              <w:rPr>
                <w:rFonts w:ascii="Times New Roman" w:hAnsi="Times New Roman" w:cs="Times New Roman"/>
              </w:rPr>
              <w:t>$21,419.0</w:t>
            </w:r>
          </w:p>
        </w:tc>
      </w:tr>
      <w:tr w:rsidR="00561A85" w:rsidRPr="00AA108E" w14:paraId="537213A5" w14:textId="77777777" w:rsidTr="009178B5">
        <w:tc>
          <w:tcPr>
            <w:tcW w:w="3064" w:type="pct"/>
          </w:tcPr>
          <w:p w14:paraId="5F1B79A8" w14:textId="77777777" w:rsidR="00561A85" w:rsidRPr="00AA108E" w:rsidRDefault="00561A85" w:rsidP="00561A85">
            <w:pPr>
              <w:pStyle w:val="NoSpacing"/>
              <w:rPr>
                <w:rFonts w:ascii="Times New Roman" w:hAnsi="Times New Roman" w:cs="Times New Roman"/>
              </w:rPr>
            </w:pPr>
            <w:r w:rsidRPr="00AA108E">
              <w:rPr>
                <w:rFonts w:ascii="Times New Roman" w:hAnsi="Times New Roman" w:cs="Times New Roman"/>
              </w:rPr>
              <w:t>Estimated Change in Wages &amp; Salaries (includes spillover)</w:t>
            </w:r>
          </w:p>
        </w:tc>
        <w:tc>
          <w:tcPr>
            <w:tcW w:w="1128" w:type="pct"/>
          </w:tcPr>
          <w:p w14:paraId="3C170F47" w14:textId="77777777" w:rsidR="00561A85" w:rsidRPr="00AA108E" w:rsidRDefault="00561A85" w:rsidP="00561A85">
            <w:pPr>
              <w:pStyle w:val="NoSpacing"/>
              <w:jc w:val="right"/>
              <w:rPr>
                <w:rFonts w:ascii="Times New Roman" w:hAnsi="Times New Roman" w:cs="Times New Roman"/>
              </w:rPr>
            </w:pPr>
            <w:r w:rsidRPr="00AA108E">
              <w:rPr>
                <w:rFonts w:ascii="Times New Roman" w:hAnsi="Times New Roman" w:cs="Times New Roman"/>
              </w:rPr>
              <w:t>$493.2</w:t>
            </w:r>
          </w:p>
        </w:tc>
        <w:tc>
          <w:tcPr>
            <w:tcW w:w="808" w:type="pct"/>
          </w:tcPr>
          <w:p w14:paraId="5BB1EA30" w14:textId="77777777" w:rsidR="00561A85" w:rsidRPr="00AA108E" w:rsidRDefault="00561A85" w:rsidP="00561A85">
            <w:pPr>
              <w:pStyle w:val="NoSpacing"/>
              <w:jc w:val="right"/>
              <w:rPr>
                <w:rFonts w:ascii="Times New Roman" w:hAnsi="Times New Roman" w:cs="Times New Roman"/>
              </w:rPr>
            </w:pPr>
            <w:r w:rsidRPr="00AA108E">
              <w:rPr>
                <w:rFonts w:ascii="Times New Roman" w:hAnsi="Times New Roman" w:cs="Times New Roman"/>
              </w:rPr>
              <w:t>$197.3</w:t>
            </w:r>
          </w:p>
        </w:tc>
      </w:tr>
      <w:tr w:rsidR="00561A85" w:rsidRPr="00AA108E" w14:paraId="4B90391A" w14:textId="77777777" w:rsidTr="009178B5">
        <w:tc>
          <w:tcPr>
            <w:tcW w:w="3064" w:type="pct"/>
          </w:tcPr>
          <w:p w14:paraId="5A688379" w14:textId="77777777" w:rsidR="00561A85" w:rsidRPr="00AA108E" w:rsidRDefault="00561A85" w:rsidP="00561A85">
            <w:pPr>
              <w:pStyle w:val="NoSpacing"/>
              <w:rPr>
                <w:rFonts w:ascii="Times New Roman" w:hAnsi="Times New Roman" w:cs="Times New Roman"/>
              </w:rPr>
            </w:pPr>
          </w:p>
        </w:tc>
        <w:tc>
          <w:tcPr>
            <w:tcW w:w="1128" w:type="pct"/>
          </w:tcPr>
          <w:p w14:paraId="76888D53" w14:textId="77777777" w:rsidR="00561A85" w:rsidRPr="00AA108E" w:rsidRDefault="00561A85" w:rsidP="00561A85">
            <w:pPr>
              <w:pStyle w:val="NoSpacing"/>
              <w:jc w:val="right"/>
              <w:rPr>
                <w:rFonts w:ascii="Times New Roman" w:hAnsi="Times New Roman" w:cs="Times New Roman"/>
              </w:rPr>
            </w:pPr>
          </w:p>
        </w:tc>
        <w:tc>
          <w:tcPr>
            <w:tcW w:w="808" w:type="pct"/>
          </w:tcPr>
          <w:p w14:paraId="6FA29738" w14:textId="77777777" w:rsidR="00561A85" w:rsidRPr="00AA108E" w:rsidRDefault="00561A85" w:rsidP="00561A85">
            <w:pPr>
              <w:pStyle w:val="NoSpacing"/>
              <w:jc w:val="right"/>
              <w:rPr>
                <w:rFonts w:ascii="Times New Roman" w:hAnsi="Times New Roman" w:cs="Times New Roman"/>
              </w:rPr>
            </w:pPr>
          </w:p>
        </w:tc>
      </w:tr>
      <w:tr w:rsidR="00561A85" w:rsidRPr="00AA108E" w14:paraId="7B6D7A76" w14:textId="77777777" w:rsidTr="009178B5">
        <w:tc>
          <w:tcPr>
            <w:tcW w:w="3064" w:type="pct"/>
            <w:tcBorders>
              <w:bottom w:val="single" w:sz="4" w:space="0" w:color="auto"/>
            </w:tcBorders>
          </w:tcPr>
          <w:p w14:paraId="76EB7ABA" w14:textId="77777777" w:rsidR="00561A85" w:rsidRPr="00AA108E" w:rsidRDefault="00561A85" w:rsidP="00561A85">
            <w:pPr>
              <w:pStyle w:val="NoSpacing"/>
              <w:rPr>
                <w:rFonts w:ascii="Times New Roman" w:hAnsi="Times New Roman" w:cs="Times New Roman"/>
              </w:rPr>
            </w:pPr>
            <w:r w:rsidRPr="00AA108E">
              <w:rPr>
                <w:rFonts w:ascii="Times New Roman" w:hAnsi="Times New Roman" w:cs="Times New Roman"/>
              </w:rPr>
              <w:t>Change in Wages &amp; Salaries as a Percentage</w:t>
            </w:r>
          </w:p>
        </w:tc>
        <w:tc>
          <w:tcPr>
            <w:tcW w:w="1128" w:type="pct"/>
            <w:tcBorders>
              <w:bottom w:val="single" w:sz="4" w:space="0" w:color="auto"/>
            </w:tcBorders>
          </w:tcPr>
          <w:p w14:paraId="42D01B12" w14:textId="77777777" w:rsidR="00561A85" w:rsidRPr="00AA108E" w:rsidRDefault="00561A85" w:rsidP="00561A85">
            <w:pPr>
              <w:pStyle w:val="NoSpacing"/>
              <w:jc w:val="right"/>
              <w:rPr>
                <w:rFonts w:ascii="Times New Roman" w:hAnsi="Times New Roman" w:cs="Times New Roman"/>
              </w:rPr>
            </w:pPr>
            <w:r w:rsidRPr="00AA108E">
              <w:rPr>
                <w:rFonts w:ascii="Times New Roman" w:hAnsi="Times New Roman" w:cs="Times New Roman"/>
              </w:rPr>
              <w:t>0.93%</w:t>
            </w:r>
          </w:p>
        </w:tc>
        <w:tc>
          <w:tcPr>
            <w:tcW w:w="808" w:type="pct"/>
            <w:tcBorders>
              <w:bottom w:val="single" w:sz="4" w:space="0" w:color="auto"/>
            </w:tcBorders>
          </w:tcPr>
          <w:p w14:paraId="44AB51CA" w14:textId="77777777" w:rsidR="00561A85" w:rsidRPr="00AA108E" w:rsidRDefault="00561A85" w:rsidP="00561A85">
            <w:pPr>
              <w:pStyle w:val="NoSpacing"/>
              <w:jc w:val="right"/>
              <w:rPr>
                <w:rFonts w:ascii="Times New Roman" w:hAnsi="Times New Roman" w:cs="Times New Roman"/>
              </w:rPr>
            </w:pPr>
            <w:r w:rsidRPr="00AA108E">
              <w:rPr>
                <w:rFonts w:ascii="Times New Roman" w:hAnsi="Times New Roman" w:cs="Times New Roman"/>
              </w:rPr>
              <w:t>0.93%</w:t>
            </w:r>
          </w:p>
        </w:tc>
      </w:tr>
    </w:tbl>
    <w:p w14:paraId="3F2DBFAC" w14:textId="77777777" w:rsidR="00561A85" w:rsidRDefault="00561A85">
      <w:pPr>
        <w:rPr>
          <w:rFonts w:ascii="Times New Roman" w:hAnsi="Times New Roman" w:cs="Times New Roman"/>
          <w:sz w:val="24"/>
          <w:szCs w:val="24"/>
        </w:rPr>
      </w:pPr>
    </w:p>
    <w:p w14:paraId="157BFC94" w14:textId="77777777" w:rsidR="00561A85" w:rsidRDefault="00561A85">
      <w:pPr>
        <w:rPr>
          <w:rFonts w:ascii="Times New Roman" w:hAnsi="Times New Roman" w:cs="Times New Roman"/>
          <w:sz w:val="24"/>
          <w:szCs w:val="24"/>
        </w:rPr>
      </w:pPr>
      <w:r>
        <w:rPr>
          <w:rFonts w:ascii="Times New Roman" w:hAnsi="Times New Roman" w:cs="Times New Roman"/>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854"/>
        <w:gridCol w:w="2754"/>
        <w:gridCol w:w="2752"/>
      </w:tblGrid>
      <w:tr w:rsidR="008D5EAA" w:rsidRPr="00AA108E" w14:paraId="731F5252" w14:textId="77777777" w:rsidTr="001D1218">
        <w:trPr>
          <w:trHeight w:hRule="exact" w:val="288"/>
        </w:trPr>
        <w:tc>
          <w:tcPr>
            <w:tcW w:w="5000" w:type="pct"/>
            <w:gridSpan w:val="3"/>
            <w:tcBorders>
              <w:top w:val="nil"/>
              <w:left w:val="nil"/>
              <w:bottom w:val="single" w:sz="8" w:space="0" w:color="auto"/>
              <w:right w:val="nil"/>
            </w:tcBorders>
            <w:shd w:val="clear" w:color="auto" w:fill="auto"/>
            <w:tcMar>
              <w:top w:w="72" w:type="dxa"/>
              <w:left w:w="144" w:type="dxa"/>
              <w:bottom w:w="72" w:type="dxa"/>
              <w:right w:w="144" w:type="dxa"/>
            </w:tcMar>
            <w:vAlign w:val="center"/>
          </w:tcPr>
          <w:p w14:paraId="26645BB7" w14:textId="182FFC19" w:rsidR="008D5EAA" w:rsidRPr="00AA108E" w:rsidRDefault="008D5EAA" w:rsidP="005652F0">
            <w:pPr>
              <w:pStyle w:val="NoSpacing"/>
              <w:rPr>
                <w:rFonts w:ascii="Times New Roman" w:hAnsi="Times New Roman" w:cs="Times New Roman"/>
                <w:b/>
                <w:color w:val="000000" w:themeColor="dark1"/>
                <w:kern w:val="24"/>
              </w:rPr>
            </w:pPr>
            <w:r w:rsidRPr="00AA108E">
              <w:rPr>
                <w:rFonts w:ascii="Times New Roman" w:hAnsi="Times New Roman" w:cs="Times New Roman"/>
                <w:b/>
              </w:rPr>
              <w:lastRenderedPageBreak/>
              <w:t>Table 3. The Number of Jobs Held by City Residents Impacted by the DC $15 MWP in 2014</w:t>
            </w:r>
          </w:p>
        </w:tc>
      </w:tr>
      <w:tr w:rsidR="00561A85" w:rsidRPr="00AA108E" w14:paraId="54910D20" w14:textId="77777777" w:rsidTr="001D1218">
        <w:trPr>
          <w:trHeight w:hRule="exact" w:val="432"/>
        </w:trPr>
        <w:tc>
          <w:tcPr>
            <w:tcW w:w="2059" w:type="pct"/>
            <w:tcBorders>
              <w:top w:val="single" w:sz="8" w:space="0" w:color="auto"/>
              <w:left w:val="nil"/>
              <w:bottom w:val="single" w:sz="4" w:space="0" w:color="auto"/>
              <w:right w:val="nil"/>
            </w:tcBorders>
            <w:shd w:val="clear" w:color="auto" w:fill="auto"/>
            <w:tcMar>
              <w:top w:w="72" w:type="dxa"/>
              <w:left w:w="144" w:type="dxa"/>
              <w:bottom w:w="72" w:type="dxa"/>
              <w:right w:w="144" w:type="dxa"/>
            </w:tcMar>
            <w:vAlign w:val="center"/>
            <w:hideMark/>
          </w:tcPr>
          <w:p w14:paraId="33F1C3C1" w14:textId="77777777" w:rsidR="00561A85" w:rsidRPr="00AA108E" w:rsidRDefault="00561A85" w:rsidP="00561A85">
            <w:pPr>
              <w:pStyle w:val="NoSpacing"/>
              <w:rPr>
                <w:rFonts w:ascii="Times New Roman" w:hAnsi="Times New Roman" w:cs="Times New Roman"/>
              </w:rPr>
            </w:pPr>
            <w:r w:rsidRPr="00AA108E">
              <w:rPr>
                <w:rFonts w:ascii="Times New Roman" w:hAnsi="Times New Roman" w:cs="Times New Roman"/>
              </w:rPr>
              <w:t>Estimated Wage Rates</w:t>
            </w:r>
          </w:p>
        </w:tc>
        <w:tc>
          <w:tcPr>
            <w:tcW w:w="1471" w:type="pct"/>
            <w:tcBorders>
              <w:top w:val="single" w:sz="8" w:space="0" w:color="auto"/>
              <w:left w:val="nil"/>
              <w:bottom w:val="single" w:sz="4" w:space="0" w:color="auto"/>
              <w:right w:val="nil"/>
            </w:tcBorders>
            <w:shd w:val="clear" w:color="auto" w:fill="auto"/>
            <w:tcMar>
              <w:top w:w="72" w:type="dxa"/>
              <w:left w:w="144" w:type="dxa"/>
              <w:bottom w:w="72" w:type="dxa"/>
              <w:right w:w="144" w:type="dxa"/>
            </w:tcMar>
            <w:vAlign w:val="center"/>
            <w:hideMark/>
          </w:tcPr>
          <w:p w14:paraId="5CEF8114" w14:textId="77777777" w:rsidR="00561A85" w:rsidRPr="00AA108E" w:rsidRDefault="00561A85" w:rsidP="00561A85">
            <w:pPr>
              <w:pStyle w:val="NoSpacing"/>
              <w:jc w:val="center"/>
              <w:rPr>
                <w:rFonts w:ascii="Times New Roman" w:hAnsi="Times New Roman" w:cs="Times New Roman"/>
              </w:rPr>
            </w:pPr>
            <w:r w:rsidRPr="00AA108E">
              <w:rPr>
                <w:rFonts w:ascii="Times New Roman" w:hAnsi="Times New Roman" w:cs="Times New Roman"/>
                <w:color w:val="000000" w:themeColor="dark1"/>
                <w:kern w:val="24"/>
              </w:rPr>
              <w:t>All DC Jobs</w:t>
            </w:r>
          </w:p>
        </w:tc>
        <w:tc>
          <w:tcPr>
            <w:tcW w:w="1471" w:type="pct"/>
            <w:tcBorders>
              <w:top w:val="single" w:sz="8" w:space="0" w:color="auto"/>
              <w:left w:val="nil"/>
              <w:bottom w:val="single" w:sz="4" w:space="0" w:color="auto"/>
              <w:right w:val="nil"/>
            </w:tcBorders>
            <w:shd w:val="clear" w:color="auto" w:fill="auto"/>
            <w:tcMar>
              <w:top w:w="72" w:type="dxa"/>
              <w:left w:w="144" w:type="dxa"/>
              <w:bottom w:w="72" w:type="dxa"/>
              <w:right w:w="144" w:type="dxa"/>
            </w:tcMar>
            <w:vAlign w:val="center"/>
            <w:hideMark/>
          </w:tcPr>
          <w:p w14:paraId="6B37BE6B" w14:textId="77777777" w:rsidR="00561A85" w:rsidRPr="00AA108E" w:rsidRDefault="00561A85" w:rsidP="00561A85">
            <w:pPr>
              <w:pStyle w:val="NoSpacing"/>
              <w:jc w:val="center"/>
              <w:rPr>
                <w:rFonts w:ascii="Times New Roman" w:hAnsi="Times New Roman" w:cs="Times New Roman"/>
              </w:rPr>
            </w:pPr>
            <w:r w:rsidRPr="00AA108E">
              <w:rPr>
                <w:rFonts w:ascii="Times New Roman" w:hAnsi="Times New Roman" w:cs="Times New Roman"/>
                <w:color w:val="000000" w:themeColor="dark1"/>
                <w:kern w:val="24"/>
              </w:rPr>
              <w:t>DC Jobs Held by Residents</w:t>
            </w:r>
          </w:p>
        </w:tc>
      </w:tr>
      <w:tr w:rsidR="00561A85" w:rsidRPr="00AA108E" w14:paraId="12A8B2D2" w14:textId="77777777" w:rsidTr="005652F0">
        <w:trPr>
          <w:trHeight w:hRule="exact" w:val="442"/>
        </w:trPr>
        <w:tc>
          <w:tcPr>
            <w:tcW w:w="2059" w:type="pct"/>
            <w:tcBorders>
              <w:top w:val="single" w:sz="4" w:space="0" w:color="auto"/>
              <w:left w:val="nil"/>
              <w:bottom w:val="nil"/>
              <w:right w:val="nil"/>
            </w:tcBorders>
            <w:shd w:val="clear" w:color="auto" w:fill="auto"/>
            <w:tcMar>
              <w:top w:w="72" w:type="dxa"/>
              <w:left w:w="144" w:type="dxa"/>
              <w:bottom w:w="72" w:type="dxa"/>
              <w:right w:w="144" w:type="dxa"/>
            </w:tcMar>
            <w:vAlign w:val="center"/>
            <w:hideMark/>
          </w:tcPr>
          <w:p w14:paraId="5BB16103" w14:textId="77777777" w:rsidR="00561A85" w:rsidRPr="00AA108E" w:rsidRDefault="00561A85" w:rsidP="00561A85">
            <w:pPr>
              <w:pStyle w:val="NoSpacing"/>
              <w:rPr>
                <w:rFonts w:ascii="Times New Roman" w:hAnsi="Times New Roman" w:cs="Times New Roman"/>
              </w:rPr>
            </w:pPr>
            <w:r w:rsidRPr="00AA108E">
              <w:rPr>
                <w:rFonts w:ascii="Times New Roman" w:hAnsi="Times New Roman" w:cs="Times New Roman"/>
              </w:rPr>
              <w:t>Up to $8.25 minimum wage</w:t>
            </w:r>
          </w:p>
        </w:tc>
        <w:tc>
          <w:tcPr>
            <w:tcW w:w="1471" w:type="pct"/>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3EE38881" w14:textId="77777777" w:rsidR="00561A85" w:rsidRPr="00AA108E" w:rsidRDefault="00561A85" w:rsidP="00561A85">
            <w:pPr>
              <w:pStyle w:val="NoSpacing"/>
              <w:jc w:val="center"/>
              <w:rPr>
                <w:rFonts w:ascii="Times New Roman" w:hAnsi="Times New Roman" w:cs="Times New Roman"/>
              </w:rPr>
            </w:pPr>
            <w:r w:rsidRPr="00AA108E">
              <w:rPr>
                <w:rFonts w:ascii="Times New Roman" w:hAnsi="Times New Roman" w:cs="Times New Roman"/>
                <w:color w:val="000000"/>
                <w:kern w:val="24"/>
              </w:rPr>
              <w:t>16,492</w:t>
            </w:r>
          </w:p>
        </w:tc>
        <w:tc>
          <w:tcPr>
            <w:tcW w:w="1471" w:type="pct"/>
            <w:tcBorders>
              <w:top w:val="single" w:sz="4" w:space="0" w:color="auto"/>
              <w:left w:val="nil"/>
              <w:bottom w:val="nil"/>
              <w:right w:val="nil"/>
            </w:tcBorders>
            <w:shd w:val="clear" w:color="auto" w:fill="auto"/>
            <w:tcMar>
              <w:top w:w="72" w:type="dxa"/>
              <w:left w:w="144" w:type="dxa"/>
              <w:bottom w:w="72" w:type="dxa"/>
              <w:right w:w="144" w:type="dxa"/>
            </w:tcMar>
            <w:vAlign w:val="center"/>
            <w:hideMark/>
          </w:tcPr>
          <w:p w14:paraId="39F8A397" w14:textId="77777777" w:rsidR="00561A85" w:rsidRPr="00AA108E" w:rsidRDefault="00561A85" w:rsidP="00561A85">
            <w:pPr>
              <w:pStyle w:val="NoSpacing"/>
              <w:jc w:val="center"/>
              <w:rPr>
                <w:rFonts w:ascii="Times New Roman" w:hAnsi="Times New Roman" w:cs="Times New Roman"/>
              </w:rPr>
            </w:pPr>
            <w:r w:rsidRPr="00AA108E">
              <w:rPr>
                <w:rFonts w:ascii="Times New Roman" w:hAnsi="Times New Roman" w:cs="Times New Roman"/>
                <w:color w:val="000000"/>
                <w:kern w:val="24"/>
              </w:rPr>
              <w:t>6,597</w:t>
            </w:r>
          </w:p>
        </w:tc>
      </w:tr>
      <w:tr w:rsidR="00561A85" w:rsidRPr="00AA108E" w14:paraId="5E389D8D" w14:textId="77777777" w:rsidTr="001D1218">
        <w:trPr>
          <w:trHeight w:hRule="exact" w:val="288"/>
        </w:trPr>
        <w:tc>
          <w:tcPr>
            <w:tcW w:w="2059" w:type="pct"/>
            <w:tcBorders>
              <w:top w:val="nil"/>
              <w:left w:val="nil"/>
              <w:bottom w:val="nil"/>
              <w:right w:val="nil"/>
            </w:tcBorders>
            <w:shd w:val="clear" w:color="auto" w:fill="auto"/>
            <w:tcMar>
              <w:top w:w="72" w:type="dxa"/>
              <w:left w:w="144" w:type="dxa"/>
              <w:bottom w:w="72" w:type="dxa"/>
              <w:right w:w="144" w:type="dxa"/>
            </w:tcMar>
            <w:vAlign w:val="center"/>
            <w:hideMark/>
          </w:tcPr>
          <w:p w14:paraId="6CE0E965" w14:textId="77777777" w:rsidR="00561A85" w:rsidRPr="00AA108E" w:rsidRDefault="00561A85" w:rsidP="00561A85">
            <w:pPr>
              <w:pStyle w:val="NoSpacing"/>
              <w:rPr>
                <w:rFonts w:ascii="Times New Roman" w:hAnsi="Times New Roman" w:cs="Times New Roman"/>
              </w:rPr>
            </w:pPr>
            <w:r w:rsidRPr="00AA108E">
              <w:rPr>
                <w:rFonts w:ascii="Times New Roman" w:hAnsi="Times New Roman" w:cs="Times New Roman"/>
                <w:color w:val="000000" w:themeColor="dark1"/>
                <w:kern w:val="24"/>
              </w:rPr>
              <w:t>$8.26-$11.50</w:t>
            </w:r>
          </w:p>
        </w:tc>
        <w:tc>
          <w:tcPr>
            <w:tcW w:w="1471" w:type="pct"/>
            <w:tcBorders>
              <w:top w:val="nil"/>
              <w:left w:val="nil"/>
              <w:bottom w:val="nil"/>
              <w:right w:val="nil"/>
            </w:tcBorders>
            <w:shd w:val="clear" w:color="auto" w:fill="auto"/>
            <w:tcMar>
              <w:top w:w="15" w:type="dxa"/>
              <w:left w:w="15" w:type="dxa"/>
              <w:bottom w:w="0" w:type="dxa"/>
              <w:right w:w="15" w:type="dxa"/>
            </w:tcMar>
            <w:vAlign w:val="center"/>
            <w:hideMark/>
          </w:tcPr>
          <w:p w14:paraId="0B66AFFF" w14:textId="77777777" w:rsidR="00561A85" w:rsidRPr="00AA108E" w:rsidRDefault="00561A85" w:rsidP="00561A85">
            <w:pPr>
              <w:pStyle w:val="NoSpacing"/>
              <w:jc w:val="center"/>
              <w:rPr>
                <w:rFonts w:ascii="Times New Roman" w:hAnsi="Times New Roman" w:cs="Times New Roman"/>
              </w:rPr>
            </w:pPr>
            <w:r w:rsidRPr="00AA108E">
              <w:rPr>
                <w:rFonts w:ascii="Times New Roman" w:hAnsi="Times New Roman" w:cs="Times New Roman"/>
                <w:color w:val="000000"/>
                <w:kern w:val="24"/>
              </w:rPr>
              <w:t>61,518</w:t>
            </w:r>
          </w:p>
        </w:tc>
        <w:tc>
          <w:tcPr>
            <w:tcW w:w="1471" w:type="pct"/>
            <w:tcBorders>
              <w:top w:val="nil"/>
              <w:left w:val="nil"/>
              <w:bottom w:val="nil"/>
              <w:right w:val="nil"/>
            </w:tcBorders>
            <w:shd w:val="clear" w:color="auto" w:fill="auto"/>
            <w:tcMar>
              <w:top w:w="72" w:type="dxa"/>
              <w:left w:w="144" w:type="dxa"/>
              <w:bottom w:w="72" w:type="dxa"/>
              <w:right w:w="144" w:type="dxa"/>
            </w:tcMar>
            <w:vAlign w:val="center"/>
            <w:hideMark/>
          </w:tcPr>
          <w:p w14:paraId="7D7A771D" w14:textId="77777777" w:rsidR="00561A85" w:rsidRPr="00AA108E" w:rsidRDefault="00561A85" w:rsidP="00561A85">
            <w:pPr>
              <w:pStyle w:val="NoSpacing"/>
              <w:jc w:val="center"/>
              <w:rPr>
                <w:rFonts w:ascii="Times New Roman" w:hAnsi="Times New Roman" w:cs="Times New Roman"/>
              </w:rPr>
            </w:pPr>
            <w:r w:rsidRPr="00AA108E">
              <w:rPr>
                <w:rFonts w:ascii="Times New Roman" w:hAnsi="Times New Roman" w:cs="Times New Roman"/>
                <w:color w:val="000000"/>
                <w:kern w:val="24"/>
              </w:rPr>
              <w:t>24,607</w:t>
            </w:r>
          </w:p>
        </w:tc>
      </w:tr>
      <w:tr w:rsidR="00561A85" w:rsidRPr="00AA108E" w14:paraId="48FCCCD1" w14:textId="77777777" w:rsidTr="005652F0">
        <w:trPr>
          <w:trHeight w:hRule="exact" w:val="559"/>
        </w:trPr>
        <w:tc>
          <w:tcPr>
            <w:tcW w:w="2059" w:type="pct"/>
            <w:tcBorders>
              <w:top w:val="nil"/>
              <w:left w:val="nil"/>
              <w:bottom w:val="nil"/>
              <w:right w:val="nil"/>
            </w:tcBorders>
            <w:shd w:val="clear" w:color="auto" w:fill="auto"/>
            <w:tcMar>
              <w:top w:w="72" w:type="dxa"/>
              <w:left w:w="144" w:type="dxa"/>
              <w:bottom w:w="72" w:type="dxa"/>
              <w:right w:w="144" w:type="dxa"/>
            </w:tcMar>
            <w:vAlign w:val="center"/>
            <w:hideMark/>
          </w:tcPr>
          <w:p w14:paraId="3D011A8A" w14:textId="77777777" w:rsidR="00561A85" w:rsidRPr="00AA108E" w:rsidRDefault="00561A85" w:rsidP="00561A85">
            <w:pPr>
              <w:pStyle w:val="NoSpacing"/>
              <w:rPr>
                <w:rFonts w:ascii="Times New Roman" w:hAnsi="Times New Roman" w:cs="Times New Roman"/>
              </w:rPr>
            </w:pPr>
            <w:r w:rsidRPr="00AA108E">
              <w:rPr>
                <w:rFonts w:ascii="Times New Roman" w:hAnsi="Times New Roman" w:cs="Times New Roman"/>
                <w:color w:val="000000" w:themeColor="dark1"/>
                <w:kern w:val="24"/>
              </w:rPr>
              <w:t>$11.51-$12.50</w:t>
            </w:r>
          </w:p>
        </w:tc>
        <w:tc>
          <w:tcPr>
            <w:tcW w:w="1471" w:type="pct"/>
            <w:tcBorders>
              <w:top w:val="nil"/>
              <w:left w:val="nil"/>
              <w:bottom w:val="nil"/>
              <w:right w:val="nil"/>
            </w:tcBorders>
            <w:shd w:val="clear" w:color="auto" w:fill="auto"/>
            <w:tcMar>
              <w:top w:w="15" w:type="dxa"/>
              <w:left w:w="15" w:type="dxa"/>
              <w:bottom w:w="0" w:type="dxa"/>
              <w:right w:w="15" w:type="dxa"/>
            </w:tcMar>
            <w:vAlign w:val="center"/>
            <w:hideMark/>
          </w:tcPr>
          <w:p w14:paraId="6E6404AF" w14:textId="77777777" w:rsidR="00561A85" w:rsidRPr="00AA108E" w:rsidRDefault="00561A85" w:rsidP="00561A85">
            <w:pPr>
              <w:pStyle w:val="NoSpacing"/>
              <w:jc w:val="center"/>
              <w:rPr>
                <w:rFonts w:ascii="Times New Roman" w:hAnsi="Times New Roman" w:cs="Times New Roman"/>
              </w:rPr>
            </w:pPr>
            <w:r w:rsidRPr="00AA108E">
              <w:rPr>
                <w:rFonts w:ascii="Times New Roman" w:hAnsi="Times New Roman" w:cs="Times New Roman"/>
                <w:color w:val="000000"/>
                <w:kern w:val="24"/>
              </w:rPr>
              <w:t>15,686</w:t>
            </w:r>
          </w:p>
        </w:tc>
        <w:tc>
          <w:tcPr>
            <w:tcW w:w="1471" w:type="pct"/>
            <w:tcBorders>
              <w:top w:val="nil"/>
              <w:left w:val="nil"/>
              <w:bottom w:val="nil"/>
              <w:right w:val="nil"/>
            </w:tcBorders>
            <w:shd w:val="clear" w:color="auto" w:fill="auto"/>
            <w:tcMar>
              <w:top w:w="72" w:type="dxa"/>
              <w:left w:w="144" w:type="dxa"/>
              <w:bottom w:w="72" w:type="dxa"/>
              <w:right w:w="144" w:type="dxa"/>
            </w:tcMar>
            <w:vAlign w:val="center"/>
            <w:hideMark/>
          </w:tcPr>
          <w:p w14:paraId="0E14A4A3" w14:textId="77777777" w:rsidR="00561A85" w:rsidRPr="00AA108E" w:rsidRDefault="00561A85" w:rsidP="00561A85">
            <w:pPr>
              <w:pStyle w:val="NoSpacing"/>
              <w:jc w:val="center"/>
              <w:rPr>
                <w:rFonts w:ascii="Times New Roman" w:hAnsi="Times New Roman" w:cs="Times New Roman"/>
              </w:rPr>
            </w:pPr>
            <w:r w:rsidRPr="00AA108E">
              <w:rPr>
                <w:rFonts w:ascii="Times New Roman" w:hAnsi="Times New Roman" w:cs="Times New Roman"/>
                <w:color w:val="000000"/>
                <w:kern w:val="24"/>
              </w:rPr>
              <w:t>6,274</w:t>
            </w:r>
          </w:p>
        </w:tc>
      </w:tr>
      <w:tr w:rsidR="00561A85" w:rsidRPr="00AA108E" w14:paraId="4045EF05" w14:textId="77777777" w:rsidTr="005652F0">
        <w:trPr>
          <w:trHeight w:hRule="exact" w:val="288"/>
        </w:trPr>
        <w:tc>
          <w:tcPr>
            <w:tcW w:w="2059" w:type="pct"/>
            <w:tcBorders>
              <w:top w:val="nil"/>
              <w:left w:val="nil"/>
              <w:bottom w:val="nil"/>
              <w:right w:val="nil"/>
            </w:tcBorders>
            <w:shd w:val="clear" w:color="auto" w:fill="auto"/>
            <w:tcMar>
              <w:top w:w="72" w:type="dxa"/>
              <w:left w:w="144" w:type="dxa"/>
              <w:bottom w:w="72" w:type="dxa"/>
              <w:right w:w="144" w:type="dxa"/>
            </w:tcMar>
            <w:vAlign w:val="center"/>
            <w:hideMark/>
          </w:tcPr>
          <w:p w14:paraId="254A5255" w14:textId="77777777" w:rsidR="00561A85" w:rsidRPr="00AA108E" w:rsidRDefault="00561A85" w:rsidP="00561A85">
            <w:pPr>
              <w:pStyle w:val="NoSpacing"/>
              <w:rPr>
                <w:rFonts w:ascii="Times New Roman" w:hAnsi="Times New Roman" w:cs="Times New Roman"/>
              </w:rPr>
            </w:pPr>
            <w:r w:rsidRPr="00AA108E">
              <w:rPr>
                <w:rFonts w:ascii="Times New Roman" w:hAnsi="Times New Roman" w:cs="Times New Roman"/>
                <w:color w:val="000000" w:themeColor="dark1"/>
                <w:kern w:val="24"/>
              </w:rPr>
              <w:t>$12.51-$13.50</w:t>
            </w:r>
          </w:p>
        </w:tc>
        <w:tc>
          <w:tcPr>
            <w:tcW w:w="1471" w:type="pct"/>
            <w:tcBorders>
              <w:top w:val="nil"/>
              <w:left w:val="nil"/>
              <w:bottom w:val="nil"/>
              <w:right w:val="nil"/>
            </w:tcBorders>
            <w:shd w:val="clear" w:color="auto" w:fill="auto"/>
            <w:tcMar>
              <w:top w:w="15" w:type="dxa"/>
              <w:left w:w="15" w:type="dxa"/>
              <w:bottom w:w="0" w:type="dxa"/>
              <w:right w:w="15" w:type="dxa"/>
            </w:tcMar>
            <w:vAlign w:val="center"/>
            <w:hideMark/>
          </w:tcPr>
          <w:p w14:paraId="2F4549A4" w14:textId="77777777" w:rsidR="00561A85" w:rsidRPr="00AA108E" w:rsidRDefault="00561A85" w:rsidP="00561A85">
            <w:pPr>
              <w:pStyle w:val="NoSpacing"/>
              <w:jc w:val="center"/>
              <w:rPr>
                <w:rFonts w:ascii="Times New Roman" w:hAnsi="Times New Roman" w:cs="Times New Roman"/>
              </w:rPr>
            </w:pPr>
            <w:r w:rsidRPr="00AA108E">
              <w:rPr>
                <w:rFonts w:ascii="Times New Roman" w:hAnsi="Times New Roman" w:cs="Times New Roman"/>
                <w:color w:val="000000"/>
                <w:kern w:val="24"/>
              </w:rPr>
              <w:t>14,049</w:t>
            </w:r>
          </w:p>
        </w:tc>
        <w:tc>
          <w:tcPr>
            <w:tcW w:w="1471" w:type="pct"/>
            <w:tcBorders>
              <w:top w:val="nil"/>
              <w:left w:val="nil"/>
              <w:bottom w:val="nil"/>
              <w:right w:val="nil"/>
            </w:tcBorders>
            <w:shd w:val="clear" w:color="auto" w:fill="auto"/>
            <w:tcMar>
              <w:top w:w="72" w:type="dxa"/>
              <w:left w:w="144" w:type="dxa"/>
              <w:bottom w:w="72" w:type="dxa"/>
              <w:right w:w="144" w:type="dxa"/>
            </w:tcMar>
            <w:vAlign w:val="center"/>
            <w:hideMark/>
          </w:tcPr>
          <w:p w14:paraId="1026EC5A" w14:textId="77777777" w:rsidR="00561A85" w:rsidRPr="00AA108E" w:rsidRDefault="00561A85" w:rsidP="00561A85">
            <w:pPr>
              <w:pStyle w:val="NoSpacing"/>
              <w:jc w:val="center"/>
              <w:rPr>
                <w:rFonts w:ascii="Times New Roman" w:hAnsi="Times New Roman" w:cs="Times New Roman"/>
              </w:rPr>
            </w:pPr>
            <w:r w:rsidRPr="00AA108E">
              <w:rPr>
                <w:rFonts w:ascii="Times New Roman" w:hAnsi="Times New Roman" w:cs="Times New Roman"/>
                <w:color w:val="000000"/>
                <w:kern w:val="24"/>
              </w:rPr>
              <w:t>5,620</w:t>
            </w:r>
          </w:p>
        </w:tc>
      </w:tr>
      <w:tr w:rsidR="00561A85" w:rsidRPr="00AA108E" w14:paraId="72CFCAA4" w14:textId="77777777" w:rsidTr="005652F0">
        <w:trPr>
          <w:trHeight w:hRule="exact" w:val="469"/>
        </w:trPr>
        <w:tc>
          <w:tcPr>
            <w:tcW w:w="2059" w:type="pct"/>
            <w:tcBorders>
              <w:top w:val="nil"/>
              <w:left w:val="nil"/>
              <w:bottom w:val="nil"/>
              <w:right w:val="nil"/>
            </w:tcBorders>
            <w:shd w:val="clear" w:color="auto" w:fill="auto"/>
            <w:tcMar>
              <w:top w:w="72" w:type="dxa"/>
              <w:left w:w="144" w:type="dxa"/>
              <w:bottom w:w="72" w:type="dxa"/>
              <w:right w:w="144" w:type="dxa"/>
            </w:tcMar>
            <w:vAlign w:val="center"/>
            <w:hideMark/>
          </w:tcPr>
          <w:p w14:paraId="55EF60BE" w14:textId="77777777" w:rsidR="00561A85" w:rsidRPr="00AA108E" w:rsidRDefault="00561A85" w:rsidP="00561A85">
            <w:pPr>
              <w:pStyle w:val="NoSpacing"/>
              <w:rPr>
                <w:rFonts w:ascii="Times New Roman" w:hAnsi="Times New Roman" w:cs="Times New Roman"/>
              </w:rPr>
            </w:pPr>
            <w:r w:rsidRPr="00AA108E">
              <w:rPr>
                <w:rFonts w:ascii="Times New Roman" w:hAnsi="Times New Roman" w:cs="Times New Roman"/>
                <w:color w:val="000000" w:themeColor="dark1"/>
                <w:kern w:val="24"/>
              </w:rPr>
              <w:t>$13.51-$15.00</w:t>
            </w:r>
          </w:p>
        </w:tc>
        <w:tc>
          <w:tcPr>
            <w:tcW w:w="1471" w:type="pct"/>
            <w:tcBorders>
              <w:top w:val="nil"/>
              <w:left w:val="nil"/>
              <w:bottom w:val="nil"/>
              <w:right w:val="nil"/>
            </w:tcBorders>
            <w:shd w:val="clear" w:color="auto" w:fill="auto"/>
            <w:tcMar>
              <w:top w:w="15" w:type="dxa"/>
              <w:left w:w="15" w:type="dxa"/>
              <w:bottom w:w="0" w:type="dxa"/>
              <w:right w:w="15" w:type="dxa"/>
            </w:tcMar>
            <w:vAlign w:val="center"/>
            <w:hideMark/>
          </w:tcPr>
          <w:p w14:paraId="5B5F2F44" w14:textId="77777777" w:rsidR="00561A85" w:rsidRPr="00AA108E" w:rsidRDefault="00561A85" w:rsidP="00561A85">
            <w:pPr>
              <w:pStyle w:val="NoSpacing"/>
              <w:jc w:val="center"/>
              <w:rPr>
                <w:rFonts w:ascii="Times New Roman" w:hAnsi="Times New Roman" w:cs="Times New Roman"/>
              </w:rPr>
            </w:pPr>
            <w:r w:rsidRPr="00AA108E">
              <w:rPr>
                <w:rFonts w:ascii="Times New Roman" w:hAnsi="Times New Roman" w:cs="Times New Roman"/>
                <w:color w:val="000000"/>
                <w:kern w:val="24"/>
              </w:rPr>
              <w:t>19,554</w:t>
            </w:r>
          </w:p>
        </w:tc>
        <w:tc>
          <w:tcPr>
            <w:tcW w:w="1471" w:type="pct"/>
            <w:tcBorders>
              <w:top w:val="nil"/>
              <w:left w:val="nil"/>
              <w:bottom w:val="nil"/>
              <w:right w:val="nil"/>
            </w:tcBorders>
            <w:shd w:val="clear" w:color="auto" w:fill="auto"/>
            <w:tcMar>
              <w:top w:w="72" w:type="dxa"/>
              <w:left w:w="144" w:type="dxa"/>
              <w:bottom w:w="72" w:type="dxa"/>
              <w:right w:w="144" w:type="dxa"/>
            </w:tcMar>
            <w:vAlign w:val="center"/>
            <w:hideMark/>
          </w:tcPr>
          <w:p w14:paraId="6DA5202A" w14:textId="77777777" w:rsidR="00561A85" w:rsidRPr="00AA108E" w:rsidRDefault="00561A85" w:rsidP="00561A85">
            <w:pPr>
              <w:pStyle w:val="NoSpacing"/>
              <w:jc w:val="center"/>
              <w:rPr>
                <w:rFonts w:ascii="Times New Roman" w:hAnsi="Times New Roman" w:cs="Times New Roman"/>
              </w:rPr>
            </w:pPr>
            <w:r w:rsidRPr="00AA108E">
              <w:rPr>
                <w:rFonts w:ascii="Times New Roman" w:hAnsi="Times New Roman" w:cs="Times New Roman"/>
                <w:color w:val="000000"/>
                <w:kern w:val="24"/>
              </w:rPr>
              <w:t>7,822</w:t>
            </w:r>
          </w:p>
        </w:tc>
      </w:tr>
      <w:tr w:rsidR="00561A85" w:rsidRPr="00AA108E" w14:paraId="57F24282" w14:textId="77777777" w:rsidTr="005652F0">
        <w:trPr>
          <w:trHeight w:hRule="exact" w:val="532"/>
        </w:trPr>
        <w:tc>
          <w:tcPr>
            <w:tcW w:w="2059" w:type="pct"/>
            <w:tcBorders>
              <w:top w:val="nil"/>
              <w:left w:val="nil"/>
              <w:bottom w:val="nil"/>
              <w:right w:val="nil"/>
            </w:tcBorders>
            <w:shd w:val="clear" w:color="auto" w:fill="auto"/>
            <w:tcMar>
              <w:top w:w="72" w:type="dxa"/>
              <w:left w:w="144" w:type="dxa"/>
              <w:bottom w:w="72" w:type="dxa"/>
              <w:right w:w="144" w:type="dxa"/>
            </w:tcMar>
            <w:vAlign w:val="center"/>
            <w:hideMark/>
          </w:tcPr>
          <w:p w14:paraId="289DD843" w14:textId="77777777" w:rsidR="00561A85" w:rsidRPr="00AA108E" w:rsidRDefault="00561A85" w:rsidP="00561A85">
            <w:pPr>
              <w:pStyle w:val="NoSpacing"/>
              <w:rPr>
                <w:rFonts w:ascii="Times New Roman" w:hAnsi="Times New Roman" w:cs="Times New Roman"/>
                <w:i/>
              </w:rPr>
            </w:pPr>
            <w:r w:rsidRPr="00AA108E">
              <w:rPr>
                <w:rFonts w:ascii="Times New Roman" w:hAnsi="Times New Roman" w:cs="Times New Roman"/>
                <w:i/>
                <w:color w:val="000000" w:themeColor="dark1"/>
                <w:kern w:val="24"/>
              </w:rPr>
              <w:t>Sub Total (Wage Rate up to $15/</w:t>
            </w:r>
            <w:proofErr w:type="spellStart"/>
            <w:r w:rsidRPr="00AA108E">
              <w:rPr>
                <w:rFonts w:ascii="Times New Roman" w:hAnsi="Times New Roman" w:cs="Times New Roman"/>
                <w:i/>
                <w:color w:val="000000" w:themeColor="dark1"/>
                <w:kern w:val="24"/>
              </w:rPr>
              <w:t>hr</w:t>
            </w:r>
            <w:proofErr w:type="spellEnd"/>
            <w:r w:rsidRPr="00AA108E">
              <w:rPr>
                <w:rFonts w:ascii="Times New Roman" w:hAnsi="Times New Roman" w:cs="Times New Roman"/>
                <w:i/>
                <w:color w:val="000000" w:themeColor="dark1"/>
                <w:kern w:val="24"/>
              </w:rPr>
              <w:t>)</w:t>
            </w:r>
          </w:p>
        </w:tc>
        <w:tc>
          <w:tcPr>
            <w:tcW w:w="1471" w:type="pct"/>
            <w:tcBorders>
              <w:top w:val="nil"/>
              <w:left w:val="nil"/>
              <w:bottom w:val="nil"/>
              <w:right w:val="nil"/>
            </w:tcBorders>
            <w:shd w:val="clear" w:color="auto" w:fill="auto"/>
            <w:tcMar>
              <w:top w:w="15" w:type="dxa"/>
              <w:left w:w="15" w:type="dxa"/>
              <w:bottom w:w="0" w:type="dxa"/>
              <w:right w:w="15" w:type="dxa"/>
            </w:tcMar>
            <w:vAlign w:val="center"/>
            <w:hideMark/>
          </w:tcPr>
          <w:p w14:paraId="4A7E3E5B" w14:textId="77777777" w:rsidR="00561A85" w:rsidRPr="00AA108E" w:rsidRDefault="00561A85" w:rsidP="00561A85">
            <w:pPr>
              <w:pStyle w:val="NoSpacing"/>
              <w:jc w:val="center"/>
              <w:rPr>
                <w:rFonts w:ascii="Times New Roman" w:hAnsi="Times New Roman" w:cs="Times New Roman"/>
                <w:i/>
              </w:rPr>
            </w:pPr>
            <w:r w:rsidRPr="00AA108E">
              <w:rPr>
                <w:rFonts w:ascii="Times New Roman" w:hAnsi="Times New Roman" w:cs="Times New Roman"/>
                <w:i/>
                <w:color w:val="000000"/>
                <w:kern w:val="24"/>
                <w:u w:val="single"/>
              </w:rPr>
              <w:t>127,298</w:t>
            </w:r>
          </w:p>
        </w:tc>
        <w:tc>
          <w:tcPr>
            <w:tcW w:w="1471" w:type="pct"/>
            <w:tcBorders>
              <w:top w:val="nil"/>
              <w:left w:val="nil"/>
              <w:bottom w:val="nil"/>
              <w:right w:val="nil"/>
            </w:tcBorders>
            <w:shd w:val="clear" w:color="auto" w:fill="auto"/>
            <w:tcMar>
              <w:top w:w="72" w:type="dxa"/>
              <w:left w:w="144" w:type="dxa"/>
              <w:bottom w:w="72" w:type="dxa"/>
              <w:right w:w="144" w:type="dxa"/>
            </w:tcMar>
            <w:vAlign w:val="center"/>
            <w:hideMark/>
          </w:tcPr>
          <w:p w14:paraId="682B15DA" w14:textId="77777777" w:rsidR="00561A85" w:rsidRPr="00AA108E" w:rsidRDefault="00561A85" w:rsidP="00561A85">
            <w:pPr>
              <w:pStyle w:val="NoSpacing"/>
              <w:jc w:val="center"/>
              <w:rPr>
                <w:rFonts w:ascii="Times New Roman" w:hAnsi="Times New Roman" w:cs="Times New Roman"/>
                <w:i/>
              </w:rPr>
            </w:pPr>
            <w:r w:rsidRPr="00AA108E">
              <w:rPr>
                <w:rFonts w:ascii="Times New Roman" w:hAnsi="Times New Roman" w:cs="Times New Roman"/>
                <w:i/>
                <w:color w:val="000000"/>
                <w:kern w:val="24"/>
                <w:u w:val="single"/>
              </w:rPr>
              <w:t>50,920</w:t>
            </w:r>
          </w:p>
        </w:tc>
      </w:tr>
      <w:tr w:rsidR="00561A85" w:rsidRPr="00AA108E" w14:paraId="4EB2AB43" w14:textId="77777777" w:rsidTr="00AA108E">
        <w:trPr>
          <w:trHeight w:hRule="exact" w:val="630"/>
        </w:trPr>
        <w:tc>
          <w:tcPr>
            <w:tcW w:w="2059" w:type="pct"/>
            <w:tcBorders>
              <w:top w:val="nil"/>
              <w:left w:val="nil"/>
              <w:bottom w:val="nil"/>
              <w:right w:val="nil"/>
            </w:tcBorders>
            <w:shd w:val="clear" w:color="auto" w:fill="auto"/>
            <w:tcMar>
              <w:top w:w="72" w:type="dxa"/>
              <w:left w:w="144" w:type="dxa"/>
              <w:bottom w:w="72" w:type="dxa"/>
              <w:right w:w="144" w:type="dxa"/>
            </w:tcMar>
            <w:vAlign w:val="center"/>
            <w:hideMark/>
          </w:tcPr>
          <w:p w14:paraId="03EE47CD" w14:textId="25BA153D" w:rsidR="00561A85" w:rsidRPr="00AA108E" w:rsidRDefault="00CA2BEC" w:rsidP="00561A85">
            <w:pPr>
              <w:pStyle w:val="NoSpacing"/>
              <w:rPr>
                <w:rFonts w:ascii="Times New Roman" w:hAnsi="Times New Roman" w:cs="Times New Roman"/>
              </w:rPr>
            </w:pPr>
            <w:r>
              <w:rPr>
                <w:rFonts w:ascii="Times New Roman" w:hAnsi="Times New Roman" w:cs="Times New Roman"/>
                <w:color w:val="000000" w:themeColor="dark1"/>
                <w:kern w:val="24"/>
              </w:rPr>
              <w:t xml:space="preserve">Wage Rate Between </w:t>
            </w:r>
            <w:r w:rsidR="00561A85" w:rsidRPr="00AA108E">
              <w:rPr>
                <w:rFonts w:ascii="Times New Roman" w:hAnsi="Times New Roman" w:cs="Times New Roman"/>
                <w:color w:val="000000" w:themeColor="dark1"/>
                <w:kern w:val="24"/>
              </w:rPr>
              <w:t>$15-$18 (Spillover)</w:t>
            </w:r>
          </w:p>
        </w:tc>
        <w:tc>
          <w:tcPr>
            <w:tcW w:w="1471" w:type="pct"/>
            <w:tcBorders>
              <w:top w:val="nil"/>
              <w:left w:val="nil"/>
              <w:bottom w:val="nil"/>
              <w:right w:val="nil"/>
            </w:tcBorders>
            <w:shd w:val="clear" w:color="auto" w:fill="auto"/>
            <w:tcMar>
              <w:top w:w="15" w:type="dxa"/>
              <w:left w:w="15" w:type="dxa"/>
              <w:bottom w:w="0" w:type="dxa"/>
              <w:right w:w="15" w:type="dxa"/>
            </w:tcMar>
            <w:vAlign w:val="center"/>
            <w:hideMark/>
          </w:tcPr>
          <w:p w14:paraId="67453D64" w14:textId="77777777" w:rsidR="00561A85" w:rsidRPr="00AA108E" w:rsidRDefault="00561A85" w:rsidP="00561A85">
            <w:pPr>
              <w:pStyle w:val="NoSpacing"/>
              <w:jc w:val="center"/>
              <w:rPr>
                <w:rFonts w:ascii="Times New Roman" w:hAnsi="Times New Roman" w:cs="Times New Roman"/>
              </w:rPr>
            </w:pPr>
            <w:r w:rsidRPr="00AA108E">
              <w:rPr>
                <w:rFonts w:ascii="Times New Roman" w:hAnsi="Times New Roman" w:cs="Times New Roman"/>
                <w:color w:val="000000"/>
                <w:kern w:val="24"/>
              </w:rPr>
              <w:t>40,120</w:t>
            </w:r>
          </w:p>
        </w:tc>
        <w:tc>
          <w:tcPr>
            <w:tcW w:w="1471" w:type="pct"/>
            <w:tcBorders>
              <w:top w:val="nil"/>
              <w:left w:val="nil"/>
              <w:bottom w:val="nil"/>
              <w:right w:val="nil"/>
            </w:tcBorders>
            <w:shd w:val="clear" w:color="auto" w:fill="auto"/>
            <w:tcMar>
              <w:top w:w="72" w:type="dxa"/>
              <w:left w:w="144" w:type="dxa"/>
              <w:bottom w:w="72" w:type="dxa"/>
              <w:right w:w="144" w:type="dxa"/>
            </w:tcMar>
            <w:vAlign w:val="center"/>
            <w:hideMark/>
          </w:tcPr>
          <w:p w14:paraId="66510ED3" w14:textId="77777777" w:rsidR="00561A85" w:rsidRPr="00AA108E" w:rsidRDefault="00561A85" w:rsidP="00561A85">
            <w:pPr>
              <w:pStyle w:val="NoSpacing"/>
              <w:jc w:val="center"/>
              <w:rPr>
                <w:rFonts w:ascii="Times New Roman" w:hAnsi="Times New Roman" w:cs="Times New Roman"/>
              </w:rPr>
            </w:pPr>
            <w:r w:rsidRPr="00AA108E">
              <w:rPr>
                <w:rFonts w:ascii="Times New Roman" w:hAnsi="Times New Roman" w:cs="Times New Roman"/>
                <w:color w:val="000000"/>
                <w:kern w:val="24"/>
              </w:rPr>
              <w:t>16,048</w:t>
            </w:r>
          </w:p>
        </w:tc>
      </w:tr>
      <w:tr w:rsidR="00561A85" w:rsidRPr="00AA108E" w14:paraId="07726343" w14:textId="77777777" w:rsidTr="005652F0">
        <w:trPr>
          <w:trHeight w:hRule="exact" w:val="469"/>
        </w:trPr>
        <w:tc>
          <w:tcPr>
            <w:tcW w:w="2059" w:type="pct"/>
            <w:tcBorders>
              <w:top w:val="nil"/>
              <w:left w:val="nil"/>
              <w:bottom w:val="single" w:sz="4" w:space="0" w:color="auto"/>
              <w:right w:val="nil"/>
            </w:tcBorders>
            <w:shd w:val="clear" w:color="auto" w:fill="auto"/>
            <w:tcMar>
              <w:top w:w="72" w:type="dxa"/>
              <w:left w:w="144" w:type="dxa"/>
              <w:bottom w:w="72" w:type="dxa"/>
              <w:right w:w="144" w:type="dxa"/>
            </w:tcMar>
            <w:vAlign w:val="center"/>
            <w:hideMark/>
          </w:tcPr>
          <w:p w14:paraId="376117C9" w14:textId="77777777" w:rsidR="00561A85" w:rsidRPr="00AA108E" w:rsidRDefault="00561A85" w:rsidP="00561A85">
            <w:pPr>
              <w:pStyle w:val="NoSpacing"/>
              <w:rPr>
                <w:rFonts w:ascii="Times New Roman" w:hAnsi="Times New Roman" w:cs="Times New Roman"/>
              </w:rPr>
            </w:pPr>
            <w:r w:rsidRPr="00AA108E">
              <w:rPr>
                <w:rFonts w:ascii="Times New Roman" w:hAnsi="Times New Roman" w:cs="Times New Roman"/>
                <w:b/>
                <w:bCs/>
                <w:color w:val="000000" w:themeColor="dark1"/>
                <w:kern w:val="24"/>
              </w:rPr>
              <w:t xml:space="preserve">Total </w:t>
            </w:r>
          </w:p>
        </w:tc>
        <w:tc>
          <w:tcPr>
            <w:tcW w:w="1471"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22DA49D2" w14:textId="77777777" w:rsidR="00561A85" w:rsidRPr="00AA108E" w:rsidRDefault="00561A85" w:rsidP="00561A85">
            <w:pPr>
              <w:pStyle w:val="NoSpacing"/>
              <w:jc w:val="center"/>
              <w:rPr>
                <w:rFonts w:ascii="Times New Roman" w:hAnsi="Times New Roman" w:cs="Times New Roman"/>
              </w:rPr>
            </w:pPr>
            <w:r w:rsidRPr="00AA108E">
              <w:rPr>
                <w:rFonts w:ascii="Times New Roman" w:hAnsi="Times New Roman" w:cs="Times New Roman"/>
                <w:b/>
                <w:bCs/>
                <w:color w:val="000000"/>
                <w:kern w:val="24"/>
                <w:u w:val="single"/>
              </w:rPr>
              <w:t>167,419</w:t>
            </w:r>
          </w:p>
        </w:tc>
        <w:tc>
          <w:tcPr>
            <w:tcW w:w="1471" w:type="pct"/>
            <w:tcBorders>
              <w:top w:val="nil"/>
              <w:left w:val="nil"/>
              <w:bottom w:val="single" w:sz="4" w:space="0" w:color="auto"/>
              <w:right w:val="nil"/>
            </w:tcBorders>
            <w:shd w:val="clear" w:color="auto" w:fill="auto"/>
            <w:tcMar>
              <w:top w:w="72" w:type="dxa"/>
              <w:left w:w="144" w:type="dxa"/>
              <w:bottom w:w="72" w:type="dxa"/>
              <w:right w:w="144" w:type="dxa"/>
            </w:tcMar>
            <w:vAlign w:val="center"/>
            <w:hideMark/>
          </w:tcPr>
          <w:p w14:paraId="2B4EC1ED" w14:textId="77777777" w:rsidR="00561A85" w:rsidRPr="00AA108E" w:rsidRDefault="00561A85" w:rsidP="00561A85">
            <w:pPr>
              <w:pStyle w:val="NoSpacing"/>
              <w:jc w:val="center"/>
              <w:rPr>
                <w:rFonts w:ascii="Times New Roman" w:hAnsi="Times New Roman" w:cs="Times New Roman"/>
              </w:rPr>
            </w:pPr>
            <w:r w:rsidRPr="00AA108E">
              <w:rPr>
                <w:rFonts w:ascii="Times New Roman" w:hAnsi="Times New Roman" w:cs="Times New Roman"/>
                <w:b/>
                <w:bCs/>
                <w:color w:val="000000"/>
                <w:kern w:val="24"/>
                <w:u w:val="single"/>
              </w:rPr>
              <w:t>66,968</w:t>
            </w:r>
          </w:p>
        </w:tc>
      </w:tr>
    </w:tbl>
    <w:p w14:paraId="7D9F8DDC" w14:textId="77777777" w:rsidR="00561A85" w:rsidRDefault="00561A85">
      <w:pPr>
        <w:rPr>
          <w:rFonts w:ascii="Times New Roman" w:hAnsi="Times New Roman" w:cs="Times New Roman"/>
          <w:sz w:val="24"/>
          <w:szCs w:val="24"/>
        </w:rPr>
      </w:pPr>
    </w:p>
    <w:p w14:paraId="6BB76408" w14:textId="77777777" w:rsidR="00561A85" w:rsidRDefault="00561A85">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229"/>
        <w:gridCol w:w="2287"/>
        <w:gridCol w:w="3502"/>
        <w:gridCol w:w="2342"/>
      </w:tblGrid>
      <w:tr w:rsidR="008D5EAA" w:rsidRPr="00AA108E" w14:paraId="6FC48119" w14:textId="77777777" w:rsidTr="00AA108E">
        <w:trPr>
          <w:trHeight w:val="235"/>
        </w:trPr>
        <w:tc>
          <w:tcPr>
            <w:tcW w:w="0" w:type="auto"/>
            <w:gridSpan w:val="4"/>
            <w:tcBorders>
              <w:top w:val="nil"/>
              <w:left w:val="nil"/>
              <w:bottom w:val="single" w:sz="8" w:space="0" w:color="auto"/>
              <w:right w:val="nil"/>
            </w:tcBorders>
          </w:tcPr>
          <w:p w14:paraId="7A7EDBD5" w14:textId="0EE1553B" w:rsidR="008D5EAA" w:rsidRPr="00AA108E" w:rsidRDefault="008D5EAA" w:rsidP="00691DA9">
            <w:pPr>
              <w:pStyle w:val="NoSpacing"/>
              <w:rPr>
                <w:rFonts w:ascii="Times New Roman" w:hAnsi="Times New Roman" w:cs="Times New Roman"/>
                <w:b/>
              </w:rPr>
            </w:pPr>
            <w:r w:rsidRPr="00AA108E">
              <w:rPr>
                <w:rFonts w:ascii="Times New Roman" w:hAnsi="Times New Roman" w:cs="Times New Roman"/>
                <w:b/>
              </w:rPr>
              <w:lastRenderedPageBreak/>
              <w:t>Table 4. Summary of the DC $15 MWP Simulation Model: Cases and Underlying Assumptions</w:t>
            </w:r>
          </w:p>
        </w:tc>
      </w:tr>
      <w:tr w:rsidR="00561A85" w:rsidRPr="00AA108E" w14:paraId="64B30C63" w14:textId="77777777" w:rsidTr="00AA108E">
        <w:trPr>
          <w:trHeight w:val="288"/>
        </w:trPr>
        <w:tc>
          <w:tcPr>
            <w:tcW w:w="0" w:type="auto"/>
            <w:tcBorders>
              <w:top w:val="single" w:sz="8" w:space="0" w:color="auto"/>
              <w:left w:val="nil"/>
              <w:bottom w:val="single" w:sz="4" w:space="0" w:color="auto"/>
              <w:right w:val="nil"/>
            </w:tcBorders>
          </w:tcPr>
          <w:p w14:paraId="7E7666BC" w14:textId="77777777" w:rsidR="00561A85" w:rsidRPr="00AA108E" w:rsidRDefault="00561A85" w:rsidP="00561A85">
            <w:pPr>
              <w:pStyle w:val="NoSpacing"/>
              <w:jc w:val="center"/>
              <w:rPr>
                <w:rFonts w:ascii="Times New Roman" w:hAnsi="Times New Roman" w:cs="Times New Roman"/>
              </w:rPr>
            </w:pPr>
            <w:r w:rsidRPr="00AA108E">
              <w:rPr>
                <w:rFonts w:ascii="Times New Roman" w:hAnsi="Times New Roman" w:cs="Times New Roman"/>
              </w:rPr>
              <w:t>Scenario</w:t>
            </w:r>
          </w:p>
        </w:tc>
        <w:tc>
          <w:tcPr>
            <w:tcW w:w="0" w:type="auto"/>
            <w:tcBorders>
              <w:top w:val="single" w:sz="8" w:space="0" w:color="auto"/>
              <w:left w:val="nil"/>
              <w:bottom w:val="single" w:sz="4" w:space="0" w:color="auto"/>
              <w:right w:val="nil"/>
            </w:tcBorders>
          </w:tcPr>
          <w:p w14:paraId="1F502F90" w14:textId="77777777" w:rsidR="00561A85" w:rsidRPr="00AA108E" w:rsidRDefault="00561A85" w:rsidP="00561A85">
            <w:pPr>
              <w:pStyle w:val="NoSpacing"/>
              <w:jc w:val="center"/>
              <w:rPr>
                <w:rFonts w:ascii="Times New Roman" w:hAnsi="Times New Roman" w:cs="Times New Roman"/>
              </w:rPr>
            </w:pPr>
            <w:r w:rsidRPr="00AA108E">
              <w:rPr>
                <w:rFonts w:ascii="Times New Roman" w:hAnsi="Times New Roman" w:cs="Times New Roman"/>
              </w:rPr>
              <w:t>Description</w:t>
            </w:r>
          </w:p>
        </w:tc>
        <w:tc>
          <w:tcPr>
            <w:tcW w:w="0" w:type="auto"/>
            <w:tcBorders>
              <w:top w:val="single" w:sz="8" w:space="0" w:color="auto"/>
              <w:left w:val="nil"/>
              <w:bottom w:val="single" w:sz="4" w:space="0" w:color="auto"/>
              <w:right w:val="nil"/>
            </w:tcBorders>
          </w:tcPr>
          <w:p w14:paraId="623D6520" w14:textId="77777777" w:rsidR="00561A85" w:rsidRPr="00AA108E" w:rsidRDefault="00561A85" w:rsidP="00561A85">
            <w:pPr>
              <w:pStyle w:val="NoSpacing"/>
              <w:jc w:val="center"/>
              <w:rPr>
                <w:rFonts w:ascii="Times New Roman" w:hAnsi="Times New Roman" w:cs="Times New Roman"/>
              </w:rPr>
            </w:pPr>
            <w:r w:rsidRPr="00AA108E">
              <w:rPr>
                <w:rFonts w:ascii="Times New Roman" w:hAnsi="Times New Roman" w:cs="Times New Roman"/>
              </w:rPr>
              <w:t>Assumption(s)</w:t>
            </w:r>
          </w:p>
        </w:tc>
        <w:tc>
          <w:tcPr>
            <w:tcW w:w="0" w:type="auto"/>
            <w:tcBorders>
              <w:top w:val="single" w:sz="8" w:space="0" w:color="auto"/>
              <w:left w:val="nil"/>
              <w:bottom w:val="single" w:sz="4" w:space="0" w:color="auto"/>
              <w:right w:val="nil"/>
            </w:tcBorders>
          </w:tcPr>
          <w:p w14:paraId="685D7735" w14:textId="77777777" w:rsidR="00561A85" w:rsidRPr="00AA108E" w:rsidRDefault="00561A85" w:rsidP="00561A85">
            <w:pPr>
              <w:pStyle w:val="NoSpacing"/>
              <w:jc w:val="center"/>
              <w:rPr>
                <w:rFonts w:ascii="Times New Roman" w:hAnsi="Times New Roman" w:cs="Times New Roman"/>
              </w:rPr>
            </w:pPr>
            <w:r w:rsidRPr="00AA108E">
              <w:rPr>
                <w:rFonts w:ascii="Times New Roman" w:hAnsi="Times New Roman" w:cs="Times New Roman"/>
              </w:rPr>
              <w:t>Policy Shocks in 2021</w:t>
            </w:r>
          </w:p>
        </w:tc>
      </w:tr>
      <w:tr w:rsidR="00561A85" w:rsidRPr="00AA108E" w14:paraId="54994089" w14:textId="77777777" w:rsidTr="00AA108E">
        <w:trPr>
          <w:trHeight w:val="1008"/>
        </w:trPr>
        <w:tc>
          <w:tcPr>
            <w:tcW w:w="0" w:type="auto"/>
            <w:tcBorders>
              <w:top w:val="single" w:sz="4" w:space="0" w:color="auto"/>
              <w:left w:val="nil"/>
              <w:bottom w:val="nil"/>
              <w:right w:val="nil"/>
            </w:tcBorders>
          </w:tcPr>
          <w:p w14:paraId="43EF0D87" w14:textId="77777777" w:rsidR="00561A85" w:rsidRPr="00AA108E" w:rsidRDefault="00561A85" w:rsidP="00561A85">
            <w:pPr>
              <w:pStyle w:val="NoSpacing"/>
              <w:jc w:val="center"/>
              <w:rPr>
                <w:rFonts w:ascii="Times New Roman" w:hAnsi="Times New Roman" w:cs="Times New Roman"/>
              </w:rPr>
            </w:pPr>
            <w:r w:rsidRPr="00AA108E">
              <w:rPr>
                <w:rFonts w:ascii="Times New Roman" w:hAnsi="Times New Roman" w:cs="Times New Roman"/>
              </w:rPr>
              <w:t xml:space="preserve">#1 </w:t>
            </w:r>
          </w:p>
          <w:p w14:paraId="44E6CC89" w14:textId="77777777" w:rsidR="00561A85" w:rsidRPr="00AA108E" w:rsidRDefault="00561A85" w:rsidP="00561A85">
            <w:pPr>
              <w:pStyle w:val="NoSpacing"/>
              <w:jc w:val="center"/>
              <w:rPr>
                <w:rFonts w:ascii="Times New Roman" w:hAnsi="Times New Roman" w:cs="Times New Roman"/>
              </w:rPr>
            </w:pPr>
          </w:p>
        </w:tc>
        <w:tc>
          <w:tcPr>
            <w:tcW w:w="0" w:type="auto"/>
            <w:tcBorders>
              <w:top w:val="single" w:sz="4" w:space="0" w:color="auto"/>
              <w:left w:val="nil"/>
              <w:bottom w:val="nil"/>
              <w:right w:val="nil"/>
            </w:tcBorders>
          </w:tcPr>
          <w:p w14:paraId="65416B19" w14:textId="77777777" w:rsidR="00561A85" w:rsidRPr="00AA108E" w:rsidRDefault="00561A85" w:rsidP="00561A85">
            <w:pPr>
              <w:pStyle w:val="NoSpacing"/>
              <w:rPr>
                <w:rFonts w:ascii="Times New Roman" w:hAnsi="Times New Roman" w:cs="Times New Roman"/>
              </w:rPr>
            </w:pPr>
            <w:r w:rsidRPr="00AA108E">
              <w:rPr>
                <w:rFonts w:ascii="Times New Roman" w:hAnsi="Times New Roman" w:cs="Times New Roman"/>
              </w:rPr>
              <w:t>Base Case</w:t>
            </w:r>
          </w:p>
          <w:p w14:paraId="19B69B4A" w14:textId="77777777" w:rsidR="00561A85" w:rsidRPr="00AA108E" w:rsidRDefault="00561A85" w:rsidP="00561A85">
            <w:pPr>
              <w:pStyle w:val="NoSpacing"/>
              <w:rPr>
                <w:rFonts w:ascii="Times New Roman" w:hAnsi="Times New Roman" w:cs="Times New Roman"/>
              </w:rPr>
            </w:pPr>
            <w:r w:rsidRPr="00AA108E">
              <w:rPr>
                <w:rFonts w:ascii="Times New Roman" w:hAnsi="Times New Roman" w:cs="Times New Roman"/>
              </w:rPr>
              <w:t>(Minimal Workers Effected, No Offsetting Gains)</w:t>
            </w:r>
          </w:p>
        </w:tc>
        <w:tc>
          <w:tcPr>
            <w:tcW w:w="0" w:type="auto"/>
            <w:tcBorders>
              <w:top w:val="single" w:sz="4" w:space="0" w:color="auto"/>
              <w:left w:val="nil"/>
              <w:bottom w:val="nil"/>
              <w:right w:val="nil"/>
            </w:tcBorders>
          </w:tcPr>
          <w:p w14:paraId="0D702D5E" w14:textId="77777777" w:rsidR="00561A85" w:rsidRPr="00AA108E" w:rsidRDefault="00561A85" w:rsidP="00561A85">
            <w:pPr>
              <w:pStyle w:val="NoSpacing"/>
              <w:rPr>
                <w:rFonts w:ascii="Times New Roman" w:hAnsi="Times New Roman" w:cs="Times New Roman"/>
              </w:rPr>
            </w:pPr>
            <w:r w:rsidRPr="00AA108E">
              <w:rPr>
                <w:rFonts w:ascii="Times New Roman" w:hAnsi="Times New Roman" w:cs="Times New Roman"/>
              </w:rPr>
              <w:t>Only workers earning less than $15 an hour in 2014 will benefit</w:t>
            </w:r>
          </w:p>
        </w:tc>
        <w:tc>
          <w:tcPr>
            <w:tcW w:w="0" w:type="auto"/>
            <w:tcBorders>
              <w:top w:val="single" w:sz="4" w:space="0" w:color="auto"/>
              <w:left w:val="nil"/>
              <w:bottom w:val="nil"/>
              <w:right w:val="nil"/>
            </w:tcBorders>
          </w:tcPr>
          <w:p w14:paraId="23892D91" w14:textId="77777777" w:rsidR="00561A85" w:rsidRPr="00AA108E" w:rsidRDefault="00561A85" w:rsidP="00561A85">
            <w:pPr>
              <w:pStyle w:val="NoSpacing"/>
              <w:rPr>
                <w:rFonts w:ascii="Times New Roman" w:hAnsi="Times New Roman" w:cs="Times New Roman"/>
              </w:rPr>
            </w:pPr>
            <w:r w:rsidRPr="00AA108E">
              <w:rPr>
                <w:rFonts w:ascii="Times New Roman" w:hAnsi="Times New Roman" w:cs="Times New Roman"/>
              </w:rPr>
              <w:t>A. $387 million increase Workers’ Wages*;</w:t>
            </w:r>
          </w:p>
          <w:p w14:paraId="60A5D2EA" w14:textId="77777777" w:rsidR="00561A85" w:rsidRPr="00AA108E" w:rsidRDefault="00561A85" w:rsidP="00561A85">
            <w:pPr>
              <w:pStyle w:val="NoSpacing"/>
              <w:rPr>
                <w:rFonts w:ascii="Times New Roman" w:hAnsi="Times New Roman" w:cs="Times New Roman"/>
              </w:rPr>
            </w:pPr>
            <w:r w:rsidRPr="00AA108E">
              <w:rPr>
                <w:rFonts w:ascii="Times New Roman" w:hAnsi="Times New Roman" w:cs="Times New Roman"/>
              </w:rPr>
              <w:t>B. $417 million increase in business costs</w:t>
            </w:r>
          </w:p>
        </w:tc>
      </w:tr>
      <w:tr w:rsidR="00561A85" w:rsidRPr="00AA108E" w14:paraId="6955718F" w14:textId="77777777" w:rsidTr="00AA108E">
        <w:trPr>
          <w:trHeight w:val="1008"/>
        </w:trPr>
        <w:tc>
          <w:tcPr>
            <w:tcW w:w="0" w:type="auto"/>
            <w:tcBorders>
              <w:top w:val="nil"/>
              <w:left w:val="nil"/>
              <w:bottom w:val="nil"/>
              <w:right w:val="nil"/>
            </w:tcBorders>
          </w:tcPr>
          <w:p w14:paraId="164DA655" w14:textId="77777777" w:rsidR="00561A85" w:rsidRPr="00AA108E" w:rsidRDefault="00561A85" w:rsidP="00561A85">
            <w:pPr>
              <w:pStyle w:val="NoSpacing"/>
              <w:jc w:val="center"/>
              <w:rPr>
                <w:rFonts w:ascii="Times New Roman" w:hAnsi="Times New Roman" w:cs="Times New Roman"/>
              </w:rPr>
            </w:pPr>
            <w:r w:rsidRPr="00AA108E">
              <w:rPr>
                <w:rFonts w:ascii="Times New Roman" w:hAnsi="Times New Roman" w:cs="Times New Roman"/>
              </w:rPr>
              <w:t>#2</w:t>
            </w:r>
          </w:p>
          <w:p w14:paraId="3BF2C732" w14:textId="77777777" w:rsidR="00561A85" w:rsidRPr="00AA108E" w:rsidRDefault="00561A85" w:rsidP="00561A85">
            <w:pPr>
              <w:pStyle w:val="NoSpacing"/>
              <w:jc w:val="center"/>
              <w:rPr>
                <w:rFonts w:ascii="Times New Roman" w:hAnsi="Times New Roman" w:cs="Times New Roman"/>
              </w:rPr>
            </w:pPr>
            <w:r w:rsidRPr="00AA108E">
              <w:rPr>
                <w:rFonts w:ascii="Times New Roman" w:hAnsi="Times New Roman" w:cs="Times New Roman"/>
              </w:rPr>
              <w:t>(Worst Case)</w:t>
            </w:r>
          </w:p>
        </w:tc>
        <w:tc>
          <w:tcPr>
            <w:tcW w:w="0" w:type="auto"/>
            <w:tcBorders>
              <w:top w:val="nil"/>
              <w:left w:val="nil"/>
              <w:bottom w:val="nil"/>
              <w:right w:val="nil"/>
            </w:tcBorders>
          </w:tcPr>
          <w:p w14:paraId="6BD0AB78" w14:textId="77777777" w:rsidR="00561A85" w:rsidRPr="00AA108E" w:rsidRDefault="00561A85" w:rsidP="00561A85">
            <w:pPr>
              <w:pStyle w:val="NoSpacing"/>
              <w:rPr>
                <w:rFonts w:ascii="Times New Roman" w:hAnsi="Times New Roman" w:cs="Times New Roman"/>
              </w:rPr>
            </w:pPr>
            <w:r w:rsidRPr="00AA108E">
              <w:rPr>
                <w:rFonts w:ascii="Times New Roman" w:hAnsi="Times New Roman" w:cs="Times New Roman"/>
              </w:rPr>
              <w:t>Base + Spillover</w:t>
            </w:r>
          </w:p>
          <w:p w14:paraId="3F4F006C" w14:textId="77777777" w:rsidR="00561A85" w:rsidRPr="00AA108E" w:rsidRDefault="00561A85" w:rsidP="00561A85">
            <w:pPr>
              <w:pStyle w:val="NoSpacing"/>
              <w:rPr>
                <w:rFonts w:ascii="Times New Roman" w:hAnsi="Times New Roman" w:cs="Times New Roman"/>
              </w:rPr>
            </w:pPr>
            <w:r w:rsidRPr="00AA108E">
              <w:rPr>
                <w:rFonts w:ascii="Times New Roman" w:hAnsi="Times New Roman" w:cs="Times New Roman"/>
              </w:rPr>
              <w:t>(No Offsetting Gains)</w:t>
            </w:r>
          </w:p>
        </w:tc>
        <w:tc>
          <w:tcPr>
            <w:tcW w:w="0" w:type="auto"/>
            <w:tcBorders>
              <w:top w:val="nil"/>
              <w:left w:val="nil"/>
              <w:bottom w:val="nil"/>
              <w:right w:val="nil"/>
            </w:tcBorders>
          </w:tcPr>
          <w:p w14:paraId="54D00361" w14:textId="77777777" w:rsidR="00561A85" w:rsidRPr="00AA108E" w:rsidRDefault="00561A85" w:rsidP="00561A85">
            <w:pPr>
              <w:pStyle w:val="NoSpacing"/>
              <w:rPr>
                <w:rFonts w:ascii="Times New Roman" w:hAnsi="Times New Roman" w:cs="Times New Roman"/>
              </w:rPr>
            </w:pPr>
            <w:r w:rsidRPr="00AA108E">
              <w:rPr>
                <w:rFonts w:ascii="Times New Roman" w:hAnsi="Times New Roman" w:cs="Times New Roman"/>
              </w:rPr>
              <w:t>Scenario 1 plus workers earning $15-$18 in 2014 will also benefit</w:t>
            </w:r>
          </w:p>
        </w:tc>
        <w:tc>
          <w:tcPr>
            <w:tcW w:w="0" w:type="auto"/>
            <w:tcBorders>
              <w:top w:val="nil"/>
              <w:left w:val="nil"/>
              <w:bottom w:val="nil"/>
              <w:right w:val="nil"/>
            </w:tcBorders>
          </w:tcPr>
          <w:p w14:paraId="4B1E7967" w14:textId="77777777" w:rsidR="00561A85" w:rsidRPr="00AA108E" w:rsidRDefault="00561A85" w:rsidP="00561A85">
            <w:pPr>
              <w:pStyle w:val="NoSpacing"/>
              <w:rPr>
                <w:rFonts w:ascii="Times New Roman" w:hAnsi="Times New Roman" w:cs="Times New Roman"/>
              </w:rPr>
            </w:pPr>
            <w:r w:rsidRPr="00AA108E">
              <w:rPr>
                <w:rFonts w:ascii="Times New Roman" w:hAnsi="Times New Roman" w:cs="Times New Roman"/>
              </w:rPr>
              <w:t>A. $493 million increase Workers’ Wages*</w:t>
            </w:r>
          </w:p>
          <w:p w14:paraId="6B244419" w14:textId="77777777" w:rsidR="00561A85" w:rsidRPr="00AA108E" w:rsidRDefault="00561A85" w:rsidP="00561A85">
            <w:pPr>
              <w:pStyle w:val="NoSpacing"/>
              <w:rPr>
                <w:rFonts w:ascii="Times New Roman" w:hAnsi="Times New Roman" w:cs="Times New Roman"/>
              </w:rPr>
            </w:pPr>
            <w:r w:rsidRPr="00AA108E">
              <w:rPr>
                <w:rFonts w:ascii="Times New Roman" w:hAnsi="Times New Roman" w:cs="Times New Roman"/>
              </w:rPr>
              <w:t>B. $531 million increase in business costs</w:t>
            </w:r>
          </w:p>
        </w:tc>
      </w:tr>
      <w:tr w:rsidR="00561A85" w:rsidRPr="00AA108E" w14:paraId="64E656D2" w14:textId="77777777" w:rsidTr="00AA108E">
        <w:trPr>
          <w:trHeight w:val="1008"/>
        </w:trPr>
        <w:tc>
          <w:tcPr>
            <w:tcW w:w="0" w:type="auto"/>
            <w:tcBorders>
              <w:top w:val="nil"/>
              <w:left w:val="nil"/>
              <w:bottom w:val="nil"/>
              <w:right w:val="nil"/>
            </w:tcBorders>
          </w:tcPr>
          <w:p w14:paraId="0DF26C2B" w14:textId="77777777" w:rsidR="00561A85" w:rsidRPr="00AA108E" w:rsidRDefault="00561A85" w:rsidP="00561A85">
            <w:pPr>
              <w:pStyle w:val="NoSpacing"/>
              <w:jc w:val="center"/>
              <w:rPr>
                <w:rFonts w:ascii="Times New Roman" w:hAnsi="Times New Roman" w:cs="Times New Roman"/>
              </w:rPr>
            </w:pPr>
            <w:r w:rsidRPr="00AA108E">
              <w:rPr>
                <w:rFonts w:ascii="Times New Roman" w:hAnsi="Times New Roman" w:cs="Times New Roman"/>
              </w:rPr>
              <w:t>#</w:t>
            </w:r>
            <w:r w:rsidRPr="00AA108E" w:rsidDel="00062EAC">
              <w:rPr>
                <w:rFonts w:ascii="Times New Roman" w:hAnsi="Times New Roman" w:cs="Times New Roman"/>
              </w:rPr>
              <w:t xml:space="preserve"> </w:t>
            </w:r>
            <w:r w:rsidRPr="00AA108E">
              <w:rPr>
                <w:rFonts w:ascii="Times New Roman" w:hAnsi="Times New Roman" w:cs="Times New Roman"/>
              </w:rPr>
              <w:t>3</w:t>
            </w:r>
          </w:p>
        </w:tc>
        <w:tc>
          <w:tcPr>
            <w:tcW w:w="0" w:type="auto"/>
            <w:tcBorders>
              <w:top w:val="nil"/>
              <w:left w:val="nil"/>
              <w:bottom w:val="nil"/>
              <w:right w:val="nil"/>
            </w:tcBorders>
          </w:tcPr>
          <w:p w14:paraId="282C72B5" w14:textId="77777777" w:rsidR="00561A85" w:rsidRPr="00AA108E" w:rsidRDefault="00561A85" w:rsidP="00561A85">
            <w:pPr>
              <w:pStyle w:val="NoSpacing"/>
              <w:rPr>
                <w:rFonts w:ascii="Times New Roman" w:hAnsi="Times New Roman" w:cs="Times New Roman"/>
              </w:rPr>
            </w:pPr>
            <w:r w:rsidRPr="00AA108E">
              <w:rPr>
                <w:rFonts w:ascii="Times New Roman" w:hAnsi="Times New Roman" w:cs="Times New Roman"/>
              </w:rPr>
              <w:t>Base + Spillover + Productivity</w:t>
            </w:r>
          </w:p>
        </w:tc>
        <w:tc>
          <w:tcPr>
            <w:tcW w:w="0" w:type="auto"/>
            <w:tcBorders>
              <w:top w:val="nil"/>
              <w:left w:val="nil"/>
              <w:bottom w:val="nil"/>
              <w:right w:val="nil"/>
            </w:tcBorders>
          </w:tcPr>
          <w:p w14:paraId="4C394F5D" w14:textId="77777777" w:rsidR="00561A85" w:rsidRPr="00AA108E" w:rsidRDefault="00561A85" w:rsidP="00561A85">
            <w:pPr>
              <w:pStyle w:val="NoSpacing"/>
              <w:rPr>
                <w:rFonts w:ascii="Times New Roman" w:hAnsi="Times New Roman" w:cs="Times New Roman"/>
              </w:rPr>
            </w:pPr>
            <w:r w:rsidRPr="00AA108E">
              <w:rPr>
                <w:rFonts w:ascii="Times New Roman" w:hAnsi="Times New Roman" w:cs="Times New Roman"/>
              </w:rPr>
              <w:t>Scenario 2 plus businesses offset 30% of the increase in costs due to increased productivity</w:t>
            </w:r>
          </w:p>
        </w:tc>
        <w:tc>
          <w:tcPr>
            <w:tcW w:w="0" w:type="auto"/>
            <w:tcBorders>
              <w:top w:val="nil"/>
              <w:left w:val="nil"/>
              <w:bottom w:val="nil"/>
              <w:right w:val="nil"/>
            </w:tcBorders>
          </w:tcPr>
          <w:p w14:paraId="4DA672CF" w14:textId="77777777" w:rsidR="00561A85" w:rsidRPr="00AA108E" w:rsidRDefault="00561A85" w:rsidP="00561A85">
            <w:pPr>
              <w:pStyle w:val="NoSpacing"/>
              <w:rPr>
                <w:rFonts w:ascii="Times New Roman" w:hAnsi="Times New Roman" w:cs="Times New Roman"/>
              </w:rPr>
            </w:pPr>
            <w:r w:rsidRPr="00AA108E">
              <w:rPr>
                <w:rFonts w:ascii="Times New Roman" w:hAnsi="Times New Roman" w:cs="Times New Roman"/>
              </w:rPr>
              <w:t>A. $493 million increase Workers’ Wages*</w:t>
            </w:r>
          </w:p>
          <w:p w14:paraId="058F48BE" w14:textId="77777777" w:rsidR="00561A85" w:rsidRPr="00AA108E" w:rsidRDefault="00561A85" w:rsidP="00561A85">
            <w:pPr>
              <w:pStyle w:val="NoSpacing"/>
              <w:rPr>
                <w:rFonts w:ascii="Times New Roman" w:hAnsi="Times New Roman" w:cs="Times New Roman"/>
              </w:rPr>
            </w:pPr>
            <w:r w:rsidRPr="00AA108E">
              <w:rPr>
                <w:rFonts w:ascii="Times New Roman" w:hAnsi="Times New Roman" w:cs="Times New Roman"/>
              </w:rPr>
              <w:t>B. $372 million increase in business costs</w:t>
            </w:r>
          </w:p>
        </w:tc>
      </w:tr>
      <w:tr w:rsidR="00561A85" w:rsidRPr="00AA108E" w14:paraId="068DABAF" w14:textId="77777777" w:rsidTr="00AA108E">
        <w:trPr>
          <w:trHeight w:val="1008"/>
        </w:trPr>
        <w:tc>
          <w:tcPr>
            <w:tcW w:w="0" w:type="auto"/>
            <w:tcBorders>
              <w:top w:val="nil"/>
              <w:left w:val="nil"/>
              <w:bottom w:val="nil"/>
              <w:right w:val="nil"/>
            </w:tcBorders>
          </w:tcPr>
          <w:p w14:paraId="739DA029" w14:textId="77777777" w:rsidR="00561A85" w:rsidRPr="00AA108E" w:rsidRDefault="00561A85" w:rsidP="00561A85">
            <w:pPr>
              <w:pStyle w:val="NoSpacing"/>
              <w:jc w:val="center"/>
              <w:rPr>
                <w:rFonts w:ascii="Times New Roman" w:hAnsi="Times New Roman" w:cs="Times New Roman"/>
              </w:rPr>
            </w:pPr>
            <w:r w:rsidRPr="00AA108E">
              <w:rPr>
                <w:rFonts w:ascii="Times New Roman" w:hAnsi="Times New Roman" w:cs="Times New Roman"/>
              </w:rPr>
              <w:t># 4</w:t>
            </w:r>
          </w:p>
          <w:p w14:paraId="011637FD" w14:textId="77777777" w:rsidR="00561A85" w:rsidRPr="00AA108E" w:rsidRDefault="00561A85" w:rsidP="00561A85">
            <w:pPr>
              <w:pStyle w:val="NoSpacing"/>
              <w:jc w:val="center"/>
              <w:rPr>
                <w:rFonts w:ascii="Times New Roman" w:hAnsi="Times New Roman" w:cs="Times New Roman"/>
              </w:rPr>
            </w:pPr>
            <w:r w:rsidRPr="00AA108E">
              <w:rPr>
                <w:rFonts w:ascii="Times New Roman" w:hAnsi="Times New Roman" w:cs="Times New Roman"/>
              </w:rPr>
              <w:t>(Most Likely Case)</w:t>
            </w:r>
          </w:p>
        </w:tc>
        <w:tc>
          <w:tcPr>
            <w:tcW w:w="0" w:type="auto"/>
            <w:tcBorders>
              <w:top w:val="nil"/>
              <w:left w:val="nil"/>
              <w:bottom w:val="nil"/>
              <w:right w:val="nil"/>
            </w:tcBorders>
          </w:tcPr>
          <w:p w14:paraId="4C6E9863" w14:textId="77777777" w:rsidR="00561A85" w:rsidRPr="00AA108E" w:rsidRDefault="00561A85" w:rsidP="00561A85">
            <w:pPr>
              <w:pStyle w:val="NoSpacing"/>
              <w:rPr>
                <w:rFonts w:ascii="Times New Roman" w:hAnsi="Times New Roman" w:cs="Times New Roman"/>
              </w:rPr>
            </w:pPr>
            <w:r w:rsidRPr="00AA108E">
              <w:rPr>
                <w:rFonts w:ascii="Times New Roman" w:hAnsi="Times New Roman" w:cs="Times New Roman"/>
              </w:rPr>
              <w:t>Base + Spillover + Productivity + Consumption</w:t>
            </w:r>
          </w:p>
        </w:tc>
        <w:tc>
          <w:tcPr>
            <w:tcW w:w="0" w:type="auto"/>
            <w:tcBorders>
              <w:top w:val="nil"/>
              <w:left w:val="nil"/>
              <w:bottom w:val="nil"/>
              <w:right w:val="nil"/>
            </w:tcBorders>
          </w:tcPr>
          <w:p w14:paraId="49D8DFA3" w14:textId="77777777" w:rsidR="00561A85" w:rsidRPr="00AA108E" w:rsidRDefault="00561A85" w:rsidP="00561A85">
            <w:pPr>
              <w:pStyle w:val="NoSpacing"/>
              <w:rPr>
                <w:rFonts w:ascii="Times New Roman" w:hAnsi="Times New Roman" w:cs="Times New Roman"/>
              </w:rPr>
            </w:pPr>
            <w:r w:rsidRPr="00AA108E">
              <w:rPr>
                <w:rFonts w:ascii="Times New Roman" w:hAnsi="Times New Roman" w:cs="Times New Roman"/>
              </w:rPr>
              <w:t>Scenario 3 plus wage gainers will spend all of their additional income on consumption</w:t>
            </w:r>
          </w:p>
        </w:tc>
        <w:tc>
          <w:tcPr>
            <w:tcW w:w="0" w:type="auto"/>
            <w:tcBorders>
              <w:top w:val="nil"/>
              <w:left w:val="nil"/>
              <w:bottom w:val="nil"/>
              <w:right w:val="nil"/>
            </w:tcBorders>
          </w:tcPr>
          <w:p w14:paraId="20085512" w14:textId="77777777" w:rsidR="00561A85" w:rsidRPr="00AA108E" w:rsidRDefault="00561A85" w:rsidP="00561A85">
            <w:pPr>
              <w:pStyle w:val="NoSpacing"/>
              <w:rPr>
                <w:rFonts w:ascii="Times New Roman" w:hAnsi="Times New Roman" w:cs="Times New Roman"/>
              </w:rPr>
            </w:pPr>
            <w:r w:rsidRPr="00AA108E">
              <w:rPr>
                <w:rFonts w:ascii="Times New Roman" w:hAnsi="Times New Roman" w:cs="Times New Roman"/>
              </w:rPr>
              <w:t>A. $493 million increase Workers’ Wages*;</w:t>
            </w:r>
          </w:p>
          <w:p w14:paraId="7AB459BE" w14:textId="77777777" w:rsidR="00561A85" w:rsidRPr="00AA108E" w:rsidRDefault="00561A85" w:rsidP="00561A85">
            <w:pPr>
              <w:pStyle w:val="NoSpacing"/>
              <w:rPr>
                <w:rFonts w:ascii="Times New Roman" w:hAnsi="Times New Roman" w:cs="Times New Roman"/>
              </w:rPr>
            </w:pPr>
            <w:r w:rsidRPr="00AA108E">
              <w:rPr>
                <w:rFonts w:ascii="Times New Roman" w:hAnsi="Times New Roman" w:cs="Times New Roman"/>
              </w:rPr>
              <w:t>B. 0.150%, increases in consumption by DC residents**</w:t>
            </w:r>
          </w:p>
          <w:p w14:paraId="73E3D5CA" w14:textId="77777777" w:rsidR="00561A85" w:rsidRPr="00AA108E" w:rsidRDefault="00561A85" w:rsidP="00561A85">
            <w:pPr>
              <w:pStyle w:val="NoSpacing"/>
              <w:rPr>
                <w:rFonts w:ascii="Times New Roman" w:hAnsi="Times New Roman" w:cs="Times New Roman"/>
              </w:rPr>
            </w:pPr>
            <w:r w:rsidRPr="00AA108E">
              <w:rPr>
                <w:rFonts w:ascii="Times New Roman" w:hAnsi="Times New Roman" w:cs="Times New Roman"/>
              </w:rPr>
              <w:t>C. $372 million increase in business costs.</w:t>
            </w:r>
          </w:p>
        </w:tc>
      </w:tr>
      <w:tr w:rsidR="00561A85" w:rsidRPr="00AA108E" w14:paraId="57D839FA" w14:textId="77777777" w:rsidTr="00AA108E">
        <w:trPr>
          <w:trHeight w:val="1008"/>
        </w:trPr>
        <w:tc>
          <w:tcPr>
            <w:tcW w:w="0" w:type="auto"/>
            <w:tcBorders>
              <w:top w:val="nil"/>
              <w:left w:val="nil"/>
              <w:bottom w:val="single" w:sz="4" w:space="0" w:color="auto"/>
              <w:right w:val="nil"/>
            </w:tcBorders>
          </w:tcPr>
          <w:p w14:paraId="04001173" w14:textId="77777777" w:rsidR="00561A85" w:rsidRPr="00AA108E" w:rsidRDefault="00561A85" w:rsidP="00561A85">
            <w:pPr>
              <w:pStyle w:val="NoSpacing"/>
              <w:jc w:val="center"/>
              <w:rPr>
                <w:rFonts w:ascii="Times New Roman" w:hAnsi="Times New Roman" w:cs="Times New Roman"/>
              </w:rPr>
            </w:pPr>
            <w:r w:rsidRPr="00AA108E">
              <w:rPr>
                <w:rFonts w:ascii="Times New Roman" w:hAnsi="Times New Roman" w:cs="Times New Roman"/>
              </w:rPr>
              <w:t># 5</w:t>
            </w:r>
          </w:p>
          <w:p w14:paraId="11AA1716" w14:textId="77777777" w:rsidR="00561A85" w:rsidRPr="00AA108E" w:rsidRDefault="00561A85" w:rsidP="00561A85">
            <w:pPr>
              <w:pStyle w:val="NoSpacing"/>
              <w:jc w:val="center"/>
              <w:rPr>
                <w:rFonts w:ascii="Times New Roman" w:hAnsi="Times New Roman" w:cs="Times New Roman"/>
              </w:rPr>
            </w:pPr>
            <w:r w:rsidRPr="00AA108E">
              <w:rPr>
                <w:rFonts w:ascii="Times New Roman" w:hAnsi="Times New Roman" w:cs="Times New Roman"/>
              </w:rPr>
              <w:t>(Best Case)</w:t>
            </w:r>
          </w:p>
        </w:tc>
        <w:tc>
          <w:tcPr>
            <w:tcW w:w="0" w:type="auto"/>
            <w:tcBorders>
              <w:top w:val="nil"/>
              <w:left w:val="nil"/>
              <w:bottom w:val="single" w:sz="4" w:space="0" w:color="auto"/>
              <w:right w:val="nil"/>
            </w:tcBorders>
          </w:tcPr>
          <w:p w14:paraId="45446435" w14:textId="77777777" w:rsidR="00561A85" w:rsidRPr="00AA108E" w:rsidRDefault="00561A85" w:rsidP="00561A85">
            <w:pPr>
              <w:pStyle w:val="NoSpacing"/>
              <w:rPr>
                <w:rFonts w:ascii="Times New Roman" w:hAnsi="Times New Roman" w:cs="Times New Roman"/>
              </w:rPr>
            </w:pPr>
            <w:r w:rsidRPr="00AA108E">
              <w:rPr>
                <w:rFonts w:ascii="Times New Roman" w:hAnsi="Times New Roman" w:cs="Times New Roman"/>
              </w:rPr>
              <w:t>Base + Spillover + Consumption + Efficiency Wage</w:t>
            </w:r>
          </w:p>
        </w:tc>
        <w:tc>
          <w:tcPr>
            <w:tcW w:w="0" w:type="auto"/>
            <w:tcBorders>
              <w:top w:val="nil"/>
              <w:left w:val="nil"/>
              <w:bottom w:val="single" w:sz="4" w:space="0" w:color="auto"/>
              <w:right w:val="nil"/>
            </w:tcBorders>
          </w:tcPr>
          <w:p w14:paraId="6BC52E73" w14:textId="77777777" w:rsidR="00561A85" w:rsidRPr="00AA108E" w:rsidRDefault="00561A85" w:rsidP="00561A85">
            <w:pPr>
              <w:pStyle w:val="NoSpacing"/>
              <w:rPr>
                <w:rFonts w:ascii="Times New Roman" w:hAnsi="Times New Roman" w:cs="Times New Roman"/>
              </w:rPr>
            </w:pPr>
            <w:r w:rsidRPr="00AA108E">
              <w:rPr>
                <w:rFonts w:ascii="Times New Roman" w:hAnsi="Times New Roman" w:cs="Times New Roman"/>
              </w:rPr>
              <w:t>Scenario 4 plus offset 75% of the increase in costs due to increased productivity and other efficiencies</w:t>
            </w:r>
          </w:p>
        </w:tc>
        <w:tc>
          <w:tcPr>
            <w:tcW w:w="0" w:type="auto"/>
            <w:tcBorders>
              <w:top w:val="nil"/>
              <w:left w:val="nil"/>
              <w:bottom w:val="single" w:sz="4" w:space="0" w:color="auto"/>
              <w:right w:val="nil"/>
            </w:tcBorders>
          </w:tcPr>
          <w:p w14:paraId="0693F2E2" w14:textId="77777777" w:rsidR="00561A85" w:rsidRPr="00AA108E" w:rsidRDefault="00561A85" w:rsidP="00561A85">
            <w:pPr>
              <w:pStyle w:val="NoSpacing"/>
              <w:rPr>
                <w:rFonts w:ascii="Times New Roman" w:hAnsi="Times New Roman" w:cs="Times New Roman"/>
              </w:rPr>
            </w:pPr>
            <w:r w:rsidRPr="00AA108E">
              <w:rPr>
                <w:rFonts w:ascii="Times New Roman" w:hAnsi="Times New Roman" w:cs="Times New Roman"/>
              </w:rPr>
              <w:t>A. $493 million increase Workers’ Wages*;</w:t>
            </w:r>
          </w:p>
          <w:p w14:paraId="74D97A60" w14:textId="77777777" w:rsidR="00561A85" w:rsidRPr="00AA108E" w:rsidRDefault="00561A85" w:rsidP="00561A85">
            <w:pPr>
              <w:pStyle w:val="NoSpacing"/>
              <w:rPr>
                <w:rFonts w:ascii="Times New Roman" w:hAnsi="Times New Roman" w:cs="Times New Roman"/>
              </w:rPr>
            </w:pPr>
            <w:r w:rsidRPr="00AA108E">
              <w:rPr>
                <w:rFonts w:ascii="Times New Roman" w:hAnsi="Times New Roman" w:cs="Times New Roman"/>
              </w:rPr>
              <w:t>B. 0.150%, increases in consumption by DC residents**</w:t>
            </w:r>
          </w:p>
          <w:p w14:paraId="5638B081" w14:textId="77777777" w:rsidR="00561A85" w:rsidRPr="00AA108E" w:rsidRDefault="00561A85" w:rsidP="00561A85">
            <w:pPr>
              <w:pStyle w:val="NoSpacing"/>
              <w:rPr>
                <w:rFonts w:ascii="Times New Roman" w:hAnsi="Times New Roman" w:cs="Times New Roman"/>
              </w:rPr>
            </w:pPr>
            <w:r w:rsidRPr="00AA108E">
              <w:rPr>
                <w:rFonts w:ascii="Times New Roman" w:hAnsi="Times New Roman" w:cs="Times New Roman"/>
              </w:rPr>
              <w:t>C. $80 million increase in business costs</w:t>
            </w:r>
          </w:p>
        </w:tc>
      </w:tr>
    </w:tbl>
    <w:p w14:paraId="1D3501FE" w14:textId="77777777" w:rsidR="00561A85" w:rsidRDefault="00561A85" w:rsidP="00561A85">
      <w:pPr>
        <w:pStyle w:val="NoSpacing"/>
        <w:rPr>
          <w:rFonts w:ascii="Times New Roman" w:hAnsi="Times New Roman" w:cs="Times New Roman"/>
          <w:sz w:val="20"/>
          <w:szCs w:val="20"/>
        </w:rPr>
      </w:pPr>
    </w:p>
    <w:p w14:paraId="159A1C68" w14:textId="77777777" w:rsidR="00561A85" w:rsidRPr="00AA108E" w:rsidRDefault="00561A85" w:rsidP="00561A85">
      <w:pPr>
        <w:pStyle w:val="NoSpacing"/>
        <w:rPr>
          <w:rFonts w:ascii="Times New Roman" w:hAnsi="Times New Roman" w:cs="Times New Roman"/>
        </w:rPr>
      </w:pPr>
      <w:r w:rsidRPr="00AA108E">
        <w:rPr>
          <w:rFonts w:ascii="Times New Roman" w:hAnsi="Times New Roman" w:cs="Times New Roman"/>
        </w:rPr>
        <w:t>* DC resident employees share 40% of the wage increase.</w:t>
      </w:r>
    </w:p>
    <w:p w14:paraId="54407EEC" w14:textId="77777777" w:rsidR="00561A85" w:rsidRPr="000B6734" w:rsidRDefault="00561A85" w:rsidP="00561A85">
      <w:pPr>
        <w:pStyle w:val="NoSpacing"/>
        <w:rPr>
          <w:rFonts w:ascii="Times New Roman" w:hAnsi="Times New Roman" w:cs="Times New Roman"/>
          <w:sz w:val="20"/>
          <w:szCs w:val="20"/>
        </w:rPr>
      </w:pPr>
      <w:r w:rsidRPr="00AA108E">
        <w:rPr>
          <w:rFonts w:ascii="Times New Roman" w:hAnsi="Times New Roman" w:cs="Times New Roman"/>
        </w:rPr>
        <w:t>** The consumptions by residents of Montgomery county, Prince George county of Maryland, Fairfax county, Arlington county and Alexandra city of Virginia will increase by 0.040%, 0.057%, 0.036%, 0.065% and 0.060% respectively</w:t>
      </w:r>
      <w:r w:rsidRPr="000B6734">
        <w:rPr>
          <w:rFonts w:ascii="Times New Roman" w:hAnsi="Times New Roman" w:cs="Times New Roman"/>
          <w:sz w:val="20"/>
          <w:szCs w:val="20"/>
        </w:rPr>
        <w:t>.</w:t>
      </w:r>
    </w:p>
    <w:p w14:paraId="6ABBB396" w14:textId="77777777" w:rsidR="00561A85" w:rsidRDefault="00561A85">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5000" w:type="pct"/>
        <w:jc w:val="center"/>
        <w:tblLook w:val="04A0" w:firstRow="1" w:lastRow="0" w:firstColumn="1" w:lastColumn="0" w:noHBand="0" w:noVBand="1"/>
      </w:tblPr>
      <w:tblGrid>
        <w:gridCol w:w="1932"/>
        <w:gridCol w:w="1182"/>
        <w:gridCol w:w="1072"/>
        <w:gridCol w:w="974"/>
        <w:gridCol w:w="1036"/>
        <w:gridCol w:w="1212"/>
        <w:gridCol w:w="974"/>
        <w:gridCol w:w="978"/>
      </w:tblGrid>
      <w:tr w:rsidR="008D5EAA" w:rsidRPr="00AA108E" w14:paraId="313D7B61" w14:textId="77777777" w:rsidTr="0098353E">
        <w:trPr>
          <w:jc w:val="center"/>
        </w:trPr>
        <w:tc>
          <w:tcPr>
            <w:tcW w:w="5000" w:type="pct"/>
            <w:gridSpan w:val="8"/>
            <w:tcBorders>
              <w:top w:val="nil"/>
              <w:left w:val="nil"/>
              <w:bottom w:val="single" w:sz="12" w:space="0" w:color="auto"/>
              <w:right w:val="nil"/>
            </w:tcBorders>
          </w:tcPr>
          <w:p w14:paraId="383DADB3" w14:textId="4161C5EB" w:rsidR="008D5EAA" w:rsidRPr="00AA108E" w:rsidRDefault="008D5EAA" w:rsidP="008D5EAA">
            <w:pPr>
              <w:rPr>
                <w:rFonts w:ascii="Times New Roman" w:hAnsi="Times New Roman" w:cs="Times New Roman"/>
                <w:b/>
              </w:rPr>
            </w:pPr>
            <w:r w:rsidRPr="00AA108E">
              <w:rPr>
                <w:rFonts w:ascii="Times New Roman" w:hAnsi="Times New Roman" w:cs="Times New Roman"/>
                <w:b/>
              </w:rPr>
              <w:lastRenderedPageBreak/>
              <w:t xml:space="preserve">Table 5. Employment </w:t>
            </w:r>
            <w:proofErr w:type="spellStart"/>
            <w:r w:rsidRPr="00AA108E">
              <w:rPr>
                <w:rFonts w:ascii="Times New Roman" w:hAnsi="Times New Roman" w:cs="Times New Roman"/>
                <w:b/>
              </w:rPr>
              <w:t>Elasticities</w:t>
            </w:r>
            <w:proofErr w:type="spellEnd"/>
            <w:r w:rsidRPr="00AA108E">
              <w:rPr>
                <w:rFonts w:ascii="Times New Roman" w:hAnsi="Times New Roman" w:cs="Times New Roman"/>
                <w:b/>
              </w:rPr>
              <w:t xml:space="preserve"> and Employment Changes for the District of Columbia’s $15 MWP</w:t>
            </w:r>
          </w:p>
        </w:tc>
      </w:tr>
      <w:tr w:rsidR="00561A85" w:rsidRPr="00AA108E" w14:paraId="23D579CA" w14:textId="77777777" w:rsidTr="0098353E">
        <w:trPr>
          <w:jc w:val="center"/>
        </w:trPr>
        <w:tc>
          <w:tcPr>
            <w:tcW w:w="1042" w:type="pct"/>
            <w:vMerge w:val="restart"/>
            <w:tcBorders>
              <w:top w:val="single" w:sz="12" w:space="0" w:color="auto"/>
              <w:left w:val="nil"/>
              <w:bottom w:val="nil"/>
              <w:right w:val="nil"/>
            </w:tcBorders>
            <w:vAlign w:val="center"/>
          </w:tcPr>
          <w:p w14:paraId="1F3577BA" w14:textId="77777777" w:rsidR="00561A85" w:rsidRPr="00AA108E" w:rsidRDefault="00561A85" w:rsidP="00C63FA0">
            <w:pPr>
              <w:jc w:val="center"/>
              <w:rPr>
                <w:rFonts w:ascii="Times New Roman" w:hAnsi="Times New Roman" w:cs="Times New Roman"/>
              </w:rPr>
            </w:pPr>
            <w:r w:rsidRPr="00AA108E">
              <w:rPr>
                <w:rFonts w:ascii="Times New Roman" w:hAnsi="Times New Roman" w:cs="Times New Roman"/>
              </w:rPr>
              <w:t>Scenario</w:t>
            </w:r>
          </w:p>
        </w:tc>
        <w:tc>
          <w:tcPr>
            <w:tcW w:w="610" w:type="pct"/>
            <w:vMerge w:val="restart"/>
            <w:tcBorders>
              <w:top w:val="single" w:sz="12" w:space="0" w:color="auto"/>
              <w:left w:val="nil"/>
              <w:bottom w:val="nil"/>
              <w:right w:val="nil"/>
            </w:tcBorders>
            <w:vAlign w:val="center"/>
          </w:tcPr>
          <w:p w14:paraId="613EE187" w14:textId="0FDCD201" w:rsidR="00561A85" w:rsidRPr="00AA108E" w:rsidRDefault="00561A85" w:rsidP="00C63FA0">
            <w:pPr>
              <w:pStyle w:val="NoSpacing"/>
              <w:jc w:val="center"/>
              <w:rPr>
                <w:rFonts w:ascii="Times New Roman" w:hAnsi="Times New Roman" w:cs="Times New Roman"/>
              </w:rPr>
            </w:pPr>
            <w:r w:rsidRPr="00AA108E">
              <w:rPr>
                <w:rFonts w:ascii="Times New Roman" w:hAnsi="Times New Roman" w:cs="Times New Roman"/>
              </w:rPr>
              <w:t>CGE</w:t>
            </w:r>
          </w:p>
          <w:p w14:paraId="445ED268" w14:textId="77777777" w:rsidR="00561A85" w:rsidRPr="00AA108E" w:rsidRDefault="00561A85" w:rsidP="00C63FA0">
            <w:pPr>
              <w:pStyle w:val="NoSpacing"/>
              <w:jc w:val="center"/>
              <w:rPr>
                <w:rFonts w:ascii="Times New Roman" w:hAnsi="Times New Roman" w:cs="Times New Roman"/>
              </w:rPr>
            </w:pPr>
            <w:proofErr w:type="spellStart"/>
            <w:r w:rsidRPr="00AA108E">
              <w:rPr>
                <w:rFonts w:ascii="Times New Roman" w:hAnsi="Times New Roman" w:cs="Times New Roman"/>
              </w:rPr>
              <w:t>Elasticities</w:t>
            </w:r>
            <w:proofErr w:type="spellEnd"/>
          </w:p>
          <w:p w14:paraId="04BABBDF" w14:textId="77777777" w:rsidR="00561A85" w:rsidRPr="00AA108E" w:rsidRDefault="00561A85" w:rsidP="00C63FA0">
            <w:pPr>
              <w:pStyle w:val="NoSpacing"/>
              <w:jc w:val="center"/>
              <w:rPr>
                <w:rFonts w:ascii="Times New Roman" w:hAnsi="Times New Roman" w:cs="Times New Roman"/>
              </w:rPr>
            </w:pPr>
            <w:r w:rsidRPr="00AA108E">
              <w:rPr>
                <w:rFonts w:ascii="Times New Roman" w:hAnsi="Times New Roman" w:cs="Times New Roman"/>
              </w:rPr>
              <w:t>in</w:t>
            </w:r>
          </w:p>
          <w:p w14:paraId="0AC6168F" w14:textId="77777777" w:rsidR="00561A85" w:rsidRPr="00AA108E" w:rsidRDefault="00561A85" w:rsidP="00C63FA0">
            <w:pPr>
              <w:pStyle w:val="NoSpacing"/>
              <w:jc w:val="center"/>
              <w:rPr>
                <w:rFonts w:ascii="Times New Roman" w:hAnsi="Times New Roman" w:cs="Times New Roman"/>
              </w:rPr>
            </w:pPr>
            <w:r w:rsidRPr="00AA108E">
              <w:rPr>
                <w:rFonts w:ascii="Times New Roman" w:hAnsi="Times New Roman" w:cs="Times New Roman"/>
              </w:rPr>
              <w:t>(2021)</w:t>
            </w:r>
          </w:p>
        </w:tc>
        <w:tc>
          <w:tcPr>
            <w:tcW w:w="3348" w:type="pct"/>
            <w:gridSpan w:val="6"/>
            <w:tcBorders>
              <w:top w:val="single" w:sz="12" w:space="0" w:color="auto"/>
              <w:left w:val="nil"/>
              <w:bottom w:val="single" w:sz="4" w:space="0" w:color="auto"/>
              <w:right w:val="nil"/>
            </w:tcBorders>
            <w:vAlign w:val="center"/>
          </w:tcPr>
          <w:p w14:paraId="6C5C166E" w14:textId="77777777" w:rsidR="00561A85" w:rsidRPr="00AA108E" w:rsidRDefault="00561A85" w:rsidP="00C63FA0">
            <w:pPr>
              <w:pStyle w:val="NoSpacing"/>
              <w:jc w:val="center"/>
              <w:rPr>
                <w:rFonts w:ascii="Times New Roman" w:hAnsi="Times New Roman" w:cs="Times New Roman"/>
              </w:rPr>
            </w:pPr>
            <w:r w:rsidRPr="00AA108E">
              <w:rPr>
                <w:rFonts w:ascii="Times New Roman" w:hAnsi="Times New Roman" w:cs="Times New Roman"/>
              </w:rPr>
              <w:t>Employment Changes</w:t>
            </w:r>
          </w:p>
        </w:tc>
      </w:tr>
      <w:tr w:rsidR="00561A85" w:rsidRPr="00AA108E" w14:paraId="0D24DF04" w14:textId="77777777" w:rsidTr="0098353E">
        <w:trPr>
          <w:jc w:val="center"/>
        </w:trPr>
        <w:tc>
          <w:tcPr>
            <w:tcW w:w="1042" w:type="pct"/>
            <w:vMerge/>
            <w:tcBorders>
              <w:top w:val="nil"/>
              <w:left w:val="nil"/>
              <w:bottom w:val="single" w:sz="4" w:space="0" w:color="auto"/>
              <w:right w:val="nil"/>
            </w:tcBorders>
            <w:vAlign w:val="center"/>
          </w:tcPr>
          <w:p w14:paraId="4FAE0FBA" w14:textId="77777777" w:rsidR="00561A85" w:rsidRPr="00AA108E" w:rsidRDefault="00561A85" w:rsidP="00C63FA0">
            <w:pPr>
              <w:jc w:val="center"/>
              <w:rPr>
                <w:rFonts w:ascii="Times New Roman" w:hAnsi="Times New Roman" w:cs="Times New Roman"/>
              </w:rPr>
            </w:pPr>
          </w:p>
        </w:tc>
        <w:tc>
          <w:tcPr>
            <w:tcW w:w="610" w:type="pct"/>
            <w:vMerge/>
            <w:tcBorders>
              <w:top w:val="nil"/>
              <w:left w:val="nil"/>
              <w:bottom w:val="single" w:sz="4" w:space="0" w:color="auto"/>
              <w:right w:val="nil"/>
            </w:tcBorders>
            <w:vAlign w:val="center"/>
          </w:tcPr>
          <w:p w14:paraId="639E2823" w14:textId="77777777" w:rsidR="00561A85" w:rsidRPr="00AA108E" w:rsidRDefault="00561A85" w:rsidP="00C63FA0">
            <w:pPr>
              <w:pStyle w:val="NoSpacing"/>
              <w:jc w:val="center"/>
              <w:rPr>
                <w:rFonts w:ascii="Times New Roman" w:hAnsi="Times New Roman" w:cs="Times New Roman"/>
              </w:rPr>
            </w:pPr>
          </w:p>
        </w:tc>
        <w:tc>
          <w:tcPr>
            <w:tcW w:w="564" w:type="pct"/>
            <w:tcBorders>
              <w:top w:val="nil"/>
              <w:left w:val="nil"/>
              <w:bottom w:val="single" w:sz="4" w:space="0" w:color="auto"/>
              <w:right w:val="nil"/>
            </w:tcBorders>
            <w:vAlign w:val="center"/>
          </w:tcPr>
          <w:p w14:paraId="4576B130" w14:textId="77777777" w:rsidR="00561A85" w:rsidRPr="00AA108E" w:rsidRDefault="00561A85" w:rsidP="00C63FA0">
            <w:pPr>
              <w:pStyle w:val="NoSpacing"/>
              <w:jc w:val="center"/>
              <w:rPr>
                <w:rFonts w:ascii="Times New Roman" w:hAnsi="Times New Roman" w:cs="Times New Roman"/>
              </w:rPr>
            </w:pPr>
            <w:r w:rsidRPr="00AA108E">
              <w:rPr>
                <w:rFonts w:ascii="Times New Roman" w:hAnsi="Times New Roman" w:cs="Times New Roman"/>
              </w:rPr>
              <w:t>For DC Residents (2021)</w:t>
            </w:r>
          </w:p>
        </w:tc>
        <w:tc>
          <w:tcPr>
            <w:tcW w:w="517" w:type="pct"/>
            <w:tcBorders>
              <w:top w:val="nil"/>
              <w:left w:val="nil"/>
              <w:bottom w:val="single" w:sz="4" w:space="0" w:color="auto"/>
              <w:right w:val="nil"/>
            </w:tcBorders>
            <w:vAlign w:val="center"/>
          </w:tcPr>
          <w:p w14:paraId="75785C8B" w14:textId="77777777" w:rsidR="00561A85" w:rsidRPr="00AA108E" w:rsidRDefault="00561A85" w:rsidP="00C63FA0">
            <w:pPr>
              <w:pStyle w:val="NoSpacing"/>
              <w:jc w:val="center"/>
              <w:rPr>
                <w:rFonts w:ascii="Times New Roman" w:hAnsi="Times New Roman" w:cs="Times New Roman"/>
              </w:rPr>
            </w:pPr>
            <w:r w:rsidRPr="00AA108E">
              <w:rPr>
                <w:rFonts w:ascii="Times New Roman" w:hAnsi="Times New Roman" w:cs="Times New Roman"/>
              </w:rPr>
              <w:t>For All Workers (2021)</w:t>
            </w:r>
          </w:p>
        </w:tc>
        <w:tc>
          <w:tcPr>
            <w:tcW w:w="563" w:type="pct"/>
            <w:tcBorders>
              <w:top w:val="nil"/>
              <w:left w:val="nil"/>
              <w:bottom w:val="single" w:sz="4" w:space="0" w:color="auto"/>
              <w:right w:val="nil"/>
            </w:tcBorders>
            <w:vAlign w:val="center"/>
          </w:tcPr>
          <w:p w14:paraId="3824DB77" w14:textId="77777777" w:rsidR="00561A85" w:rsidRPr="00AA108E" w:rsidRDefault="00561A85" w:rsidP="00C63FA0">
            <w:pPr>
              <w:pStyle w:val="NoSpacing"/>
              <w:jc w:val="center"/>
              <w:rPr>
                <w:rFonts w:ascii="Times New Roman" w:hAnsi="Times New Roman" w:cs="Times New Roman"/>
              </w:rPr>
            </w:pPr>
            <w:r w:rsidRPr="00AA108E">
              <w:rPr>
                <w:rFonts w:ascii="Times New Roman" w:hAnsi="Times New Roman" w:cs="Times New Roman"/>
              </w:rPr>
              <w:t>DC Share</w:t>
            </w:r>
          </w:p>
          <w:p w14:paraId="79042869" w14:textId="77777777" w:rsidR="00561A85" w:rsidRPr="00AA108E" w:rsidRDefault="00561A85" w:rsidP="00C63FA0">
            <w:pPr>
              <w:pStyle w:val="NoSpacing"/>
              <w:jc w:val="center"/>
              <w:rPr>
                <w:rFonts w:ascii="Times New Roman" w:hAnsi="Times New Roman" w:cs="Times New Roman"/>
              </w:rPr>
            </w:pPr>
            <w:r w:rsidRPr="00AA108E">
              <w:rPr>
                <w:rFonts w:ascii="Times New Roman" w:hAnsi="Times New Roman" w:cs="Times New Roman"/>
              </w:rPr>
              <w:t>(2021)</w:t>
            </w:r>
          </w:p>
        </w:tc>
        <w:tc>
          <w:tcPr>
            <w:tcW w:w="657" w:type="pct"/>
            <w:tcBorders>
              <w:top w:val="single" w:sz="4" w:space="0" w:color="auto"/>
              <w:left w:val="nil"/>
              <w:bottom w:val="single" w:sz="4" w:space="0" w:color="auto"/>
              <w:right w:val="nil"/>
            </w:tcBorders>
            <w:vAlign w:val="center"/>
          </w:tcPr>
          <w:p w14:paraId="2F8F4F96" w14:textId="77777777" w:rsidR="00561A85" w:rsidRPr="00AA108E" w:rsidRDefault="00561A85" w:rsidP="00C63FA0">
            <w:pPr>
              <w:pStyle w:val="NoSpacing"/>
              <w:jc w:val="center"/>
              <w:rPr>
                <w:rFonts w:ascii="Times New Roman" w:hAnsi="Times New Roman" w:cs="Times New Roman"/>
              </w:rPr>
            </w:pPr>
            <w:r w:rsidRPr="00AA108E">
              <w:rPr>
                <w:rFonts w:ascii="Times New Roman" w:hAnsi="Times New Roman" w:cs="Times New Roman"/>
              </w:rPr>
              <w:t>For DC Residents (2026)</w:t>
            </w:r>
          </w:p>
        </w:tc>
        <w:tc>
          <w:tcPr>
            <w:tcW w:w="515" w:type="pct"/>
            <w:tcBorders>
              <w:top w:val="nil"/>
              <w:left w:val="nil"/>
              <w:bottom w:val="single" w:sz="4" w:space="0" w:color="auto"/>
              <w:right w:val="nil"/>
            </w:tcBorders>
            <w:vAlign w:val="center"/>
          </w:tcPr>
          <w:p w14:paraId="27ED08AF" w14:textId="77777777" w:rsidR="00561A85" w:rsidRPr="00AA108E" w:rsidRDefault="00561A85" w:rsidP="00C63FA0">
            <w:pPr>
              <w:pStyle w:val="NoSpacing"/>
              <w:jc w:val="center"/>
              <w:rPr>
                <w:rFonts w:ascii="Times New Roman" w:hAnsi="Times New Roman" w:cs="Times New Roman"/>
              </w:rPr>
            </w:pPr>
            <w:r w:rsidRPr="00AA108E">
              <w:rPr>
                <w:rFonts w:ascii="Times New Roman" w:hAnsi="Times New Roman" w:cs="Times New Roman"/>
              </w:rPr>
              <w:t>For All Workers</w:t>
            </w:r>
          </w:p>
          <w:p w14:paraId="4B72D739" w14:textId="77777777" w:rsidR="00561A85" w:rsidRPr="00AA108E" w:rsidRDefault="00561A85" w:rsidP="00C63FA0">
            <w:pPr>
              <w:pStyle w:val="NoSpacing"/>
              <w:jc w:val="center"/>
              <w:rPr>
                <w:rFonts w:ascii="Times New Roman" w:hAnsi="Times New Roman" w:cs="Times New Roman"/>
              </w:rPr>
            </w:pPr>
            <w:r w:rsidRPr="00AA108E">
              <w:rPr>
                <w:rFonts w:ascii="Times New Roman" w:hAnsi="Times New Roman" w:cs="Times New Roman"/>
              </w:rPr>
              <w:t>(2026)</w:t>
            </w:r>
          </w:p>
        </w:tc>
        <w:tc>
          <w:tcPr>
            <w:tcW w:w="532" w:type="pct"/>
            <w:tcBorders>
              <w:top w:val="nil"/>
              <w:left w:val="nil"/>
              <w:bottom w:val="single" w:sz="4" w:space="0" w:color="auto"/>
              <w:right w:val="nil"/>
            </w:tcBorders>
            <w:vAlign w:val="center"/>
          </w:tcPr>
          <w:p w14:paraId="0DF56BEA" w14:textId="77777777" w:rsidR="00561A85" w:rsidRPr="00AA108E" w:rsidRDefault="00561A85" w:rsidP="00C63FA0">
            <w:pPr>
              <w:pStyle w:val="NoSpacing"/>
              <w:jc w:val="center"/>
              <w:rPr>
                <w:rFonts w:ascii="Times New Roman" w:hAnsi="Times New Roman" w:cs="Times New Roman"/>
              </w:rPr>
            </w:pPr>
            <w:r w:rsidRPr="00AA108E">
              <w:rPr>
                <w:rFonts w:ascii="Times New Roman" w:hAnsi="Times New Roman" w:cs="Times New Roman"/>
              </w:rPr>
              <w:t>DC Share</w:t>
            </w:r>
          </w:p>
          <w:p w14:paraId="1B39A2BD" w14:textId="77777777" w:rsidR="00561A85" w:rsidRPr="00AA108E" w:rsidRDefault="00561A85" w:rsidP="00C63FA0">
            <w:pPr>
              <w:pStyle w:val="NoSpacing"/>
              <w:jc w:val="center"/>
              <w:rPr>
                <w:rFonts w:ascii="Times New Roman" w:hAnsi="Times New Roman" w:cs="Times New Roman"/>
              </w:rPr>
            </w:pPr>
            <w:r w:rsidRPr="00AA108E">
              <w:rPr>
                <w:rFonts w:ascii="Times New Roman" w:hAnsi="Times New Roman" w:cs="Times New Roman"/>
              </w:rPr>
              <w:t>(2026)</w:t>
            </w:r>
          </w:p>
        </w:tc>
      </w:tr>
      <w:tr w:rsidR="00561A85" w:rsidRPr="00AA108E" w14:paraId="6B1492A2" w14:textId="77777777" w:rsidTr="0098353E">
        <w:trPr>
          <w:trHeight w:val="359"/>
          <w:jc w:val="center"/>
        </w:trPr>
        <w:tc>
          <w:tcPr>
            <w:tcW w:w="1042" w:type="pct"/>
            <w:tcBorders>
              <w:top w:val="single" w:sz="4" w:space="0" w:color="auto"/>
              <w:left w:val="nil"/>
              <w:bottom w:val="nil"/>
              <w:right w:val="nil"/>
            </w:tcBorders>
            <w:vAlign w:val="center"/>
          </w:tcPr>
          <w:p w14:paraId="5A8C5253" w14:textId="08FF632B" w:rsidR="00561A85" w:rsidRPr="00AA108E" w:rsidRDefault="00561A85" w:rsidP="00C63FA0">
            <w:pPr>
              <w:spacing w:line="480" w:lineRule="auto"/>
              <w:jc w:val="center"/>
              <w:rPr>
                <w:rFonts w:ascii="Times New Roman" w:hAnsi="Times New Roman" w:cs="Times New Roman"/>
              </w:rPr>
            </w:pPr>
            <w:r w:rsidRPr="00AA108E">
              <w:rPr>
                <w:rFonts w:ascii="Times New Roman" w:hAnsi="Times New Roman" w:cs="Times New Roman"/>
              </w:rPr>
              <w:t>Worst Case</w:t>
            </w:r>
          </w:p>
        </w:tc>
        <w:tc>
          <w:tcPr>
            <w:tcW w:w="610" w:type="pct"/>
            <w:tcBorders>
              <w:top w:val="single" w:sz="4" w:space="0" w:color="auto"/>
              <w:left w:val="nil"/>
              <w:bottom w:val="nil"/>
              <w:right w:val="nil"/>
            </w:tcBorders>
            <w:vAlign w:val="center"/>
          </w:tcPr>
          <w:p w14:paraId="543F2AFE" w14:textId="77777777" w:rsidR="00561A85" w:rsidRPr="00AA108E" w:rsidRDefault="00561A85" w:rsidP="00C63FA0">
            <w:pPr>
              <w:spacing w:line="480" w:lineRule="auto"/>
              <w:jc w:val="center"/>
              <w:rPr>
                <w:rFonts w:ascii="Times New Roman" w:hAnsi="Times New Roman" w:cs="Times New Roman"/>
              </w:rPr>
            </w:pPr>
            <w:r w:rsidRPr="00AA108E">
              <w:rPr>
                <w:rFonts w:ascii="Times New Roman" w:hAnsi="Times New Roman" w:cs="Times New Roman"/>
              </w:rPr>
              <w:t>-0.11</w:t>
            </w:r>
          </w:p>
        </w:tc>
        <w:tc>
          <w:tcPr>
            <w:tcW w:w="564" w:type="pct"/>
            <w:tcBorders>
              <w:top w:val="single" w:sz="4" w:space="0" w:color="auto"/>
              <w:left w:val="nil"/>
              <w:bottom w:val="nil"/>
              <w:right w:val="nil"/>
            </w:tcBorders>
            <w:vAlign w:val="center"/>
          </w:tcPr>
          <w:p w14:paraId="1661413F" w14:textId="77777777" w:rsidR="00561A85" w:rsidRPr="00AA108E" w:rsidRDefault="00561A85" w:rsidP="00C63FA0">
            <w:pPr>
              <w:spacing w:line="480" w:lineRule="auto"/>
              <w:jc w:val="center"/>
              <w:rPr>
                <w:rFonts w:ascii="Times New Roman" w:hAnsi="Times New Roman" w:cs="Times New Roman"/>
              </w:rPr>
            </w:pPr>
            <w:r w:rsidRPr="00AA108E">
              <w:rPr>
                <w:rFonts w:ascii="Times New Roman" w:hAnsi="Times New Roman" w:cs="Times New Roman"/>
              </w:rPr>
              <w:t>-1,680</w:t>
            </w:r>
          </w:p>
        </w:tc>
        <w:tc>
          <w:tcPr>
            <w:tcW w:w="517" w:type="pct"/>
            <w:tcBorders>
              <w:top w:val="single" w:sz="4" w:space="0" w:color="auto"/>
              <w:left w:val="nil"/>
              <w:bottom w:val="nil"/>
              <w:right w:val="nil"/>
            </w:tcBorders>
            <w:vAlign w:val="center"/>
          </w:tcPr>
          <w:p w14:paraId="2C10C1BD" w14:textId="77777777" w:rsidR="00561A85" w:rsidRPr="00AA108E" w:rsidRDefault="00561A85" w:rsidP="00C63FA0">
            <w:pPr>
              <w:pStyle w:val="NoSpacing"/>
              <w:spacing w:line="480" w:lineRule="auto"/>
              <w:jc w:val="center"/>
              <w:rPr>
                <w:rFonts w:ascii="Times New Roman" w:hAnsi="Times New Roman" w:cs="Times New Roman"/>
              </w:rPr>
            </w:pPr>
            <w:r w:rsidRPr="00AA108E">
              <w:rPr>
                <w:rFonts w:ascii="Times New Roman" w:hAnsi="Times New Roman" w:cs="Times New Roman"/>
              </w:rPr>
              <w:t>-2,758</w:t>
            </w:r>
          </w:p>
        </w:tc>
        <w:tc>
          <w:tcPr>
            <w:tcW w:w="563" w:type="pct"/>
            <w:tcBorders>
              <w:top w:val="single" w:sz="4" w:space="0" w:color="auto"/>
              <w:left w:val="nil"/>
              <w:bottom w:val="nil"/>
              <w:right w:val="nil"/>
            </w:tcBorders>
            <w:vAlign w:val="center"/>
          </w:tcPr>
          <w:p w14:paraId="19E53DD0" w14:textId="470A10D7" w:rsidR="00561A85" w:rsidRPr="00AA108E" w:rsidRDefault="00561A85" w:rsidP="00C63FA0">
            <w:pPr>
              <w:spacing w:line="480" w:lineRule="auto"/>
              <w:jc w:val="center"/>
              <w:rPr>
                <w:rFonts w:ascii="Times New Roman" w:hAnsi="Times New Roman" w:cs="Times New Roman"/>
              </w:rPr>
            </w:pPr>
            <w:r w:rsidRPr="00AA108E">
              <w:rPr>
                <w:rFonts w:ascii="Times New Roman" w:hAnsi="Times New Roman" w:cs="Times New Roman"/>
                <w:color w:val="000000"/>
              </w:rPr>
              <w:t>60.9%</w:t>
            </w:r>
          </w:p>
        </w:tc>
        <w:tc>
          <w:tcPr>
            <w:tcW w:w="657" w:type="pct"/>
            <w:tcBorders>
              <w:top w:val="single" w:sz="4" w:space="0" w:color="auto"/>
              <w:left w:val="nil"/>
              <w:bottom w:val="nil"/>
              <w:right w:val="nil"/>
            </w:tcBorders>
            <w:vAlign w:val="center"/>
          </w:tcPr>
          <w:p w14:paraId="0A81195A" w14:textId="77777777" w:rsidR="00561A85" w:rsidRPr="00AA108E" w:rsidRDefault="00561A85" w:rsidP="00C63FA0">
            <w:pPr>
              <w:spacing w:line="480" w:lineRule="auto"/>
              <w:jc w:val="center"/>
              <w:rPr>
                <w:rFonts w:ascii="Times New Roman" w:hAnsi="Times New Roman" w:cs="Times New Roman"/>
              </w:rPr>
            </w:pPr>
            <w:r w:rsidRPr="00AA108E">
              <w:rPr>
                <w:rFonts w:ascii="Times New Roman" w:hAnsi="Times New Roman" w:cs="Times New Roman"/>
              </w:rPr>
              <w:t>-2,757</w:t>
            </w:r>
          </w:p>
        </w:tc>
        <w:tc>
          <w:tcPr>
            <w:tcW w:w="515" w:type="pct"/>
            <w:tcBorders>
              <w:top w:val="single" w:sz="4" w:space="0" w:color="auto"/>
              <w:left w:val="nil"/>
              <w:bottom w:val="nil"/>
              <w:right w:val="nil"/>
            </w:tcBorders>
            <w:vAlign w:val="center"/>
          </w:tcPr>
          <w:p w14:paraId="15B63B6F" w14:textId="77777777" w:rsidR="00561A85" w:rsidRPr="00AA108E" w:rsidRDefault="00561A85" w:rsidP="00C63FA0">
            <w:pPr>
              <w:pStyle w:val="NoSpacing"/>
              <w:spacing w:line="480" w:lineRule="auto"/>
              <w:jc w:val="center"/>
              <w:rPr>
                <w:rFonts w:ascii="Times New Roman" w:hAnsi="Times New Roman" w:cs="Times New Roman"/>
              </w:rPr>
            </w:pPr>
            <w:r w:rsidRPr="00AA108E">
              <w:rPr>
                <w:rFonts w:ascii="Times New Roman" w:hAnsi="Times New Roman" w:cs="Times New Roman"/>
              </w:rPr>
              <w:t>-3,597</w:t>
            </w:r>
          </w:p>
        </w:tc>
        <w:tc>
          <w:tcPr>
            <w:tcW w:w="532" w:type="pct"/>
            <w:tcBorders>
              <w:top w:val="single" w:sz="4" w:space="0" w:color="auto"/>
              <w:left w:val="nil"/>
              <w:bottom w:val="nil"/>
              <w:right w:val="nil"/>
            </w:tcBorders>
            <w:vAlign w:val="center"/>
          </w:tcPr>
          <w:p w14:paraId="0B12CB79" w14:textId="77777777" w:rsidR="00561A85" w:rsidRPr="00AA108E" w:rsidRDefault="00561A85" w:rsidP="00C63FA0">
            <w:pPr>
              <w:spacing w:line="480" w:lineRule="auto"/>
              <w:jc w:val="center"/>
              <w:rPr>
                <w:rFonts w:ascii="Times New Roman" w:hAnsi="Times New Roman" w:cs="Times New Roman"/>
                <w:color w:val="000000"/>
              </w:rPr>
            </w:pPr>
            <w:r w:rsidRPr="00AA108E">
              <w:rPr>
                <w:rFonts w:ascii="Times New Roman" w:hAnsi="Times New Roman" w:cs="Times New Roman"/>
                <w:color w:val="000000"/>
              </w:rPr>
              <w:t>76.6%</w:t>
            </w:r>
          </w:p>
        </w:tc>
      </w:tr>
      <w:tr w:rsidR="00561A85" w:rsidRPr="00AA108E" w14:paraId="421F2F13" w14:textId="77777777" w:rsidTr="0098353E">
        <w:trPr>
          <w:jc w:val="center"/>
        </w:trPr>
        <w:tc>
          <w:tcPr>
            <w:tcW w:w="1042" w:type="pct"/>
            <w:tcBorders>
              <w:top w:val="nil"/>
              <w:left w:val="nil"/>
              <w:bottom w:val="nil"/>
              <w:right w:val="nil"/>
            </w:tcBorders>
            <w:vAlign w:val="center"/>
          </w:tcPr>
          <w:p w14:paraId="0F4A3B1A" w14:textId="488C1581" w:rsidR="00561A85" w:rsidRPr="00AA108E" w:rsidRDefault="00561A85" w:rsidP="00C63FA0">
            <w:pPr>
              <w:pStyle w:val="NoSpacing"/>
              <w:spacing w:line="480" w:lineRule="auto"/>
              <w:jc w:val="center"/>
              <w:rPr>
                <w:rFonts w:ascii="Times New Roman" w:hAnsi="Times New Roman" w:cs="Times New Roman"/>
              </w:rPr>
            </w:pPr>
            <w:r w:rsidRPr="00AA108E">
              <w:rPr>
                <w:rFonts w:ascii="Times New Roman" w:hAnsi="Times New Roman" w:cs="Times New Roman"/>
              </w:rPr>
              <w:t>Most Likely Case</w:t>
            </w:r>
          </w:p>
        </w:tc>
        <w:tc>
          <w:tcPr>
            <w:tcW w:w="610" w:type="pct"/>
            <w:tcBorders>
              <w:top w:val="nil"/>
              <w:left w:val="nil"/>
              <w:bottom w:val="nil"/>
              <w:right w:val="nil"/>
            </w:tcBorders>
            <w:vAlign w:val="center"/>
          </w:tcPr>
          <w:p w14:paraId="2DCA1DCD" w14:textId="77777777" w:rsidR="00561A85" w:rsidRPr="00AA108E" w:rsidRDefault="00561A85" w:rsidP="00C63FA0">
            <w:pPr>
              <w:spacing w:line="480" w:lineRule="auto"/>
              <w:jc w:val="center"/>
              <w:rPr>
                <w:rFonts w:ascii="Times New Roman" w:hAnsi="Times New Roman" w:cs="Times New Roman"/>
              </w:rPr>
            </w:pPr>
            <w:r w:rsidRPr="00AA108E">
              <w:rPr>
                <w:rFonts w:ascii="Times New Roman" w:hAnsi="Times New Roman" w:cs="Times New Roman"/>
              </w:rPr>
              <w:t>-0.09</w:t>
            </w:r>
          </w:p>
        </w:tc>
        <w:tc>
          <w:tcPr>
            <w:tcW w:w="564" w:type="pct"/>
            <w:tcBorders>
              <w:top w:val="nil"/>
              <w:left w:val="nil"/>
              <w:bottom w:val="nil"/>
              <w:right w:val="nil"/>
            </w:tcBorders>
            <w:vAlign w:val="center"/>
          </w:tcPr>
          <w:p w14:paraId="3DE614A5" w14:textId="77777777" w:rsidR="00561A85" w:rsidRPr="00AA108E" w:rsidRDefault="00561A85" w:rsidP="00C63FA0">
            <w:pPr>
              <w:spacing w:line="480" w:lineRule="auto"/>
              <w:jc w:val="center"/>
              <w:rPr>
                <w:rFonts w:ascii="Times New Roman" w:hAnsi="Times New Roman" w:cs="Times New Roman"/>
              </w:rPr>
            </w:pPr>
            <w:r w:rsidRPr="00AA108E">
              <w:rPr>
                <w:rFonts w:ascii="Times New Roman" w:hAnsi="Times New Roman" w:cs="Times New Roman"/>
              </w:rPr>
              <w:t>-1,074</w:t>
            </w:r>
          </w:p>
        </w:tc>
        <w:tc>
          <w:tcPr>
            <w:tcW w:w="517" w:type="pct"/>
            <w:tcBorders>
              <w:top w:val="nil"/>
              <w:left w:val="nil"/>
              <w:bottom w:val="nil"/>
              <w:right w:val="nil"/>
            </w:tcBorders>
            <w:vAlign w:val="center"/>
          </w:tcPr>
          <w:p w14:paraId="3EB2C93F" w14:textId="77777777" w:rsidR="00561A85" w:rsidRPr="00AA108E" w:rsidRDefault="00561A85" w:rsidP="00C63FA0">
            <w:pPr>
              <w:pStyle w:val="NoSpacing"/>
              <w:spacing w:line="480" w:lineRule="auto"/>
              <w:jc w:val="center"/>
              <w:rPr>
                <w:rFonts w:ascii="Times New Roman" w:hAnsi="Times New Roman" w:cs="Times New Roman"/>
              </w:rPr>
            </w:pPr>
            <w:r w:rsidRPr="00AA108E">
              <w:rPr>
                <w:rFonts w:ascii="Times New Roman" w:hAnsi="Times New Roman" w:cs="Times New Roman"/>
              </w:rPr>
              <w:t>-1,652</w:t>
            </w:r>
          </w:p>
        </w:tc>
        <w:tc>
          <w:tcPr>
            <w:tcW w:w="563" w:type="pct"/>
            <w:tcBorders>
              <w:top w:val="nil"/>
              <w:left w:val="nil"/>
              <w:bottom w:val="nil"/>
              <w:right w:val="nil"/>
            </w:tcBorders>
            <w:vAlign w:val="center"/>
          </w:tcPr>
          <w:p w14:paraId="6BDF3E6A" w14:textId="77777777" w:rsidR="00561A85" w:rsidRPr="00AA108E" w:rsidRDefault="00561A85" w:rsidP="00C63FA0">
            <w:pPr>
              <w:spacing w:line="480" w:lineRule="auto"/>
              <w:jc w:val="center"/>
              <w:rPr>
                <w:rFonts w:ascii="Times New Roman" w:hAnsi="Times New Roman" w:cs="Times New Roman"/>
              </w:rPr>
            </w:pPr>
            <w:r w:rsidRPr="00AA108E">
              <w:rPr>
                <w:rFonts w:ascii="Times New Roman" w:hAnsi="Times New Roman" w:cs="Times New Roman"/>
                <w:color w:val="000000"/>
              </w:rPr>
              <w:t>65.0%</w:t>
            </w:r>
          </w:p>
        </w:tc>
        <w:tc>
          <w:tcPr>
            <w:tcW w:w="657" w:type="pct"/>
            <w:tcBorders>
              <w:top w:val="nil"/>
              <w:left w:val="nil"/>
              <w:bottom w:val="nil"/>
              <w:right w:val="nil"/>
            </w:tcBorders>
            <w:vAlign w:val="center"/>
          </w:tcPr>
          <w:p w14:paraId="6E6A621D" w14:textId="77777777" w:rsidR="00561A85" w:rsidRPr="00AA108E" w:rsidRDefault="00561A85" w:rsidP="00C63FA0">
            <w:pPr>
              <w:spacing w:line="480" w:lineRule="auto"/>
              <w:jc w:val="center"/>
              <w:rPr>
                <w:rFonts w:ascii="Times New Roman" w:hAnsi="Times New Roman" w:cs="Times New Roman"/>
              </w:rPr>
            </w:pPr>
            <w:r w:rsidRPr="00AA108E">
              <w:rPr>
                <w:rFonts w:ascii="Times New Roman" w:hAnsi="Times New Roman" w:cs="Times New Roman"/>
              </w:rPr>
              <w:t>-1,860</w:t>
            </w:r>
          </w:p>
        </w:tc>
        <w:tc>
          <w:tcPr>
            <w:tcW w:w="515" w:type="pct"/>
            <w:tcBorders>
              <w:top w:val="nil"/>
              <w:left w:val="nil"/>
              <w:bottom w:val="nil"/>
              <w:right w:val="nil"/>
            </w:tcBorders>
            <w:vAlign w:val="center"/>
          </w:tcPr>
          <w:p w14:paraId="0242EB40" w14:textId="77777777" w:rsidR="00561A85" w:rsidRPr="00AA108E" w:rsidRDefault="00561A85" w:rsidP="00C63FA0">
            <w:pPr>
              <w:spacing w:line="480" w:lineRule="auto"/>
              <w:jc w:val="center"/>
              <w:rPr>
                <w:rFonts w:ascii="Times New Roman" w:hAnsi="Times New Roman" w:cs="Times New Roman"/>
              </w:rPr>
            </w:pPr>
            <w:r w:rsidRPr="00AA108E">
              <w:rPr>
                <w:rFonts w:ascii="Times New Roman" w:hAnsi="Times New Roman" w:cs="Times New Roman"/>
              </w:rPr>
              <w:t>-2,262</w:t>
            </w:r>
          </w:p>
        </w:tc>
        <w:tc>
          <w:tcPr>
            <w:tcW w:w="532" w:type="pct"/>
            <w:tcBorders>
              <w:top w:val="nil"/>
              <w:left w:val="nil"/>
              <w:bottom w:val="nil"/>
              <w:right w:val="nil"/>
            </w:tcBorders>
            <w:vAlign w:val="center"/>
          </w:tcPr>
          <w:p w14:paraId="5C479B57" w14:textId="77777777" w:rsidR="00561A85" w:rsidRPr="00AA108E" w:rsidRDefault="00561A85" w:rsidP="00C63FA0">
            <w:pPr>
              <w:spacing w:line="480" w:lineRule="auto"/>
              <w:jc w:val="center"/>
              <w:rPr>
                <w:rFonts w:ascii="Times New Roman" w:hAnsi="Times New Roman" w:cs="Times New Roman"/>
                <w:color w:val="000000"/>
              </w:rPr>
            </w:pPr>
            <w:r w:rsidRPr="00AA108E">
              <w:rPr>
                <w:rFonts w:ascii="Times New Roman" w:hAnsi="Times New Roman" w:cs="Times New Roman"/>
                <w:color w:val="000000"/>
              </w:rPr>
              <w:t>82.2%</w:t>
            </w:r>
          </w:p>
        </w:tc>
      </w:tr>
      <w:tr w:rsidR="00561A85" w:rsidRPr="00AA108E" w14:paraId="37BEB2C5" w14:textId="77777777" w:rsidTr="0098353E">
        <w:trPr>
          <w:jc w:val="center"/>
        </w:trPr>
        <w:tc>
          <w:tcPr>
            <w:tcW w:w="1042" w:type="pct"/>
            <w:tcBorders>
              <w:top w:val="nil"/>
              <w:left w:val="nil"/>
              <w:bottom w:val="single" w:sz="4" w:space="0" w:color="auto"/>
              <w:right w:val="nil"/>
            </w:tcBorders>
            <w:vAlign w:val="center"/>
          </w:tcPr>
          <w:p w14:paraId="415DCDE9" w14:textId="4121C823" w:rsidR="00561A85" w:rsidRPr="00AA108E" w:rsidRDefault="00561A85" w:rsidP="00C63FA0">
            <w:pPr>
              <w:spacing w:line="480" w:lineRule="auto"/>
              <w:jc w:val="center"/>
              <w:rPr>
                <w:rFonts w:ascii="Times New Roman" w:hAnsi="Times New Roman" w:cs="Times New Roman"/>
              </w:rPr>
            </w:pPr>
            <w:r w:rsidRPr="00AA108E">
              <w:rPr>
                <w:rFonts w:ascii="Times New Roman" w:hAnsi="Times New Roman" w:cs="Times New Roman"/>
              </w:rPr>
              <w:t>Best Case</w:t>
            </w:r>
          </w:p>
        </w:tc>
        <w:tc>
          <w:tcPr>
            <w:tcW w:w="610" w:type="pct"/>
            <w:tcBorders>
              <w:top w:val="nil"/>
              <w:left w:val="nil"/>
              <w:bottom w:val="single" w:sz="4" w:space="0" w:color="auto"/>
              <w:right w:val="nil"/>
            </w:tcBorders>
            <w:vAlign w:val="center"/>
          </w:tcPr>
          <w:p w14:paraId="46B12D99" w14:textId="77777777" w:rsidR="00561A85" w:rsidRPr="00AA108E" w:rsidRDefault="00561A85" w:rsidP="00C63FA0">
            <w:pPr>
              <w:spacing w:line="480" w:lineRule="auto"/>
              <w:jc w:val="center"/>
              <w:rPr>
                <w:rFonts w:ascii="Times New Roman" w:hAnsi="Times New Roman" w:cs="Times New Roman"/>
              </w:rPr>
            </w:pPr>
            <w:r w:rsidRPr="00AA108E">
              <w:rPr>
                <w:rFonts w:ascii="Times New Roman" w:hAnsi="Times New Roman" w:cs="Times New Roman"/>
              </w:rPr>
              <w:t>0.00</w:t>
            </w:r>
          </w:p>
        </w:tc>
        <w:tc>
          <w:tcPr>
            <w:tcW w:w="564" w:type="pct"/>
            <w:tcBorders>
              <w:top w:val="nil"/>
              <w:left w:val="nil"/>
              <w:bottom w:val="single" w:sz="4" w:space="0" w:color="auto"/>
              <w:right w:val="nil"/>
            </w:tcBorders>
            <w:vAlign w:val="center"/>
          </w:tcPr>
          <w:p w14:paraId="162F2B24" w14:textId="77777777" w:rsidR="00561A85" w:rsidRPr="00AA108E" w:rsidRDefault="00561A85" w:rsidP="00C63FA0">
            <w:pPr>
              <w:spacing w:line="480" w:lineRule="auto"/>
              <w:jc w:val="center"/>
              <w:rPr>
                <w:rFonts w:ascii="Times New Roman" w:hAnsi="Times New Roman" w:cs="Times New Roman"/>
              </w:rPr>
            </w:pPr>
            <w:r w:rsidRPr="00AA108E">
              <w:rPr>
                <w:rFonts w:ascii="Times New Roman" w:hAnsi="Times New Roman" w:cs="Times New Roman"/>
              </w:rPr>
              <w:t>-109</w:t>
            </w:r>
          </w:p>
        </w:tc>
        <w:tc>
          <w:tcPr>
            <w:tcW w:w="517" w:type="pct"/>
            <w:tcBorders>
              <w:top w:val="nil"/>
              <w:left w:val="nil"/>
              <w:bottom w:val="single" w:sz="4" w:space="0" w:color="auto"/>
              <w:right w:val="nil"/>
            </w:tcBorders>
            <w:vAlign w:val="center"/>
          </w:tcPr>
          <w:p w14:paraId="2A96AE6A" w14:textId="77777777" w:rsidR="00561A85" w:rsidRPr="00AA108E" w:rsidRDefault="00561A85" w:rsidP="00C63FA0">
            <w:pPr>
              <w:pStyle w:val="NoSpacing"/>
              <w:spacing w:line="480" w:lineRule="auto"/>
              <w:jc w:val="center"/>
              <w:rPr>
                <w:rFonts w:ascii="Times New Roman" w:hAnsi="Times New Roman" w:cs="Times New Roman"/>
              </w:rPr>
            </w:pPr>
            <w:r w:rsidRPr="00AA108E">
              <w:rPr>
                <w:rFonts w:ascii="Times New Roman" w:hAnsi="Times New Roman" w:cs="Times New Roman"/>
              </w:rPr>
              <w:t>+18</w:t>
            </w:r>
          </w:p>
        </w:tc>
        <w:tc>
          <w:tcPr>
            <w:tcW w:w="563" w:type="pct"/>
            <w:tcBorders>
              <w:top w:val="nil"/>
              <w:left w:val="nil"/>
              <w:bottom w:val="single" w:sz="4" w:space="0" w:color="auto"/>
              <w:right w:val="nil"/>
            </w:tcBorders>
            <w:vAlign w:val="center"/>
          </w:tcPr>
          <w:p w14:paraId="71ADE408" w14:textId="77777777" w:rsidR="00561A85" w:rsidRPr="00AA108E" w:rsidRDefault="00561A85" w:rsidP="00C63FA0">
            <w:pPr>
              <w:spacing w:line="480" w:lineRule="auto"/>
              <w:jc w:val="center"/>
              <w:rPr>
                <w:rFonts w:ascii="Times New Roman" w:hAnsi="Times New Roman" w:cs="Times New Roman"/>
              </w:rPr>
            </w:pPr>
            <w:r w:rsidRPr="00AA108E">
              <w:rPr>
                <w:rFonts w:ascii="Times New Roman" w:hAnsi="Times New Roman" w:cs="Times New Roman"/>
              </w:rPr>
              <w:t>-</w:t>
            </w:r>
          </w:p>
        </w:tc>
        <w:tc>
          <w:tcPr>
            <w:tcW w:w="657" w:type="pct"/>
            <w:tcBorders>
              <w:top w:val="nil"/>
              <w:left w:val="nil"/>
              <w:bottom w:val="single" w:sz="4" w:space="0" w:color="auto"/>
              <w:right w:val="nil"/>
            </w:tcBorders>
            <w:vAlign w:val="center"/>
          </w:tcPr>
          <w:p w14:paraId="37120AB5" w14:textId="77777777" w:rsidR="00561A85" w:rsidRPr="00AA108E" w:rsidRDefault="00561A85" w:rsidP="00C63FA0">
            <w:pPr>
              <w:spacing w:line="480" w:lineRule="auto"/>
              <w:jc w:val="center"/>
              <w:rPr>
                <w:rFonts w:ascii="Times New Roman" w:hAnsi="Times New Roman" w:cs="Times New Roman"/>
              </w:rPr>
            </w:pPr>
            <w:r w:rsidRPr="00AA108E">
              <w:rPr>
                <w:rFonts w:ascii="Times New Roman" w:hAnsi="Times New Roman" w:cs="Times New Roman"/>
              </w:rPr>
              <w:t>-358</w:t>
            </w:r>
          </w:p>
        </w:tc>
        <w:tc>
          <w:tcPr>
            <w:tcW w:w="515" w:type="pct"/>
            <w:tcBorders>
              <w:top w:val="nil"/>
              <w:left w:val="nil"/>
              <w:bottom w:val="single" w:sz="4" w:space="0" w:color="auto"/>
              <w:right w:val="nil"/>
            </w:tcBorders>
            <w:vAlign w:val="center"/>
          </w:tcPr>
          <w:p w14:paraId="4A3188B6" w14:textId="77777777" w:rsidR="00561A85" w:rsidRPr="00AA108E" w:rsidRDefault="00561A85" w:rsidP="00C63FA0">
            <w:pPr>
              <w:spacing w:line="480" w:lineRule="auto"/>
              <w:jc w:val="center"/>
              <w:rPr>
                <w:rFonts w:ascii="Times New Roman" w:hAnsi="Times New Roman" w:cs="Times New Roman"/>
              </w:rPr>
            </w:pPr>
            <w:r w:rsidRPr="00AA108E">
              <w:rPr>
                <w:rFonts w:ascii="Times New Roman" w:hAnsi="Times New Roman" w:cs="Times New Roman"/>
              </w:rPr>
              <w:t>-173</w:t>
            </w:r>
          </w:p>
        </w:tc>
        <w:tc>
          <w:tcPr>
            <w:tcW w:w="532" w:type="pct"/>
            <w:tcBorders>
              <w:top w:val="nil"/>
              <w:left w:val="nil"/>
              <w:bottom w:val="single" w:sz="4" w:space="0" w:color="auto"/>
              <w:right w:val="nil"/>
            </w:tcBorders>
            <w:vAlign w:val="center"/>
          </w:tcPr>
          <w:p w14:paraId="6956887A" w14:textId="77777777" w:rsidR="00561A85" w:rsidRPr="00AA108E" w:rsidRDefault="00561A85" w:rsidP="00C63FA0">
            <w:pPr>
              <w:spacing w:line="480" w:lineRule="auto"/>
              <w:jc w:val="center"/>
              <w:rPr>
                <w:rFonts w:ascii="Times New Roman" w:hAnsi="Times New Roman" w:cs="Times New Roman"/>
                <w:color w:val="000000"/>
              </w:rPr>
            </w:pPr>
            <w:r w:rsidRPr="00AA108E">
              <w:rPr>
                <w:rFonts w:ascii="Times New Roman" w:hAnsi="Times New Roman" w:cs="Times New Roman"/>
                <w:color w:val="000000"/>
              </w:rPr>
              <w:t>206.9%</w:t>
            </w:r>
          </w:p>
        </w:tc>
      </w:tr>
    </w:tbl>
    <w:p w14:paraId="211A7CCF" w14:textId="77777777" w:rsidR="00561A85" w:rsidRDefault="00561A85" w:rsidP="00C63FA0">
      <w:pPr>
        <w:spacing w:after="0"/>
        <w:rPr>
          <w:rFonts w:ascii="Times New Roman" w:hAnsi="Times New Roman" w:cs="Times New Roman"/>
          <w:sz w:val="24"/>
          <w:szCs w:val="24"/>
        </w:rPr>
      </w:pPr>
    </w:p>
    <w:p w14:paraId="06A1932C" w14:textId="77777777" w:rsidR="00561A85" w:rsidRDefault="00561A85">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5000" w:type="pct"/>
        <w:jc w:val="center"/>
        <w:tblLook w:val="04A0" w:firstRow="1" w:lastRow="0" w:firstColumn="1" w:lastColumn="0" w:noHBand="0" w:noVBand="1"/>
      </w:tblPr>
      <w:tblGrid>
        <w:gridCol w:w="2825"/>
        <w:gridCol w:w="1479"/>
        <w:gridCol w:w="1971"/>
        <w:gridCol w:w="1726"/>
        <w:gridCol w:w="1359"/>
      </w:tblGrid>
      <w:tr w:rsidR="008D5EAA" w:rsidRPr="00AA108E" w14:paraId="5A658279" w14:textId="77777777" w:rsidTr="00906FB3">
        <w:trPr>
          <w:jc w:val="center"/>
        </w:trPr>
        <w:tc>
          <w:tcPr>
            <w:tcW w:w="5000" w:type="pct"/>
            <w:gridSpan w:val="5"/>
            <w:tcBorders>
              <w:top w:val="nil"/>
              <w:left w:val="nil"/>
              <w:bottom w:val="single" w:sz="12" w:space="0" w:color="auto"/>
              <w:right w:val="nil"/>
            </w:tcBorders>
          </w:tcPr>
          <w:p w14:paraId="3E36E114" w14:textId="3C0D038C" w:rsidR="008D5EAA" w:rsidRPr="00AA108E" w:rsidRDefault="008D5EAA" w:rsidP="00906FB3">
            <w:pPr>
              <w:pStyle w:val="NoSpacing"/>
              <w:rPr>
                <w:rFonts w:ascii="Times New Roman" w:hAnsi="Times New Roman" w:cs="Times New Roman"/>
                <w:b/>
              </w:rPr>
            </w:pPr>
            <w:r w:rsidRPr="00AA108E">
              <w:rPr>
                <w:rFonts w:ascii="Times New Roman" w:hAnsi="Times New Roman" w:cs="Times New Roman"/>
                <w:b/>
              </w:rPr>
              <w:lastRenderedPageBreak/>
              <w:t>Table 6. Estimated Total Net Impact of the DC $15 MWP on All DC EITC Recipients in 2021</w:t>
            </w:r>
            <w:r w:rsidR="00906FB3" w:rsidRPr="00AA108E">
              <w:rPr>
                <w:rFonts w:ascii="Times New Roman" w:hAnsi="Times New Roman" w:cs="Times New Roman"/>
                <w:b/>
              </w:rPr>
              <w:t xml:space="preserve"> </w:t>
            </w:r>
            <w:r w:rsidRPr="00AA108E">
              <w:rPr>
                <w:rFonts w:ascii="Times New Roman" w:hAnsi="Times New Roman" w:cs="Times New Roman"/>
                <w:b/>
              </w:rPr>
              <w:t>($ in millions)</w:t>
            </w:r>
          </w:p>
        </w:tc>
      </w:tr>
      <w:tr w:rsidR="00561A85" w:rsidRPr="00AA108E" w14:paraId="46E956BF" w14:textId="77777777" w:rsidTr="00906FB3">
        <w:trPr>
          <w:jc w:val="center"/>
        </w:trPr>
        <w:tc>
          <w:tcPr>
            <w:tcW w:w="1509" w:type="pct"/>
            <w:vMerge w:val="restart"/>
            <w:tcBorders>
              <w:top w:val="single" w:sz="12" w:space="0" w:color="auto"/>
              <w:left w:val="nil"/>
              <w:right w:val="nil"/>
            </w:tcBorders>
          </w:tcPr>
          <w:p w14:paraId="7B5163F2" w14:textId="77777777" w:rsidR="00561A85" w:rsidRPr="00AA108E" w:rsidRDefault="00561A85" w:rsidP="00561A85">
            <w:pPr>
              <w:rPr>
                <w:rFonts w:ascii="Times New Roman" w:hAnsi="Times New Roman" w:cs="Times New Roman"/>
              </w:rPr>
            </w:pPr>
          </w:p>
        </w:tc>
        <w:tc>
          <w:tcPr>
            <w:tcW w:w="790" w:type="pct"/>
            <w:vMerge w:val="restart"/>
            <w:tcBorders>
              <w:top w:val="single" w:sz="12" w:space="0" w:color="auto"/>
              <w:left w:val="nil"/>
              <w:right w:val="nil"/>
            </w:tcBorders>
          </w:tcPr>
          <w:p w14:paraId="7C7434E5" w14:textId="77777777" w:rsidR="00561A85" w:rsidRPr="00AA108E" w:rsidRDefault="00561A85" w:rsidP="00541B8B">
            <w:pPr>
              <w:jc w:val="right"/>
              <w:rPr>
                <w:rFonts w:ascii="Times New Roman" w:hAnsi="Times New Roman" w:cs="Times New Roman"/>
              </w:rPr>
            </w:pPr>
            <w:r w:rsidRPr="00AA108E">
              <w:rPr>
                <w:rFonts w:ascii="Times New Roman" w:hAnsi="Times New Roman" w:cs="Times New Roman"/>
              </w:rPr>
              <w:t xml:space="preserve">Without </w:t>
            </w:r>
          </w:p>
          <w:p w14:paraId="111E2A4F" w14:textId="77777777" w:rsidR="00561A85" w:rsidRPr="00AA108E" w:rsidRDefault="00561A85" w:rsidP="00541B8B">
            <w:pPr>
              <w:jc w:val="right"/>
              <w:rPr>
                <w:rFonts w:ascii="Times New Roman" w:hAnsi="Times New Roman" w:cs="Times New Roman"/>
              </w:rPr>
            </w:pPr>
            <w:r w:rsidRPr="00AA108E">
              <w:rPr>
                <w:rFonts w:ascii="Times New Roman" w:hAnsi="Times New Roman" w:cs="Times New Roman"/>
              </w:rPr>
              <w:t>$15 MWP</w:t>
            </w:r>
          </w:p>
        </w:tc>
        <w:tc>
          <w:tcPr>
            <w:tcW w:w="1053" w:type="pct"/>
            <w:vMerge w:val="restart"/>
            <w:tcBorders>
              <w:top w:val="single" w:sz="12" w:space="0" w:color="auto"/>
              <w:left w:val="nil"/>
              <w:right w:val="nil"/>
            </w:tcBorders>
          </w:tcPr>
          <w:p w14:paraId="4D49C894" w14:textId="77777777" w:rsidR="00561A85" w:rsidRPr="00AA108E" w:rsidRDefault="00561A85" w:rsidP="00541B8B">
            <w:pPr>
              <w:jc w:val="right"/>
              <w:rPr>
                <w:rFonts w:ascii="Times New Roman" w:hAnsi="Times New Roman" w:cs="Times New Roman"/>
              </w:rPr>
            </w:pPr>
            <w:r w:rsidRPr="00AA108E">
              <w:rPr>
                <w:rFonts w:ascii="Times New Roman" w:hAnsi="Times New Roman" w:cs="Times New Roman"/>
              </w:rPr>
              <w:t xml:space="preserve">With </w:t>
            </w:r>
          </w:p>
          <w:p w14:paraId="22A0B23B" w14:textId="77777777" w:rsidR="00561A85" w:rsidRPr="00AA108E" w:rsidRDefault="00561A85" w:rsidP="00541B8B">
            <w:pPr>
              <w:jc w:val="right"/>
              <w:rPr>
                <w:rFonts w:ascii="Times New Roman" w:hAnsi="Times New Roman" w:cs="Times New Roman"/>
              </w:rPr>
            </w:pPr>
            <w:r w:rsidRPr="00AA108E">
              <w:rPr>
                <w:rFonts w:ascii="Times New Roman" w:hAnsi="Times New Roman" w:cs="Times New Roman"/>
              </w:rPr>
              <w:t>$15 MWP</w:t>
            </w:r>
          </w:p>
        </w:tc>
        <w:tc>
          <w:tcPr>
            <w:tcW w:w="1647" w:type="pct"/>
            <w:gridSpan w:val="2"/>
            <w:tcBorders>
              <w:top w:val="single" w:sz="12" w:space="0" w:color="auto"/>
              <w:left w:val="nil"/>
              <w:bottom w:val="nil"/>
              <w:right w:val="nil"/>
            </w:tcBorders>
          </w:tcPr>
          <w:p w14:paraId="09E23A75" w14:textId="77777777" w:rsidR="00561A85" w:rsidRPr="00AA108E" w:rsidRDefault="00561A85" w:rsidP="00561A85">
            <w:pPr>
              <w:jc w:val="center"/>
              <w:rPr>
                <w:rFonts w:ascii="Times New Roman" w:hAnsi="Times New Roman" w:cs="Times New Roman"/>
              </w:rPr>
            </w:pPr>
            <w:r w:rsidRPr="00AA108E">
              <w:rPr>
                <w:rFonts w:ascii="Times New Roman" w:hAnsi="Times New Roman" w:cs="Times New Roman"/>
              </w:rPr>
              <w:t>Net Difference</w:t>
            </w:r>
          </w:p>
        </w:tc>
      </w:tr>
      <w:tr w:rsidR="00561A85" w:rsidRPr="00AA108E" w14:paraId="57EFB119" w14:textId="77777777" w:rsidTr="00906FB3">
        <w:trPr>
          <w:jc w:val="center"/>
        </w:trPr>
        <w:tc>
          <w:tcPr>
            <w:tcW w:w="1509" w:type="pct"/>
            <w:vMerge/>
            <w:tcBorders>
              <w:left w:val="nil"/>
              <w:bottom w:val="single" w:sz="4" w:space="0" w:color="auto"/>
              <w:right w:val="nil"/>
            </w:tcBorders>
          </w:tcPr>
          <w:p w14:paraId="00B1B8BA" w14:textId="77777777" w:rsidR="00561A85" w:rsidRPr="00AA108E" w:rsidRDefault="00561A85" w:rsidP="00561A85">
            <w:pPr>
              <w:rPr>
                <w:rFonts w:ascii="Times New Roman" w:hAnsi="Times New Roman" w:cs="Times New Roman"/>
              </w:rPr>
            </w:pPr>
          </w:p>
        </w:tc>
        <w:tc>
          <w:tcPr>
            <w:tcW w:w="790" w:type="pct"/>
            <w:vMerge/>
            <w:tcBorders>
              <w:left w:val="nil"/>
              <w:bottom w:val="single" w:sz="4" w:space="0" w:color="auto"/>
              <w:right w:val="nil"/>
            </w:tcBorders>
          </w:tcPr>
          <w:p w14:paraId="3D087B28" w14:textId="77777777" w:rsidR="00561A85" w:rsidRPr="00AA108E" w:rsidRDefault="00561A85" w:rsidP="00561A85">
            <w:pPr>
              <w:jc w:val="center"/>
              <w:rPr>
                <w:rFonts w:ascii="Times New Roman" w:hAnsi="Times New Roman" w:cs="Times New Roman"/>
              </w:rPr>
            </w:pPr>
          </w:p>
        </w:tc>
        <w:tc>
          <w:tcPr>
            <w:tcW w:w="1053" w:type="pct"/>
            <w:vMerge/>
            <w:tcBorders>
              <w:left w:val="nil"/>
              <w:bottom w:val="single" w:sz="4" w:space="0" w:color="auto"/>
              <w:right w:val="nil"/>
            </w:tcBorders>
          </w:tcPr>
          <w:p w14:paraId="0969813B" w14:textId="77777777" w:rsidR="00561A85" w:rsidRPr="00AA108E" w:rsidRDefault="00561A85" w:rsidP="00561A85">
            <w:pPr>
              <w:jc w:val="center"/>
              <w:rPr>
                <w:rFonts w:ascii="Times New Roman" w:hAnsi="Times New Roman" w:cs="Times New Roman"/>
              </w:rPr>
            </w:pPr>
          </w:p>
        </w:tc>
        <w:tc>
          <w:tcPr>
            <w:tcW w:w="922" w:type="pct"/>
            <w:tcBorders>
              <w:top w:val="nil"/>
              <w:left w:val="nil"/>
              <w:bottom w:val="single" w:sz="4" w:space="0" w:color="auto"/>
              <w:right w:val="nil"/>
            </w:tcBorders>
          </w:tcPr>
          <w:p w14:paraId="2F8F6F41" w14:textId="77777777" w:rsidR="00561A85" w:rsidRPr="00AA108E" w:rsidRDefault="00561A85" w:rsidP="00541B8B">
            <w:pPr>
              <w:jc w:val="right"/>
              <w:rPr>
                <w:rFonts w:ascii="Times New Roman" w:hAnsi="Times New Roman" w:cs="Times New Roman"/>
              </w:rPr>
            </w:pPr>
            <w:r w:rsidRPr="00AA108E">
              <w:rPr>
                <w:rFonts w:ascii="Times New Roman" w:hAnsi="Times New Roman" w:cs="Times New Roman"/>
              </w:rPr>
              <w:t xml:space="preserve">$ </w:t>
            </w:r>
            <w:proofErr w:type="spellStart"/>
            <w:r w:rsidRPr="00AA108E">
              <w:rPr>
                <w:rFonts w:ascii="Times New Roman" w:hAnsi="Times New Roman" w:cs="Times New Roman"/>
              </w:rPr>
              <w:t>Amt</w:t>
            </w:r>
            <w:proofErr w:type="spellEnd"/>
          </w:p>
        </w:tc>
        <w:tc>
          <w:tcPr>
            <w:tcW w:w="726" w:type="pct"/>
            <w:tcBorders>
              <w:top w:val="nil"/>
              <w:left w:val="nil"/>
              <w:bottom w:val="single" w:sz="4" w:space="0" w:color="auto"/>
              <w:right w:val="nil"/>
            </w:tcBorders>
          </w:tcPr>
          <w:p w14:paraId="2CABDAA5" w14:textId="77777777" w:rsidR="00561A85" w:rsidRPr="00AA108E" w:rsidRDefault="00561A85" w:rsidP="00541B8B">
            <w:pPr>
              <w:jc w:val="right"/>
              <w:rPr>
                <w:rFonts w:ascii="Times New Roman" w:hAnsi="Times New Roman" w:cs="Times New Roman"/>
              </w:rPr>
            </w:pPr>
            <w:r w:rsidRPr="00AA108E">
              <w:rPr>
                <w:rFonts w:ascii="Times New Roman" w:hAnsi="Times New Roman" w:cs="Times New Roman"/>
              </w:rPr>
              <w:t>% Chg.</w:t>
            </w:r>
          </w:p>
        </w:tc>
      </w:tr>
      <w:tr w:rsidR="00561A85" w:rsidRPr="00AA108E" w14:paraId="0178AE27" w14:textId="77777777" w:rsidTr="00906FB3">
        <w:trPr>
          <w:jc w:val="center"/>
        </w:trPr>
        <w:tc>
          <w:tcPr>
            <w:tcW w:w="1509" w:type="pct"/>
            <w:tcBorders>
              <w:top w:val="single" w:sz="4" w:space="0" w:color="auto"/>
              <w:left w:val="nil"/>
              <w:bottom w:val="nil"/>
              <w:right w:val="nil"/>
            </w:tcBorders>
          </w:tcPr>
          <w:p w14:paraId="2169FF06" w14:textId="77777777" w:rsidR="00561A85" w:rsidRPr="00AA108E" w:rsidRDefault="00561A85" w:rsidP="00561A85">
            <w:pPr>
              <w:rPr>
                <w:rFonts w:ascii="Times New Roman" w:hAnsi="Times New Roman" w:cs="Times New Roman"/>
              </w:rPr>
            </w:pPr>
            <w:r w:rsidRPr="00AA108E">
              <w:rPr>
                <w:rFonts w:ascii="Times New Roman" w:hAnsi="Times New Roman" w:cs="Times New Roman"/>
              </w:rPr>
              <w:t>Wage &amp; Salaries</w:t>
            </w:r>
          </w:p>
        </w:tc>
        <w:tc>
          <w:tcPr>
            <w:tcW w:w="790" w:type="pct"/>
            <w:tcBorders>
              <w:top w:val="single" w:sz="4" w:space="0" w:color="auto"/>
              <w:left w:val="nil"/>
              <w:bottom w:val="nil"/>
              <w:right w:val="nil"/>
            </w:tcBorders>
          </w:tcPr>
          <w:p w14:paraId="7A695514"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$595.3</w:t>
            </w:r>
          </w:p>
        </w:tc>
        <w:tc>
          <w:tcPr>
            <w:tcW w:w="1053" w:type="pct"/>
            <w:tcBorders>
              <w:top w:val="single" w:sz="4" w:space="0" w:color="auto"/>
              <w:left w:val="nil"/>
              <w:bottom w:val="nil"/>
              <w:right w:val="nil"/>
            </w:tcBorders>
          </w:tcPr>
          <w:p w14:paraId="35F1E08B"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$649.9</w:t>
            </w:r>
          </w:p>
        </w:tc>
        <w:tc>
          <w:tcPr>
            <w:tcW w:w="922" w:type="pct"/>
            <w:tcBorders>
              <w:top w:val="single" w:sz="4" w:space="0" w:color="auto"/>
              <w:left w:val="nil"/>
              <w:bottom w:val="nil"/>
              <w:right w:val="nil"/>
            </w:tcBorders>
          </w:tcPr>
          <w:p w14:paraId="1B400D24"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$54.6</w:t>
            </w:r>
          </w:p>
        </w:tc>
        <w:tc>
          <w:tcPr>
            <w:tcW w:w="726" w:type="pct"/>
            <w:tcBorders>
              <w:top w:val="single" w:sz="4" w:space="0" w:color="auto"/>
              <w:left w:val="nil"/>
              <w:bottom w:val="nil"/>
              <w:right w:val="nil"/>
            </w:tcBorders>
          </w:tcPr>
          <w:p w14:paraId="0344CCFD"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9.2%</w:t>
            </w:r>
          </w:p>
        </w:tc>
      </w:tr>
      <w:tr w:rsidR="00561A85" w:rsidRPr="00AA108E" w14:paraId="09807CEE" w14:textId="77777777" w:rsidTr="00906FB3">
        <w:trPr>
          <w:jc w:val="center"/>
        </w:trPr>
        <w:tc>
          <w:tcPr>
            <w:tcW w:w="1509" w:type="pct"/>
            <w:tcBorders>
              <w:top w:val="nil"/>
              <w:left w:val="nil"/>
              <w:bottom w:val="nil"/>
              <w:right w:val="nil"/>
            </w:tcBorders>
          </w:tcPr>
          <w:p w14:paraId="0DBDB00B" w14:textId="77777777" w:rsidR="00561A85" w:rsidRPr="00AA108E" w:rsidRDefault="00561A85" w:rsidP="00561A85">
            <w:pPr>
              <w:rPr>
                <w:rFonts w:ascii="Times New Roman" w:hAnsi="Times New Roman" w:cs="Times New Roman"/>
              </w:rPr>
            </w:pPr>
            <w:r w:rsidRPr="00AA108E">
              <w:rPr>
                <w:rFonts w:ascii="Times New Roman" w:hAnsi="Times New Roman" w:cs="Times New Roman"/>
              </w:rPr>
              <w:t xml:space="preserve">DC </w:t>
            </w:r>
            <w:proofErr w:type="spellStart"/>
            <w:r w:rsidRPr="00AA108E">
              <w:rPr>
                <w:rFonts w:ascii="Times New Roman" w:hAnsi="Times New Roman" w:cs="Times New Roman"/>
              </w:rPr>
              <w:t>Indiv</w:t>
            </w:r>
            <w:proofErr w:type="spellEnd"/>
            <w:r w:rsidRPr="00AA108E">
              <w:rPr>
                <w:rFonts w:ascii="Times New Roman" w:hAnsi="Times New Roman" w:cs="Times New Roman"/>
              </w:rPr>
              <w:t>. Inc. Tax</w:t>
            </w:r>
          </w:p>
        </w:tc>
        <w:tc>
          <w:tcPr>
            <w:tcW w:w="790" w:type="pct"/>
            <w:tcBorders>
              <w:top w:val="nil"/>
              <w:left w:val="nil"/>
              <w:bottom w:val="nil"/>
              <w:right w:val="nil"/>
            </w:tcBorders>
          </w:tcPr>
          <w:p w14:paraId="41173E01"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$10.0</w:t>
            </w:r>
          </w:p>
        </w:tc>
        <w:tc>
          <w:tcPr>
            <w:tcW w:w="1053" w:type="pct"/>
            <w:tcBorders>
              <w:top w:val="nil"/>
              <w:left w:val="nil"/>
              <w:bottom w:val="nil"/>
              <w:right w:val="nil"/>
            </w:tcBorders>
          </w:tcPr>
          <w:p w14:paraId="33B272EE"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$10.5</w:t>
            </w:r>
          </w:p>
        </w:tc>
        <w:tc>
          <w:tcPr>
            <w:tcW w:w="922" w:type="pct"/>
            <w:tcBorders>
              <w:top w:val="nil"/>
              <w:left w:val="nil"/>
              <w:bottom w:val="nil"/>
              <w:right w:val="nil"/>
            </w:tcBorders>
          </w:tcPr>
          <w:p w14:paraId="5FEFD3D9"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$0.5</w:t>
            </w:r>
          </w:p>
        </w:tc>
        <w:tc>
          <w:tcPr>
            <w:tcW w:w="726" w:type="pct"/>
            <w:tcBorders>
              <w:top w:val="nil"/>
              <w:left w:val="nil"/>
              <w:bottom w:val="nil"/>
              <w:right w:val="nil"/>
            </w:tcBorders>
          </w:tcPr>
          <w:p w14:paraId="0E9F1F4D"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5.0%</w:t>
            </w:r>
          </w:p>
        </w:tc>
      </w:tr>
      <w:tr w:rsidR="00561A85" w:rsidRPr="00AA108E" w14:paraId="4A65F87A" w14:textId="77777777" w:rsidTr="00906FB3">
        <w:trPr>
          <w:jc w:val="center"/>
        </w:trPr>
        <w:tc>
          <w:tcPr>
            <w:tcW w:w="1509" w:type="pct"/>
            <w:tcBorders>
              <w:top w:val="nil"/>
              <w:left w:val="nil"/>
              <w:bottom w:val="nil"/>
              <w:right w:val="nil"/>
            </w:tcBorders>
          </w:tcPr>
          <w:p w14:paraId="21457388" w14:textId="77777777" w:rsidR="00561A85" w:rsidRPr="00AA108E" w:rsidRDefault="00561A85" w:rsidP="00561A85">
            <w:pPr>
              <w:rPr>
                <w:rFonts w:ascii="Times New Roman" w:hAnsi="Times New Roman" w:cs="Times New Roman"/>
              </w:rPr>
            </w:pPr>
            <w:r w:rsidRPr="00AA108E">
              <w:rPr>
                <w:rFonts w:ascii="Times New Roman" w:hAnsi="Times New Roman" w:cs="Times New Roman"/>
              </w:rPr>
              <w:t>Federal EITC</w:t>
            </w:r>
          </w:p>
        </w:tc>
        <w:tc>
          <w:tcPr>
            <w:tcW w:w="790" w:type="pct"/>
            <w:tcBorders>
              <w:top w:val="nil"/>
              <w:left w:val="nil"/>
              <w:bottom w:val="nil"/>
              <w:right w:val="nil"/>
            </w:tcBorders>
          </w:tcPr>
          <w:p w14:paraId="006DDD4F"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$92.2</w:t>
            </w:r>
          </w:p>
        </w:tc>
        <w:tc>
          <w:tcPr>
            <w:tcW w:w="1053" w:type="pct"/>
            <w:tcBorders>
              <w:top w:val="nil"/>
              <w:left w:val="nil"/>
              <w:bottom w:val="nil"/>
              <w:right w:val="nil"/>
            </w:tcBorders>
          </w:tcPr>
          <w:p w14:paraId="11CFDC52"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$81.8</w:t>
            </w:r>
          </w:p>
        </w:tc>
        <w:tc>
          <w:tcPr>
            <w:tcW w:w="922" w:type="pct"/>
            <w:tcBorders>
              <w:top w:val="nil"/>
              <w:left w:val="nil"/>
              <w:bottom w:val="nil"/>
              <w:right w:val="nil"/>
            </w:tcBorders>
          </w:tcPr>
          <w:p w14:paraId="6E43E73E"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$(10.4)</w:t>
            </w:r>
          </w:p>
        </w:tc>
        <w:tc>
          <w:tcPr>
            <w:tcW w:w="726" w:type="pct"/>
            <w:tcBorders>
              <w:top w:val="nil"/>
              <w:left w:val="nil"/>
              <w:bottom w:val="nil"/>
              <w:right w:val="nil"/>
            </w:tcBorders>
          </w:tcPr>
          <w:p w14:paraId="3E0B165E"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-11.3%</w:t>
            </w:r>
          </w:p>
        </w:tc>
      </w:tr>
      <w:tr w:rsidR="00561A85" w:rsidRPr="00AA108E" w14:paraId="50EEEBBA" w14:textId="77777777" w:rsidTr="00906FB3">
        <w:trPr>
          <w:jc w:val="center"/>
        </w:trPr>
        <w:tc>
          <w:tcPr>
            <w:tcW w:w="1509" w:type="pct"/>
            <w:tcBorders>
              <w:top w:val="nil"/>
              <w:left w:val="nil"/>
              <w:bottom w:val="single" w:sz="4" w:space="0" w:color="auto"/>
              <w:right w:val="nil"/>
            </w:tcBorders>
          </w:tcPr>
          <w:p w14:paraId="44FA427A" w14:textId="77777777" w:rsidR="00561A85" w:rsidRPr="00AA108E" w:rsidRDefault="00561A85" w:rsidP="00561A85">
            <w:pPr>
              <w:rPr>
                <w:rFonts w:ascii="Times New Roman" w:hAnsi="Times New Roman" w:cs="Times New Roman"/>
              </w:rPr>
            </w:pPr>
            <w:r w:rsidRPr="00AA108E">
              <w:rPr>
                <w:rFonts w:ascii="Times New Roman" w:hAnsi="Times New Roman" w:cs="Times New Roman"/>
              </w:rPr>
              <w:t>DC EITC</w:t>
            </w:r>
          </w:p>
        </w:tc>
        <w:tc>
          <w:tcPr>
            <w:tcW w:w="790" w:type="pct"/>
            <w:tcBorders>
              <w:top w:val="nil"/>
              <w:left w:val="nil"/>
              <w:bottom w:val="single" w:sz="4" w:space="0" w:color="auto"/>
              <w:right w:val="nil"/>
            </w:tcBorders>
          </w:tcPr>
          <w:p w14:paraId="4FD51A36"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$36.9</w:t>
            </w:r>
          </w:p>
        </w:tc>
        <w:tc>
          <w:tcPr>
            <w:tcW w:w="1053" w:type="pct"/>
            <w:tcBorders>
              <w:top w:val="nil"/>
              <w:left w:val="nil"/>
              <w:bottom w:val="single" w:sz="4" w:space="0" w:color="auto"/>
              <w:right w:val="nil"/>
            </w:tcBorders>
          </w:tcPr>
          <w:p w14:paraId="3D5B65EE"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$30.9</w:t>
            </w:r>
          </w:p>
        </w:tc>
        <w:tc>
          <w:tcPr>
            <w:tcW w:w="922" w:type="pct"/>
            <w:tcBorders>
              <w:top w:val="nil"/>
              <w:left w:val="nil"/>
              <w:bottom w:val="single" w:sz="4" w:space="0" w:color="auto"/>
              <w:right w:val="nil"/>
            </w:tcBorders>
          </w:tcPr>
          <w:p w14:paraId="76622CE8"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$(6.0)</w:t>
            </w:r>
          </w:p>
        </w:tc>
        <w:tc>
          <w:tcPr>
            <w:tcW w:w="726" w:type="pct"/>
            <w:tcBorders>
              <w:top w:val="nil"/>
              <w:left w:val="nil"/>
              <w:bottom w:val="single" w:sz="4" w:space="0" w:color="auto"/>
              <w:right w:val="nil"/>
            </w:tcBorders>
          </w:tcPr>
          <w:p w14:paraId="2F61AB21"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-11.3%</w:t>
            </w:r>
          </w:p>
        </w:tc>
      </w:tr>
    </w:tbl>
    <w:p w14:paraId="48426804" w14:textId="77777777" w:rsidR="00561A85" w:rsidRDefault="00561A85">
      <w:pPr>
        <w:rPr>
          <w:rFonts w:ascii="Times New Roman" w:hAnsi="Times New Roman" w:cs="Times New Roman"/>
          <w:sz w:val="24"/>
          <w:szCs w:val="24"/>
        </w:rPr>
      </w:pPr>
    </w:p>
    <w:p w14:paraId="47EA4A13" w14:textId="77777777" w:rsidR="00561A85" w:rsidRDefault="00561A85">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101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1"/>
        <w:gridCol w:w="1080"/>
        <w:gridCol w:w="900"/>
        <w:gridCol w:w="1080"/>
        <w:gridCol w:w="990"/>
        <w:gridCol w:w="901"/>
        <w:gridCol w:w="415"/>
        <w:gridCol w:w="881"/>
        <w:gridCol w:w="966"/>
      </w:tblGrid>
      <w:tr w:rsidR="008D5EAA" w:rsidRPr="00AA108E" w14:paraId="06889254" w14:textId="77777777" w:rsidTr="00787325">
        <w:trPr>
          <w:jc w:val="center"/>
        </w:trPr>
        <w:tc>
          <w:tcPr>
            <w:tcW w:w="10104" w:type="dxa"/>
            <w:gridSpan w:val="9"/>
            <w:tcBorders>
              <w:bottom w:val="single" w:sz="4" w:space="0" w:color="auto"/>
            </w:tcBorders>
          </w:tcPr>
          <w:p w14:paraId="562FE59D" w14:textId="2FB7D0C5" w:rsidR="008D5EAA" w:rsidRPr="00AA108E" w:rsidRDefault="00787325" w:rsidP="00787325">
            <w:pPr>
              <w:rPr>
                <w:rFonts w:ascii="Times New Roman" w:hAnsi="Times New Roman" w:cs="Times New Roman"/>
                <w:b/>
              </w:rPr>
            </w:pPr>
            <w:r w:rsidRPr="00AA108E">
              <w:rPr>
                <w:rFonts w:ascii="Times New Roman" w:hAnsi="Times New Roman" w:cs="Times New Roman"/>
                <w:b/>
              </w:rPr>
              <w:lastRenderedPageBreak/>
              <w:t>T</w:t>
            </w:r>
            <w:r w:rsidR="008D5EAA" w:rsidRPr="00AA108E">
              <w:rPr>
                <w:rFonts w:ascii="Times New Roman" w:hAnsi="Times New Roman" w:cs="Times New Roman"/>
                <w:b/>
              </w:rPr>
              <w:t>able 7. Estimated Total Net Impact of the DC $15 MWP on all DC Residents in 2021($ in millions)</w:t>
            </w:r>
          </w:p>
        </w:tc>
      </w:tr>
      <w:tr w:rsidR="00561A85" w:rsidRPr="00AA108E" w14:paraId="11C17982" w14:textId="77777777" w:rsidTr="005B1549">
        <w:trPr>
          <w:jc w:val="center"/>
        </w:trPr>
        <w:tc>
          <w:tcPr>
            <w:tcW w:w="2891" w:type="dxa"/>
            <w:vMerge w:val="restart"/>
            <w:tcBorders>
              <w:top w:val="single" w:sz="8" w:space="0" w:color="auto"/>
              <w:bottom w:val="single" w:sz="4" w:space="0" w:color="auto"/>
            </w:tcBorders>
          </w:tcPr>
          <w:p w14:paraId="5C4A7082" w14:textId="77777777" w:rsidR="00561A85" w:rsidRPr="00AA108E" w:rsidRDefault="00561A85" w:rsidP="00561A85">
            <w:pPr>
              <w:rPr>
                <w:rFonts w:ascii="Times New Roman" w:hAnsi="Times New Roman" w:cs="Times New Roman"/>
              </w:rPr>
            </w:pPr>
          </w:p>
        </w:tc>
        <w:tc>
          <w:tcPr>
            <w:tcW w:w="1980" w:type="dxa"/>
            <w:gridSpan w:val="2"/>
            <w:tcBorders>
              <w:top w:val="single" w:sz="8" w:space="0" w:color="auto"/>
              <w:bottom w:val="single" w:sz="4" w:space="0" w:color="auto"/>
            </w:tcBorders>
          </w:tcPr>
          <w:p w14:paraId="2ECB15DA" w14:textId="77777777" w:rsidR="00561A85" w:rsidRPr="00AA108E" w:rsidRDefault="00561A85" w:rsidP="00561A85">
            <w:pPr>
              <w:jc w:val="center"/>
              <w:rPr>
                <w:rFonts w:ascii="Times New Roman" w:hAnsi="Times New Roman" w:cs="Times New Roman"/>
              </w:rPr>
            </w:pPr>
            <w:r w:rsidRPr="00AA108E">
              <w:rPr>
                <w:rFonts w:ascii="Times New Roman" w:hAnsi="Times New Roman" w:cs="Times New Roman"/>
              </w:rPr>
              <w:t>Full-Time Workers</w:t>
            </w:r>
          </w:p>
        </w:tc>
        <w:tc>
          <w:tcPr>
            <w:tcW w:w="2070" w:type="dxa"/>
            <w:gridSpan w:val="2"/>
            <w:tcBorders>
              <w:top w:val="single" w:sz="8" w:space="0" w:color="auto"/>
              <w:bottom w:val="single" w:sz="4" w:space="0" w:color="auto"/>
            </w:tcBorders>
          </w:tcPr>
          <w:p w14:paraId="401211E1" w14:textId="77777777" w:rsidR="00561A85" w:rsidRPr="00AA108E" w:rsidRDefault="00561A85" w:rsidP="00561A85">
            <w:pPr>
              <w:jc w:val="center"/>
              <w:rPr>
                <w:rFonts w:ascii="Times New Roman" w:hAnsi="Times New Roman" w:cs="Times New Roman"/>
              </w:rPr>
            </w:pPr>
            <w:r w:rsidRPr="00AA108E">
              <w:rPr>
                <w:rFonts w:ascii="Times New Roman" w:hAnsi="Times New Roman" w:cs="Times New Roman"/>
              </w:rPr>
              <w:t>Part-Time Workers</w:t>
            </w:r>
            <w:r w:rsidRPr="00AA108E">
              <w:rPr>
                <w:rStyle w:val="FootnoteReference"/>
                <w:rFonts w:ascii="Times New Roman" w:hAnsi="Times New Roman" w:cs="Times New Roman"/>
              </w:rPr>
              <w:footnoteReference w:id="25"/>
            </w:r>
          </w:p>
        </w:tc>
        <w:tc>
          <w:tcPr>
            <w:tcW w:w="901" w:type="dxa"/>
            <w:tcBorders>
              <w:top w:val="single" w:sz="8" w:space="0" w:color="auto"/>
              <w:bottom w:val="single" w:sz="4" w:space="0" w:color="auto"/>
            </w:tcBorders>
          </w:tcPr>
          <w:p w14:paraId="1044BBBC" w14:textId="77777777" w:rsidR="00561A85" w:rsidRPr="00AA108E" w:rsidRDefault="00561A85" w:rsidP="00561A85">
            <w:pPr>
              <w:jc w:val="center"/>
              <w:rPr>
                <w:rFonts w:ascii="Times New Roman" w:hAnsi="Times New Roman" w:cs="Times New Roman"/>
              </w:rPr>
            </w:pPr>
            <w:r w:rsidRPr="00AA108E">
              <w:rPr>
                <w:rFonts w:ascii="Times New Roman" w:hAnsi="Times New Roman" w:cs="Times New Roman"/>
              </w:rPr>
              <w:t xml:space="preserve">Job </w:t>
            </w:r>
          </w:p>
          <w:p w14:paraId="37E2CA5A" w14:textId="77777777" w:rsidR="00561A85" w:rsidRPr="00AA108E" w:rsidRDefault="00561A85" w:rsidP="00561A85">
            <w:pPr>
              <w:jc w:val="center"/>
              <w:rPr>
                <w:rFonts w:ascii="Times New Roman" w:hAnsi="Times New Roman" w:cs="Times New Roman"/>
              </w:rPr>
            </w:pPr>
            <w:r w:rsidRPr="00AA108E">
              <w:rPr>
                <w:rFonts w:ascii="Times New Roman" w:hAnsi="Times New Roman" w:cs="Times New Roman"/>
              </w:rPr>
              <w:t>Losers</w:t>
            </w:r>
          </w:p>
        </w:tc>
        <w:tc>
          <w:tcPr>
            <w:tcW w:w="415" w:type="dxa"/>
            <w:tcBorders>
              <w:top w:val="single" w:sz="8" w:space="0" w:color="auto"/>
              <w:bottom w:val="single" w:sz="4" w:space="0" w:color="auto"/>
            </w:tcBorders>
          </w:tcPr>
          <w:p w14:paraId="1279BB3C" w14:textId="77777777" w:rsidR="00561A85" w:rsidRPr="00AA108E" w:rsidRDefault="00561A85" w:rsidP="00561A85">
            <w:pPr>
              <w:jc w:val="center"/>
              <w:rPr>
                <w:rFonts w:ascii="Times New Roman" w:hAnsi="Times New Roman" w:cs="Times New Roman"/>
              </w:rPr>
            </w:pPr>
          </w:p>
        </w:tc>
        <w:tc>
          <w:tcPr>
            <w:tcW w:w="1847" w:type="dxa"/>
            <w:gridSpan w:val="2"/>
            <w:tcBorders>
              <w:top w:val="single" w:sz="8" w:space="0" w:color="auto"/>
              <w:bottom w:val="single" w:sz="4" w:space="0" w:color="auto"/>
            </w:tcBorders>
          </w:tcPr>
          <w:p w14:paraId="6310ACC9" w14:textId="77777777" w:rsidR="00561A85" w:rsidRPr="00AA108E" w:rsidRDefault="00561A85" w:rsidP="00561A85">
            <w:pPr>
              <w:jc w:val="center"/>
              <w:rPr>
                <w:rFonts w:ascii="Times New Roman" w:hAnsi="Times New Roman" w:cs="Times New Roman"/>
              </w:rPr>
            </w:pPr>
            <w:r w:rsidRPr="00AA108E">
              <w:rPr>
                <w:rFonts w:ascii="Times New Roman" w:hAnsi="Times New Roman" w:cs="Times New Roman"/>
              </w:rPr>
              <w:t>Total</w:t>
            </w:r>
          </w:p>
        </w:tc>
      </w:tr>
      <w:tr w:rsidR="00561A85" w:rsidRPr="00AA108E" w14:paraId="48856F62" w14:textId="77777777" w:rsidTr="008840B8">
        <w:trPr>
          <w:jc w:val="center"/>
        </w:trPr>
        <w:tc>
          <w:tcPr>
            <w:tcW w:w="2891" w:type="dxa"/>
            <w:vMerge/>
            <w:tcBorders>
              <w:top w:val="single" w:sz="4" w:space="0" w:color="auto"/>
              <w:bottom w:val="single" w:sz="4" w:space="0" w:color="auto"/>
            </w:tcBorders>
          </w:tcPr>
          <w:p w14:paraId="465F2593" w14:textId="77777777" w:rsidR="00561A85" w:rsidRPr="00AA108E" w:rsidRDefault="00561A85" w:rsidP="00561A85">
            <w:pPr>
              <w:rPr>
                <w:rFonts w:ascii="Times New Roman" w:hAnsi="Times New Roman" w:cs="Times New Roman"/>
              </w:rPr>
            </w:pPr>
          </w:p>
        </w:tc>
        <w:tc>
          <w:tcPr>
            <w:tcW w:w="1080" w:type="dxa"/>
            <w:tcBorders>
              <w:top w:val="single" w:sz="4" w:space="0" w:color="auto"/>
              <w:bottom w:val="single" w:sz="4" w:space="0" w:color="auto"/>
            </w:tcBorders>
          </w:tcPr>
          <w:p w14:paraId="4B315ED4" w14:textId="77777777" w:rsidR="00561A85" w:rsidRPr="00AA108E" w:rsidRDefault="00561A85" w:rsidP="00561A85">
            <w:pPr>
              <w:jc w:val="center"/>
              <w:rPr>
                <w:rFonts w:ascii="Times New Roman" w:hAnsi="Times New Roman" w:cs="Times New Roman"/>
              </w:rPr>
            </w:pPr>
            <w:r w:rsidRPr="00AA108E">
              <w:rPr>
                <w:rFonts w:ascii="Times New Roman" w:hAnsi="Times New Roman" w:cs="Times New Roman"/>
              </w:rPr>
              <w:t>$ Amt.</w:t>
            </w:r>
          </w:p>
        </w:tc>
        <w:tc>
          <w:tcPr>
            <w:tcW w:w="900" w:type="dxa"/>
            <w:tcBorders>
              <w:top w:val="single" w:sz="4" w:space="0" w:color="auto"/>
              <w:bottom w:val="single" w:sz="4" w:space="0" w:color="auto"/>
            </w:tcBorders>
          </w:tcPr>
          <w:p w14:paraId="400FD078" w14:textId="77777777" w:rsidR="00561A85" w:rsidRPr="00AA108E" w:rsidRDefault="00561A85" w:rsidP="00561A85">
            <w:pPr>
              <w:jc w:val="center"/>
              <w:rPr>
                <w:rFonts w:ascii="Times New Roman" w:hAnsi="Times New Roman" w:cs="Times New Roman"/>
              </w:rPr>
            </w:pPr>
            <w:r w:rsidRPr="00AA108E">
              <w:rPr>
                <w:rFonts w:ascii="Times New Roman" w:hAnsi="Times New Roman" w:cs="Times New Roman"/>
              </w:rPr>
              <w:t>% Chg.</w:t>
            </w:r>
          </w:p>
        </w:tc>
        <w:tc>
          <w:tcPr>
            <w:tcW w:w="1080" w:type="dxa"/>
            <w:tcBorders>
              <w:top w:val="single" w:sz="4" w:space="0" w:color="auto"/>
              <w:bottom w:val="single" w:sz="4" w:space="0" w:color="auto"/>
            </w:tcBorders>
          </w:tcPr>
          <w:p w14:paraId="39BD6330" w14:textId="77777777" w:rsidR="00561A85" w:rsidRPr="00AA108E" w:rsidRDefault="00561A85" w:rsidP="00561A85">
            <w:pPr>
              <w:jc w:val="center"/>
              <w:rPr>
                <w:rFonts w:ascii="Times New Roman" w:hAnsi="Times New Roman" w:cs="Times New Roman"/>
              </w:rPr>
            </w:pPr>
            <w:r w:rsidRPr="00AA108E">
              <w:rPr>
                <w:rFonts w:ascii="Times New Roman" w:hAnsi="Times New Roman" w:cs="Times New Roman"/>
              </w:rPr>
              <w:t>$ Amt.</w:t>
            </w:r>
          </w:p>
        </w:tc>
        <w:tc>
          <w:tcPr>
            <w:tcW w:w="990" w:type="dxa"/>
            <w:tcBorders>
              <w:top w:val="single" w:sz="4" w:space="0" w:color="auto"/>
              <w:bottom w:val="single" w:sz="4" w:space="0" w:color="auto"/>
            </w:tcBorders>
          </w:tcPr>
          <w:p w14:paraId="3192E8E1" w14:textId="77777777" w:rsidR="00561A85" w:rsidRPr="00AA108E" w:rsidRDefault="00561A85" w:rsidP="00561A85">
            <w:pPr>
              <w:jc w:val="center"/>
              <w:rPr>
                <w:rFonts w:ascii="Times New Roman" w:hAnsi="Times New Roman" w:cs="Times New Roman"/>
              </w:rPr>
            </w:pPr>
            <w:r w:rsidRPr="00AA108E">
              <w:rPr>
                <w:rFonts w:ascii="Times New Roman" w:hAnsi="Times New Roman" w:cs="Times New Roman"/>
              </w:rPr>
              <w:t>% Chg.</w:t>
            </w:r>
          </w:p>
        </w:tc>
        <w:tc>
          <w:tcPr>
            <w:tcW w:w="901" w:type="dxa"/>
            <w:tcBorders>
              <w:top w:val="single" w:sz="4" w:space="0" w:color="auto"/>
              <w:bottom w:val="single" w:sz="4" w:space="0" w:color="auto"/>
            </w:tcBorders>
          </w:tcPr>
          <w:p w14:paraId="6BFCBB4E" w14:textId="77777777" w:rsidR="00561A85" w:rsidRPr="00AA108E" w:rsidRDefault="00561A85" w:rsidP="00561A85">
            <w:pPr>
              <w:jc w:val="center"/>
              <w:rPr>
                <w:rFonts w:ascii="Times New Roman" w:hAnsi="Times New Roman" w:cs="Times New Roman"/>
              </w:rPr>
            </w:pPr>
            <w:r w:rsidRPr="00AA108E">
              <w:rPr>
                <w:rFonts w:ascii="Times New Roman" w:hAnsi="Times New Roman" w:cs="Times New Roman"/>
              </w:rPr>
              <w:t>$ Amt.</w:t>
            </w:r>
          </w:p>
        </w:tc>
        <w:tc>
          <w:tcPr>
            <w:tcW w:w="415" w:type="dxa"/>
            <w:tcBorders>
              <w:top w:val="single" w:sz="4" w:space="0" w:color="auto"/>
              <w:bottom w:val="single" w:sz="4" w:space="0" w:color="auto"/>
            </w:tcBorders>
          </w:tcPr>
          <w:p w14:paraId="59AA88AF" w14:textId="77777777" w:rsidR="00561A85" w:rsidRPr="00AA108E" w:rsidRDefault="00561A85" w:rsidP="00561A85">
            <w:pPr>
              <w:jc w:val="center"/>
              <w:rPr>
                <w:rFonts w:ascii="Times New Roman" w:hAnsi="Times New Roman" w:cs="Times New Roman"/>
              </w:rPr>
            </w:pPr>
          </w:p>
        </w:tc>
        <w:tc>
          <w:tcPr>
            <w:tcW w:w="881" w:type="dxa"/>
            <w:tcBorders>
              <w:top w:val="single" w:sz="4" w:space="0" w:color="auto"/>
              <w:bottom w:val="single" w:sz="4" w:space="0" w:color="auto"/>
            </w:tcBorders>
          </w:tcPr>
          <w:p w14:paraId="7E4A8A65" w14:textId="77777777" w:rsidR="00561A85" w:rsidRPr="00AA108E" w:rsidRDefault="00561A85" w:rsidP="00561A85">
            <w:pPr>
              <w:jc w:val="center"/>
              <w:rPr>
                <w:rFonts w:ascii="Times New Roman" w:hAnsi="Times New Roman" w:cs="Times New Roman"/>
              </w:rPr>
            </w:pPr>
            <w:r w:rsidRPr="00AA108E">
              <w:rPr>
                <w:rFonts w:ascii="Times New Roman" w:hAnsi="Times New Roman" w:cs="Times New Roman"/>
              </w:rPr>
              <w:t>$ Amt.</w:t>
            </w:r>
          </w:p>
        </w:tc>
        <w:tc>
          <w:tcPr>
            <w:tcW w:w="966" w:type="dxa"/>
            <w:tcBorders>
              <w:top w:val="single" w:sz="4" w:space="0" w:color="auto"/>
              <w:bottom w:val="single" w:sz="4" w:space="0" w:color="auto"/>
            </w:tcBorders>
          </w:tcPr>
          <w:p w14:paraId="0CAC4951" w14:textId="77777777" w:rsidR="00561A85" w:rsidRPr="00AA108E" w:rsidRDefault="00561A85" w:rsidP="00561A85">
            <w:pPr>
              <w:jc w:val="center"/>
              <w:rPr>
                <w:rFonts w:ascii="Times New Roman" w:hAnsi="Times New Roman" w:cs="Times New Roman"/>
              </w:rPr>
            </w:pPr>
            <w:r w:rsidRPr="00AA108E">
              <w:rPr>
                <w:rFonts w:ascii="Times New Roman" w:hAnsi="Times New Roman" w:cs="Times New Roman"/>
              </w:rPr>
              <w:t>% Chg.</w:t>
            </w:r>
          </w:p>
        </w:tc>
      </w:tr>
      <w:tr w:rsidR="00561A85" w:rsidRPr="00AA108E" w14:paraId="33E0A72E" w14:textId="77777777" w:rsidTr="008840B8">
        <w:trPr>
          <w:jc w:val="center"/>
        </w:trPr>
        <w:tc>
          <w:tcPr>
            <w:tcW w:w="2891" w:type="dxa"/>
            <w:tcBorders>
              <w:top w:val="single" w:sz="4" w:space="0" w:color="auto"/>
            </w:tcBorders>
          </w:tcPr>
          <w:p w14:paraId="420EDCF7" w14:textId="77777777" w:rsidR="00561A85" w:rsidRPr="00AA108E" w:rsidRDefault="00561A85" w:rsidP="00561A85">
            <w:pPr>
              <w:rPr>
                <w:rFonts w:ascii="Times New Roman" w:hAnsi="Times New Roman" w:cs="Times New Roman"/>
              </w:rPr>
            </w:pPr>
            <w:r w:rsidRPr="00AA108E">
              <w:rPr>
                <w:rFonts w:ascii="Times New Roman" w:hAnsi="Times New Roman" w:cs="Times New Roman"/>
              </w:rPr>
              <w:t>Chg. in Wage &amp; Salaries</w:t>
            </w:r>
          </w:p>
        </w:tc>
        <w:tc>
          <w:tcPr>
            <w:tcW w:w="1080" w:type="dxa"/>
            <w:tcBorders>
              <w:top w:val="single" w:sz="4" w:space="0" w:color="auto"/>
            </w:tcBorders>
          </w:tcPr>
          <w:p w14:paraId="4F3FCBD1"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$235.3</w:t>
            </w:r>
          </w:p>
        </w:tc>
        <w:tc>
          <w:tcPr>
            <w:tcW w:w="900" w:type="dxa"/>
            <w:tcBorders>
              <w:top w:val="single" w:sz="4" w:space="0" w:color="auto"/>
            </w:tcBorders>
          </w:tcPr>
          <w:p w14:paraId="5D7AF3D4"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21.7%</w:t>
            </w:r>
          </w:p>
        </w:tc>
        <w:tc>
          <w:tcPr>
            <w:tcW w:w="1080" w:type="dxa"/>
            <w:tcBorders>
              <w:top w:val="single" w:sz="4" w:space="0" w:color="auto"/>
            </w:tcBorders>
          </w:tcPr>
          <w:p w14:paraId="50E9033A"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$(26.1)</w:t>
            </w:r>
          </w:p>
        </w:tc>
        <w:tc>
          <w:tcPr>
            <w:tcW w:w="990" w:type="dxa"/>
            <w:tcBorders>
              <w:top w:val="single" w:sz="4" w:space="0" w:color="auto"/>
            </w:tcBorders>
          </w:tcPr>
          <w:p w14:paraId="162DA18A"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(32.3%)</w:t>
            </w:r>
          </w:p>
        </w:tc>
        <w:tc>
          <w:tcPr>
            <w:tcW w:w="901" w:type="dxa"/>
            <w:tcBorders>
              <w:top w:val="single" w:sz="4" w:space="0" w:color="auto"/>
            </w:tcBorders>
          </w:tcPr>
          <w:p w14:paraId="6F9AD9F6"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$(16.9)</w:t>
            </w:r>
          </w:p>
        </w:tc>
        <w:tc>
          <w:tcPr>
            <w:tcW w:w="415" w:type="dxa"/>
            <w:tcBorders>
              <w:top w:val="single" w:sz="4" w:space="0" w:color="auto"/>
            </w:tcBorders>
          </w:tcPr>
          <w:p w14:paraId="22A8A05D" w14:textId="77777777" w:rsidR="00561A85" w:rsidRPr="00AA108E" w:rsidRDefault="00561A85" w:rsidP="00561A85">
            <w:pPr>
              <w:jc w:val="right"/>
              <w:rPr>
                <w:rFonts w:ascii="Times New Roman" w:hAnsi="Times New Roman" w:cs="Times New Roman"/>
              </w:rPr>
            </w:pPr>
          </w:p>
        </w:tc>
        <w:tc>
          <w:tcPr>
            <w:tcW w:w="881" w:type="dxa"/>
            <w:tcBorders>
              <w:top w:val="single" w:sz="4" w:space="0" w:color="auto"/>
            </w:tcBorders>
          </w:tcPr>
          <w:p w14:paraId="3A1CDC23"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$192.2</w:t>
            </w:r>
          </w:p>
        </w:tc>
        <w:tc>
          <w:tcPr>
            <w:tcW w:w="966" w:type="dxa"/>
            <w:tcBorders>
              <w:top w:val="single" w:sz="4" w:space="0" w:color="auto"/>
            </w:tcBorders>
          </w:tcPr>
          <w:p w14:paraId="00360814"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16.5%</w:t>
            </w:r>
          </w:p>
        </w:tc>
      </w:tr>
      <w:tr w:rsidR="00561A85" w:rsidRPr="00AA108E" w14:paraId="3A6D2CF8" w14:textId="77777777" w:rsidTr="00787325">
        <w:trPr>
          <w:jc w:val="center"/>
        </w:trPr>
        <w:tc>
          <w:tcPr>
            <w:tcW w:w="2891" w:type="dxa"/>
          </w:tcPr>
          <w:p w14:paraId="4C7A673A" w14:textId="77777777" w:rsidR="00561A85" w:rsidRPr="00AA108E" w:rsidRDefault="00561A85" w:rsidP="00561A85">
            <w:pPr>
              <w:rPr>
                <w:rFonts w:ascii="Times New Roman" w:hAnsi="Times New Roman" w:cs="Times New Roman"/>
              </w:rPr>
            </w:pPr>
            <w:r w:rsidRPr="00AA108E">
              <w:rPr>
                <w:rFonts w:ascii="Times New Roman" w:hAnsi="Times New Roman" w:cs="Times New Roman"/>
              </w:rPr>
              <w:t xml:space="preserve">Chg. in Total DC </w:t>
            </w:r>
            <w:proofErr w:type="spellStart"/>
            <w:r w:rsidRPr="00AA108E">
              <w:rPr>
                <w:rFonts w:ascii="Times New Roman" w:hAnsi="Times New Roman" w:cs="Times New Roman"/>
              </w:rPr>
              <w:t>Indiv</w:t>
            </w:r>
            <w:proofErr w:type="spellEnd"/>
            <w:r w:rsidRPr="00AA108E">
              <w:rPr>
                <w:rFonts w:ascii="Times New Roman" w:hAnsi="Times New Roman" w:cs="Times New Roman"/>
              </w:rPr>
              <w:t>. Inc. Tax</w:t>
            </w:r>
          </w:p>
        </w:tc>
        <w:tc>
          <w:tcPr>
            <w:tcW w:w="1080" w:type="dxa"/>
          </w:tcPr>
          <w:p w14:paraId="0ED70A4B"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$4.3</w:t>
            </w:r>
          </w:p>
        </w:tc>
        <w:tc>
          <w:tcPr>
            <w:tcW w:w="900" w:type="dxa"/>
          </w:tcPr>
          <w:p w14:paraId="6AB29A23"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16.4%</w:t>
            </w:r>
          </w:p>
        </w:tc>
        <w:tc>
          <w:tcPr>
            <w:tcW w:w="1080" w:type="dxa"/>
          </w:tcPr>
          <w:p w14:paraId="60D02813"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$(0.3)</w:t>
            </w:r>
          </w:p>
        </w:tc>
        <w:tc>
          <w:tcPr>
            <w:tcW w:w="990" w:type="dxa"/>
          </w:tcPr>
          <w:p w14:paraId="2C9E484E"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(29.0%)</w:t>
            </w:r>
          </w:p>
        </w:tc>
        <w:tc>
          <w:tcPr>
            <w:tcW w:w="901" w:type="dxa"/>
          </w:tcPr>
          <w:p w14:paraId="4F48A549"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$(0.4)</w:t>
            </w:r>
          </w:p>
        </w:tc>
        <w:tc>
          <w:tcPr>
            <w:tcW w:w="415" w:type="dxa"/>
          </w:tcPr>
          <w:p w14:paraId="30F9D044" w14:textId="77777777" w:rsidR="00561A85" w:rsidRPr="00AA108E" w:rsidRDefault="00561A85" w:rsidP="00561A85">
            <w:pPr>
              <w:jc w:val="right"/>
              <w:rPr>
                <w:rFonts w:ascii="Times New Roman" w:hAnsi="Times New Roman" w:cs="Times New Roman"/>
              </w:rPr>
            </w:pPr>
          </w:p>
        </w:tc>
        <w:tc>
          <w:tcPr>
            <w:tcW w:w="881" w:type="dxa"/>
          </w:tcPr>
          <w:p w14:paraId="7AB78602"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$3.6</w:t>
            </w:r>
          </w:p>
        </w:tc>
        <w:tc>
          <w:tcPr>
            <w:tcW w:w="966" w:type="dxa"/>
          </w:tcPr>
          <w:p w14:paraId="6D9CFB9A"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13.5%</w:t>
            </w:r>
          </w:p>
        </w:tc>
      </w:tr>
      <w:tr w:rsidR="00561A85" w:rsidRPr="00AA108E" w14:paraId="633DCA27" w14:textId="77777777" w:rsidTr="00787325">
        <w:trPr>
          <w:jc w:val="center"/>
        </w:trPr>
        <w:tc>
          <w:tcPr>
            <w:tcW w:w="2891" w:type="dxa"/>
          </w:tcPr>
          <w:p w14:paraId="096300D6" w14:textId="77777777" w:rsidR="00561A85" w:rsidRPr="00AA108E" w:rsidRDefault="00561A85" w:rsidP="00561A85">
            <w:pPr>
              <w:rPr>
                <w:rFonts w:ascii="Times New Roman" w:hAnsi="Times New Roman" w:cs="Times New Roman"/>
              </w:rPr>
            </w:pPr>
            <w:r w:rsidRPr="00AA108E">
              <w:rPr>
                <w:rFonts w:ascii="Times New Roman" w:hAnsi="Times New Roman" w:cs="Times New Roman"/>
              </w:rPr>
              <w:t>Chg. in Federal EITC</w:t>
            </w:r>
          </w:p>
        </w:tc>
        <w:tc>
          <w:tcPr>
            <w:tcW w:w="1080" w:type="dxa"/>
          </w:tcPr>
          <w:p w14:paraId="3623C3F2"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$(4.8)</w:t>
            </w:r>
          </w:p>
        </w:tc>
        <w:tc>
          <w:tcPr>
            <w:tcW w:w="900" w:type="dxa"/>
          </w:tcPr>
          <w:p w14:paraId="1520E938"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(7.4%)</w:t>
            </w:r>
          </w:p>
        </w:tc>
        <w:tc>
          <w:tcPr>
            <w:tcW w:w="1080" w:type="dxa"/>
          </w:tcPr>
          <w:p w14:paraId="2A9FB5B4"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$(4.6)</w:t>
            </w:r>
          </w:p>
        </w:tc>
        <w:tc>
          <w:tcPr>
            <w:tcW w:w="990" w:type="dxa"/>
          </w:tcPr>
          <w:p w14:paraId="4C0A823F"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(35.6%)</w:t>
            </w:r>
          </w:p>
        </w:tc>
        <w:tc>
          <w:tcPr>
            <w:tcW w:w="901" w:type="dxa"/>
          </w:tcPr>
          <w:p w14:paraId="4A338C25"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$(1.0)</w:t>
            </w:r>
          </w:p>
        </w:tc>
        <w:tc>
          <w:tcPr>
            <w:tcW w:w="415" w:type="dxa"/>
          </w:tcPr>
          <w:p w14:paraId="36943871" w14:textId="77777777" w:rsidR="00561A85" w:rsidRPr="00AA108E" w:rsidRDefault="00561A85" w:rsidP="00561A85">
            <w:pPr>
              <w:jc w:val="right"/>
              <w:rPr>
                <w:rFonts w:ascii="Times New Roman" w:hAnsi="Times New Roman" w:cs="Times New Roman"/>
              </w:rPr>
            </w:pPr>
          </w:p>
        </w:tc>
        <w:tc>
          <w:tcPr>
            <w:tcW w:w="881" w:type="dxa"/>
          </w:tcPr>
          <w:p w14:paraId="6F460816"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$(10.4)</w:t>
            </w:r>
          </w:p>
        </w:tc>
        <w:tc>
          <w:tcPr>
            <w:tcW w:w="966" w:type="dxa"/>
          </w:tcPr>
          <w:p w14:paraId="6CB1274E"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(11.3%)</w:t>
            </w:r>
          </w:p>
        </w:tc>
      </w:tr>
      <w:tr w:rsidR="00561A85" w:rsidRPr="00AA108E" w14:paraId="29247A8D" w14:textId="77777777" w:rsidTr="00787325">
        <w:trPr>
          <w:jc w:val="center"/>
        </w:trPr>
        <w:tc>
          <w:tcPr>
            <w:tcW w:w="2891" w:type="dxa"/>
          </w:tcPr>
          <w:p w14:paraId="54812CE2" w14:textId="77777777" w:rsidR="00561A85" w:rsidRPr="00AA108E" w:rsidRDefault="00561A85" w:rsidP="00561A85">
            <w:pPr>
              <w:rPr>
                <w:rFonts w:ascii="Times New Roman" w:hAnsi="Times New Roman" w:cs="Times New Roman"/>
              </w:rPr>
            </w:pPr>
            <w:r w:rsidRPr="00AA108E">
              <w:rPr>
                <w:rFonts w:ascii="Times New Roman" w:hAnsi="Times New Roman" w:cs="Times New Roman"/>
              </w:rPr>
              <w:t>Chg. in DC EITC</w:t>
            </w:r>
          </w:p>
        </w:tc>
        <w:tc>
          <w:tcPr>
            <w:tcW w:w="1080" w:type="dxa"/>
          </w:tcPr>
          <w:p w14:paraId="7AA3B775"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$(3.4)</w:t>
            </w:r>
          </w:p>
        </w:tc>
        <w:tc>
          <w:tcPr>
            <w:tcW w:w="900" w:type="dxa"/>
          </w:tcPr>
          <w:p w14:paraId="75C21024"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(7.4%)</w:t>
            </w:r>
          </w:p>
        </w:tc>
        <w:tc>
          <w:tcPr>
            <w:tcW w:w="1080" w:type="dxa"/>
          </w:tcPr>
          <w:p w14:paraId="30F23309"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$(1.8)</w:t>
            </w:r>
          </w:p>
        </w:tc>
        <w:tc>
          <w:tcPr>
            <w:tcW w:w="990" w:type="dxa"/>
          </w:tcPr>
          <w:p w14:paraId="569CA0C8"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(35.6%)</w:t>
            </w:r>
          </w:p>
        </w:tc>
        <w:tc>
          <w:tcPr>
            <w:tcW w:w="901" w:type="dxa"/>
          </w:tcPr>
          <w:p w14:paraId="51D1018E"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$(0.7)</w:t>
            </w:r>
          </w:p>
        </w:tc>
        <w:tc>
          <w:tcPr>
            <w:tcW w:w="415" w:type="dxa"/>
          </w:tcPr>
          <w:p w14:paraId="5A3589D0" w14:textId="77777777" w:rsidR="00561A85" w:rsidRPr="00AA108E" w:rsidRDefault="00561A85" w:rsidP="00561A85">
            <w:pPr>
              <w:jc w:val="right"/>
              <w:rPr>
                <w:rFonts w:ascii="Times New Roman" w:hAnsi="Times New Roman" w:cs="Times New Roman"/>
              </w:rPr>
            </w:pPr>
          </w:p>
        </w:tc>
        <w:tc>
          <w:tcPr>
            <w:tcW w:w="881" w:type="dxa"/>
          </w:tcPr>
          <w:p w14:paraId="52F4D99C"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$(6.0)</w:t>
            </w:r>
          </w:p>
        </w:tc>
        <w:tc>
          <w:tcPr>
            <w:tcW w:w="966" w:type="dxa"/>
          </w:tcPr>
          <w:p w14:paraId="164D28D7"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(11.3%)</w:t>
            </w:r>
          </w:p>
        </w:tc>
      </w:tr>
      <w:tr w:rsidR="00561A85" w:rsidRPr="00AA108E" w14:paraId="542F889B" w14:textId="77777777" w:rsidTr="00787325">
        <w:trPr>
          <w:jc w:val="center"/>
        </w:trPr>
        <w:tc>
          <w:tcPr>
            <w:tcW w:w="2891" w:type="dxa"/>
          </w:tcPr>
          <w:p w14:paraId="777E40C5" w14:textId="77777777" w:rsidR="00561A85" w:rsidRPr="00AA108E" w:rsidRDefault="00561A85" w:rsidP="00561A85">
            <w:pPr>
              <w:rPr>
                <w:rFonts w:ascii="Times New Roman" w:hAnsi="Times New Roman" w:cs="Times New Roman"/>
                <w:b/>
              </w:rPr>
            </w:pPr>
          </w:p>
        </w:tc>
        <w:tc>
          <w:tcPr>
            <w:tcW w:w="1080" w:type="dxa"/>
          </w:tcPr>
          <w:p w14:paraId="4187C5B2" w14:textId="77777777" w:rsidR="00561A85" w:rsidRPr="00AA108E" w:rsidRDefault="00561A85" w:rsidP="00561A85">
            <w:pPr>
              <w:jc w:val="right"/>
              <w:rPr>
                <w:rFonts w:ascii="Times New Roman" w:hAnsi="Times New Roman" w:cs="Times New Roman"/>
                <w:b/>
              </w:rPr>
            </w:pPr>
          </w:p>
        </w:tc>
        <w:tc>
          <w:tcPr>
            <w:tcW w:w="900" w:type="dxa"/>
          </w:tcPr>
          <w:p w14:paraId="10B80885" w14:textId="77777777" w:rsidR="00561A85" w:rsidRPr="00AA108E" w:rsidRDefault="00561A85" w:rsidP="00561A85">
            <w:pPr>
              <w:jc w:val="right"/>
              <w:rPr>
                <w:rFonts w:ascii="Times New Roman" w:hAnsi="Times New Roman" w:cs="Times New Roman"/>
                <w:b/>
              </w:rPr>
            </w:pPr>
          </w:p>
        </w:tc>
        <w:tc>
          <w:tcPr>
            <w:tcW w:w="1080" w:type="dxa"/>
          </w:tcPr>
          <w:p w14:paraId="7F2B9B66" w14:textId="77777777" w:rsidR="00561A85" w:rsidRPr="00AA108E" w:rsidRDefault="00561A85" w:rsidP="00561A85">
            <w:pPr>
              <w:jc w:val="right"/>
              <w:rPr>
                <w:rFonts w:ascii="Times New Roman" w:hAnsi="Times New Roman" w:cs="Times New Roman"/>
                <w:b/>
              </w:rPr>
            </w:pPr>
          </w:p>
        </w:tc>
        <w:tc>
          <w:tcPr>
            <w:tcW w:w="990" w:type="dxa"/>
          </w:tcPr>
          <w:p w14:paraId="46F58407" w14:textId="77777777" w:rsidR="00561A85" w:rsidRPr="00AA108E" w:rsidRDefault="00561A85" w:rsidP="00561A85">
            <w:pPr>
              <w:jc w:val="right"/>
              <w:rPr>
                <w:rFonts w:ascii="Times New Roman" w:hAnsi="Times New Roman" w:cs="Times New Roman"/>
                <w:b/>
              </w:rPr>
            </w:pPr>
          </w:p>
        </w:tc>
        <w:tc>
          <w:tcPr>
            <w:tcW w:w="901" w:type="dxa"/>
          </w:tcPr>
          <w:p w14:paraId="53D6D0A4" w14:textId="77777777" w:rsidR="00561A85" w:rsidRPr="00AA108E" w:rsidRDefault="00561A85" w:rsidP="00561A85">
            <w:pPr>
              <w:jc w:val="right"/>
              <w:rPr>
                <w:rFonts w:ascii="Times New Roman" w:hAnsi="Times New Roman" w:cs="Times New Roman"/>
                <w:b/>
              </w:rPr>
            </w:pPr>
          </w:p>
        </w:tc>
        <w:tc>
          <w:tcPr>
            <w:tcW w:w="415" w:type="dxa"/>
          </w:tcPr>
          <w:p w14:paraId="730F0415" w14:textId="77777777" w:rsidR="00561A85" w:rsidRPr="00AA108E" w:rsidRDefault="00561A85" w:rsidP="00561A85">
            <w:pPr>
              <w:jc w:val="right"/>
              <w:rPr>
                <w:rFonts w:ascii="Times New Roman" w:hAnsi="Times New Roman" w:cs="Times New Roman"/>
                <w:b/>
              </w:rPr>
            </w:pPr>
          </w:p>
        </w:tc>
        <w:tc>
          <w:tcPr>
            <w:tcW w:w="881" w:type="dxa"/>
          </w:tcPr>
          <w:p w14:paraId="221C9809" w14:textId="77777777" w:rsidR="00561A85" w:rsidRPr="00AA108E" w:rsidRDefault="00561A85" w:rsidP="00561A85">
            <w:pPr>
              <w:jc w:val="right"/>
              <w:rPr>
                <w:rFonts w:ascii="Times New Roman" w:hAnsi="Times New Roman" w:cs="Times New Roman"/>
                <w:b/>
              </w:rPr>
            </w:pPr>
          </w:p>
        </w:tc>
        <w:tc>
          <w:tcPr>
            <w:tcW w:w="966" w:type="dxa"/>
          </w:tcPr>
          <w:p w14:paraId="3E01553B" w14:textId="77777777" w:rsidR="00561A85" w:rsidRPr="00AA108E" w:rsidRDefault="00561A85" w:rsidP="00561A85">
            <w:pPr>
              <w:jc w:val="right"/>
              <w:rPr>
                <w:rFonts w:ascii="Times New Roman" w:hAnsi="Times New Roman" w:cs="Times New Roman"/>
                <w:b/>
              </w:rPr>
            </w:pPr>
          </w:p>
        </w:tc>
      </w:tr>
      <w:tr w:rsidR="00561A85" w:rsidRPr="00AA108E" w14:paraId="2D0FF21D" w14:textId="77777777" w:rsidTr="008840B8">
        <w:trPr>
          <w:jc w:val="center"/>
        </w:trPr>
        <w:tc>
          <w:tcPr>
            <w:tcW w:w="2891" w:type="dxa"/>
          </w:tcPr>
          <w:p w14:paraId="3E9889C9" w14:textId="77777777" w:rsidR="00561A85" w:rsidRPr="00AA108E" w:rsidRDefault="00561A85" w:rsidP="00561A85">
            <w:pPr>
              <w:rPr>
                <w:rFonts w:ascii="Times New Roman" w:hAnsi="Times New Roman" w:cs="Times New Roman"/>
                <w:b/>
              </w:rPr>
            </w:pPr>
            <w:r w:rsidRPr="00AA108E">
              <w:rPr>
                <w:rFonts w:ascii="Times New Roman" w:hAnsi="Times New Roman" w:cs="Times New Roman"/>
                <w:b/>
              </w:rPr>
              <w:t>Net Impact</w:t>
            </w:r>
          </w:p>
        </w:tc>
        <w:tc>
          <w:tcPr>
            <w:tcW w:w="1080" w:type="dxa"/>
          </w:tcPr>
          <w:p w14:paraId="7CEAB7F0" w14:textId="77777777" w:rsidR="00561A85" w:rsidRPr="00AA108E" w:rsidRDefault="00561A85" w:rsidP="00561A85">
            <w:pPr>
              <w:jc w:val="right"/>
              <w:rPr>
                <w:rFonts w:ascii="Times New Roman" w:hAnsi="Times New Roman" w:cs="Times New Roman"/>
                <w:b/>
              </w:rPr>
            </w:pPr>
            <w:r w:rsidRPr="00AA108E">
              <w:rPr>
                <w:rFonts w:ascii="Times New Roman" w:hAnsi="Times New Roman" w:cs="Times New Roman"/>
                <w:b/>
              </w:rPr>
              <w:t>$231.3</w:t>
            </w:r>
          </w:p>
        </w:tc>
        <w:tc>
          <w:tcPr>
            <w:tcW w:w="900" w:type="dxa"/>
          </w:tcPr>
          <w:p w14:paraId="539F5CCF" w14:textId="77777777" w:rsidR="00561A85" w:rsidRPr="00AA108E" w:rsidRDefault="00561A85" w:rsidP="00561A85">
            <w:pPr>
              <w:jc w:val="right"/>
              <w:rPr>
                <w:rFonts w:ascii="Times New Roman" w:hAnsi="Times New Roman" w:cs="Times New Roman"/>
                <w:b/>
              </w:rPr>
            </w:pPr>
            <w:r w:rsidRPr="00AA108E">
              <w:rPr>
                <w:rFonts w:ascii="Times New Roman" w:hAnsi="Times New Roman" w:cs="Times New Roman"/>
                <w:b/>
              </w:rPr>
              <w:t>19.0%</w:t>
            </w:r>
          </w:p>
        </w:tc>
        <w:tc>
          <w:tcPr>
            <w:tcW w:w="1080" w:type="dxa"/>
          </w:tcPr>
          <w:p w14:paraId="23B85D53" w14:textId="77777777" w:rsidR="00561A85" w:rsidRPr="00AA108E" w:rsidRDefault="00561A85" w:rsidP="00561A85">
            <w:pPr>
              <w:jc w:val="right"/>
              <w:rPr>
                <w:rFonts w:ascii="Times New Roman" w:hAnsi="Times New Roman" w:cs="Times New Roman"/>
                <w:b/>
              </w:rPr>
            </w:pPr>
            <w:r w:rsidRPr="00AA108E">
              <w:rPr>
                <w:rFonts w:ascii="Times New Roman" w:hAnsi="Times New Roman" w:cs="Times New Roman"/>
                <w:b/>
              </w:rPr>
              <w:t>$(32.8)</w:t>
            </w:r>
          </w:p>
        </w:tc>
        <w:tc>
          <w:tcPr>
            <w:tcW w:w="990" w:type="dxa"/>
          </w:tcPr>
          <w:p w14:paraId="72E0F0BF" w14:textId="77777777" w:rsidR="00561A85" w:rsidRPr="00AA108E" w:rsidRDefault="00561A85" w:rsidP="00561A85">
            <w:pPr>
              <w:jc w:val="right"/>
              <w:rPr>
                <w:rFonts w:ascii="Times New Roman" w:hAnsi="Times New Roman" w:cs="Times New Roman"/>
                <w:b/>
              </w:rPr>
            </w:pPr>
            <w:r w:rsidRPr="00AA108E">
              <w:rPr>
                <w:rFonts w:ascii="Times New Roman" w:hAnsi="Times New Roman" w:cs="Times New Roman"/>
                <w:b/>
              </w:rPr>
              <w:t>19.0%</w:t>
            </w:r>
          </w:p>
        </w:tc>
        <w:tc>
          <w:tcPr>
            <w:tcW w:w="901" w:type="dxa"/>
          </w:tcPr>
          <w:p w14:paraId="3A80C70C" w14:textId="77777777" w:rsidR="00561A85" w:rsidRPr="00AA108E" w:rsidRDefault="00561A85" w:rsidP="00561A85">
            <w:pPr>
              <w:jc w:val="right"/>
              <w:rPr>
                <w:rFonts w:ascii="Times New Roman" w:hAnsi="Times New Roman" w:cs="Times New Roman"/>
                <w:b/>
              </w:rPr>
            </w:pPr>
            <w:r w:rsidRPr="00AA108E">
              <w:rPr>
                <w:rFonts w:ascii="Times New Roman" w:hAnsi="Times New Roman" w:cs="Times New Roman"/>
                <w:b/>
              </w:rPr>
              <w:t>$(19.0)</w:t>
            </w:r>
          </w:p>
        </w:tc>
        <w:tc>
          <w:tcPr>
            <w:tcW w:w="415" w:type="dxa"/>
          </w:tcPr>
          <w:p w14:paraId="7960F458" w14:textId="77777777" w:rsidR="00561A85" w:rsidRPr="00AA108E" w:rsidRDefault="00561A85" w:rsidP="00561A85">
            <w:pPr>
              <w:jc w:val="right"/>
              <w:rPr>
                <w:rFonts w:ascii="Times New Roman" w:hAnsi="Times New Roman" w:cs="Times New Roman"/>
                <w:b/>
              </w:rPr>
            </w:pPr>
          </w:p>
        </w:tc>
        <w:tc>
          <w:tcPr>
            <w:tcW w:w="881" w:type="dxa"/>
          </w:tcPr>
          <w:p w14:paraId="178ABDC5" w14:textId="77777777" w:rsidR="00561A85" w:rsidRPr="00AA108E" w:rsidRDefault="00561A85" w:rsidP="00561A85">
            <w:pPr>
              <w:jc w:val="right"/>
              <w:rPr>
                <w:rFonts w:ascii="Times New Roman" w:hAnsi="Times New Roman" w:cs="Times New Roman"/>
                <w:b/>
              </w:rPr>
            </w:pPr>
            <w:r w:rsidRPr="00AA108E">
              <w:rPr>
                <w:rFonts w:ascii="Times New Roman" w:hAnsi="Times New Roman" w:cs="Times New Roman"/>
                <w:b/>
              </w:rPr>
              <w:t>$179.5</w:t>
            </w:r>
          </w:p>
        </w:tc>
        <w:tc>
          <w:tcPr>
            <w:tcW w:w="966" w:type="dxa"/>
          </w:tcPr>
          <w:p w14:paraId="409EF453" w14:textId="77777777" w:rsidR="00561A85" w:rsidRPr="00AA108E" w:rsidRDefault="00561A85" w:rsidP="00561A85">
            <w:pPr>
              <w:jc w:val="right"/>
              <w:rPr>
                <w:rFonts w:ascii="Times New Roman" w:hAnsi="Times New Roman" w:cs="Times New Roman"/>
                <w:b/>
              </w:rPr>
            </w:pPr>
            <w:r w:rsidRPr="00AA108E">
              <w:rPr>
                <w:rFonts w:ascii="Times New Roman" w:hAnsi="Times New Roman" w:cs="Times New Roman"/>
                <w:b/>
              </w:rPr>
              <w:t>13.6%</w:t>
            </w:r>
          </w:p>
        </w:tc>
      </w:tr>
      <w:tr w:rsidR="00561A85" w:rsidRPr="00AA108E" w14:paraId="582B1F9D" w14:textId="77777777" w:rsidTr="008840B8">
        <w:trPr>
          <w:jc w:val="center"/>
        </w:trPr>
        <w:tc>
          <w:tcPr>
            <w:tcW w:w="2891" w:type="dxa"/>
            <w:tcBorders>
              <w:bottom w:val="single" w:sz="4" w:space="0" w:color="auto"/>
            </w:tcBorders>
          </w:tcPr>
          <w:p w14:paraId="57C813D5" w14:textId="77777777" w:rsidR="00561A85" w:rsidRPr="00AA108E" w:rsidRDefault="00561A85" w:rsidP="00561A85">
            <w:pPr>
              <w:rPr>
                <w:rFonts w:ascii="Times New Roman" w:hAnsi="Times New Roman" w:cs="Times New Roman"/>
              </w:rPr>
            </w:pPr>
            <w:r w:rsidRPr="00AA108E">
              <w:rPr>
                <w:rFonts w:ascii="Times New Roman" w:hAnsi="Times New Roman" w:cs="Times New Roman"/>
              </w:rPr>
              <w:t># Impacted Tax Filers</w:t>
            </w:r>
          </w:p>
        </w:tc>
        <w:tc>
          <w:tcPr>
            <w:tcW w:w="1080" w:type="dxa"/>
            <w:tcBorders>
              <w:bottom w:val="single" w:sz="4" w:space="0" w:color="auto"/>
            </w:tcBorders>
          </w:tcPr>
          <w:p w14:paraId="31ADAF4B"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52,039</w:t>
            </w:r>
          </w:p>
        </w:tc>
        <w:tc>
          <w:tcPr>
            <w:tcW w:w="900" w:type="dxa"/>
            <w:tcBorders>
              <w:bottom w:val="single" w:sz="4" w:space="0" w:color="auto"/>
            </w:tcBorders>
          </w:tcPr>
          <w:p w14:paraId="6F2A8CB6" w14:textId="77777777" w:rsidR="00561A85" w:rsidRPr="00AA108E" w:rsidRDefault="00561A85" w:rsidP="00561A85">
            <w:pPr>
              <w:jc w:val="right"/>
              <w:rPr>
                <w:rFonts w:ascii="Times New Roman" w:hAnsi="Times New Roman" w:cs="Times New Roman"/>
              </w:rPr>
            </w:pPr>
          </w:p>
        </w:tc>
        <w:tc>
          <w:tcPr>
            <w:tcW w:w="1080" w:type="dxa"/>
            <w:tcBorders>
              <w:bottom w:val="single" w:sz="4" w:space="0" w:color="auto"/>
            </w:tcBorders>
          </w:tcPr>
          <w:p w14:paraId="4E65125C"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7,635</w:t>
            </w:r>
          </w:p>
        </w:tc>
        <w:tc>
          <w:tcPr>
            <w:tcW w:w="990" w:type="dxa"/>
            <w:tcBorders>
              <w:bottom w:val="single" w:sz="4" w:space="0" w:color="auto"/>
            </w:tcBorders>
          </w:tcPr>
          <w:p w14:paraId="167E3129" w14:textId="77777777" w:rsidR="00561A85" w:rsidRPr="00AA108E" w:rsidRDefault="00561A85" w:rsidP="00561A85">
            <w:pPr>
              <w:jc w:val="right"/>
              <w:rPr>
                <w:rFonts w:ascii="Times New Roman" w:hAnsi="Times New Roman" w:cs="Times New Roman"/>
              </w:rPr>
            </w:pPr>
          </w:p>
        </w:tc>
        <w:tc>
          <w:tcPr>
            <w:tcW w:w="901" w:type="dxa"/>
            <w:tcBorders>
              <w:bottom w:val="single" w:sz="4" w:space="0" w:color="auto"/>
            </w:tcBorders>
          </w:tcPr>
          <w:p w14:paraId="0230AE4A"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1,074</w:t>
            </w:r>
          </w:p>
        </w:tc>
        <w:tc>
          <w:tcPr>
            <w:tcW w:w="415" w:type="dxa"/>
            <w:tcBorders>
              <w:bottom w:val="single" w:sz="4" w:space="0" w:color="auto"/>
            </w:tcBorders>
          </w:tcPr>
          <w:p w14:paraId="209B0FCC" w14:textId="77777777" w:rsidR="00561A85" w:rsidRPr="00AA108E" w:rsidRDefault="00561A85" w:rsidP="00561A85">
            <w:pPr>
              <w:jc w:val="right"/>
              <w:rPr>
                <w:rFonts w:ascii="Times New Roman" w:hAnsi="Times New Roman" w:cs="Times New Roman"/>
              </w:rPr>
            </w:pPr>
          </w:p>
        </w:tc>
        <w:tc>
          <w:tcPr>
            <w:tcW w:w="881" w:type="dxa"/>
            <w:tcBorders>
              <w:bottom w:val="single" w:sz="4" w:space="0" w:color="auto"/>
            </w:tcBorders>
          </w:tcPr>
          <w:p w14:paraId="77B9C074"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60,748</w:t>
            </w:r>
          </w:p>
        </w:tc>
        <w:tc>
          <w:tcPr>
            <w:tcW w:w="966" w:type="dxa"/>
            <w:tcBorders>
              <w:bottom w:val="single" w:sz="4" w:space="0" w:color="auto"/>
            </w:tcBorders>
          </w:tcPr>
          <w:p w14:paraId="2C190D97" w14:textId="77777777" w:rsidR="00561A85" w:rsidRPr="00AA108E" w:rsidRDefault="00561A85" w:rsidP="00561A85">
            <w:pPr>
              <w:jc w:val="right"/>
              <w:rPr>
                <w:rFonts w:ascii="Times New Roman" w:hAnsi="Times New Roman" w:cs="Times New Roman"/>
              </w:rPr>
            </w:pPr>
          </w:p>
        </w:tc>
      </w:tr>
    </w:tbl>
    <w:p w14:paraId="0C44AA21" w14:textId="77777777" w:rsidR="00561A85" w:rsidRDefault="00561A85">
      <w:pPr>
        <w:rPr>
          <w:rFonts w:ascii="Times New Roman" w:hAnsi="Times New Roman" w:cs="Times New Roman"/>
          <w:sz w:val="24"/>
          <w:szCs w:val="24"/>
        </w:rPr>
      </w:pPr>
    </w:p>
    <w:p w14:paraId="67BEF15D" w14:textId="77777777" w:rsidR="00561A85" w:rsidRDefault="00561A85">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1"/>
        <w:gridCol w:w="1479"/>
        <w:gridCol w:w="1602"/>
        <w:gridCol w:w="1479"/>
        <w:gridCol w:w="1599"/>
      </w:tblGrid>
      <w:tr w:rsidR="008D5EAA" w:rsidRPr="00AA108E" w14:paraId="7386DB25" w14:textId="77777777" w:rsidTr="008840B8">
        <w:trPr>
          <w:jc w:val="center"/>
        </w:trPr>
        <w:tc>
          <w:tcPr>
            <w:tcW w:w="5000" w:type="pct"/>
            <w:gridSpan w:val="5"/>
            <w:tcBorders>
              <w:bottom w:val="single" w:sz="4" w:space="0" w:color="auto"/>
            </w:tcBorders>
          </w:tcPr>
          <w:p w14:paraId="3C8C7590" w14:textId="1DE12486" w:rsidR="008D5EAA" w:rsidRPr="00AA108E" w:rsidRDefault="008D5EAA" w:rsidP="008840B8">
            <w:pPr>
              <w:rPr>
                <w:rFonts w:ascii="Times New Roman" w:hAnsi="Times New Roman" w:cs="Times New Roman"/>
                <w:b/>
              </w:rPr>
            </w:pPr>
            <w:r w:rsidRPr="00AA108E">
              <w:rPr>
                <w:rFonts w:ascii="Times New Roman" w:hAnsi="Times New Roman" w:cs="Times New Roman"/>
                <w:b/>
              </w:rPr>
              <w:lastRenderedPageBreak/>
              <w:t>Table 8. Average Effect of the DC $15 MWP on EITC Credit Level for a Full-time Working EITC Recipient in 2021</w:t>
            </w:r>
          </w:p>
        </w:tc>
      </w:tr>
      <w:tr w:rsidR="00561A85" w:rsidRPr="00AA108E" w14:paraId="7417B9C5" w14:textId="77777777" w:rsidTr="008840B8">
        <w:trPr>
          <w:jc w:val="center"/>
        </w:trPr>
        <w:tc>
          <w:tcPr>
            <w:tcW w:w="1710" w:type="pct"/>
            <w:vMerge w:val="restart"/>
            <w:tcBorders>
              <w:top w:val="single" w:sz="8" w:space="0" w:color="auto"/>
              <w:bottom w:val="single" w:sz="4" w:space="0" w:color="auto"/>
            </w:tcBorders>
          </w:tcPr>
          <w:p w14:paraId="2D765CCB" w14:textId="77777777" w:rsidR="00561A85" w:rsidRPr="00AA108E" w:rsidRDefault="00561A85" w:rsidP="00561A85">
            <w:pPr>
              <w:rPr>
                <w:rFonts w:ascii="Times New Roman" w:hAnsi="Times New Roman" w:cs="Times New Roman"/>
              </w:rPr>
            </w:pPr>
          </w:p>
        </w:tc>
        <w:tc>
          <w:tcPr>
            <w:tcW w:w="790" w:type="pct"/>
            <w:vMerge w:val="restart"/>
            <w:tcBorders>
              <w:top w:val="single" w:sz="8" w:space="0" w:color="auto"/>
            </w:tcBorders>
          </w:tcPr>
          <w:p w14:paraId="30D2A273" w14:textId="77777777" w:rsidR="00561A85" w:rsidRPr="00AA108E" w:rsidRDefault="00561A85" w:rsidP="00561A85">
            <w:pPr>
              <w:jc w:val="center"/>
              <w:rPr>
                <w:rFonts w:ascii="Times New Roman" w:hAnsi="Times New Roman" w:cs="Times New Roman"/>
              </w:rPr>
            </w:pPr>
            <w:r w:rsidRPr="00AA108E">
              <w:rPr>
                <w:rFonts w:ascii="Times New Roman" w:hAnsi="Times New Roman" w:cs="Times New Roman"/>
              </w:rPr>
              <w:t xml:space="preserve">Without </w:t>
            </w:r>
          </w:p>
          <w:p w14:paraId="1BAEF34A" w14:textId="77777777" w:rsidR="00561A85" w:rsidRPr="00AA108E" w:rsidRDefault="00561A85" w:rsidP="00561A85">
            <w:pPr>
              <w:jc w:val="center"/>
              <w:rPr>
                <w:rFonts w:ascii="Times New Roman" w:hAnsi="Times New Roman" w:cs="Times New Roman"/>
              </w:rPr>
            </w:pPr>
            <w:r w:rsidRPr="00AA108E">
              <w:rPr>
                <w:rFonts w:ascii="Times New Roman" w:hAnsi="Times New Roman" w:cs="Times New Roman"/>
              </w:rPr>
              <w:t>$15 MWP</w:t>
            </w:r>
          </w:p>
        </w:tc>
        <w:tc>
          <w:tcPr>
            <w:tcW w:w="856" w:type="pct"/>
            <w:vMerge w:val="restart"/>
            <w:tcBorders>
              <w:top w:val="single" w:sz="8" w:space="0" w:color="auto"/>
            </w:tcBorders>
          </w:tcPr>
          <w:p w14:paraId="21B82BBC" w14:textId="77777777" w:rsidR="00561A85" w:rsidRPr="00AA108E" w:rsidRDefault="00561A85" w:rsidP="00561A85">
            <w:pPr>
              <w:jc w:val="center"/>
              <w:rPr>
                <w:rFonts w:ascii="Times New Roman" w:hAnsi="Times New Roman" w:cs="Times New Roman"/>
              </w:rPr>
            </w:pPr>
            <w:r w:rsidRPr="00AA108E">
              <w:rPr>
                <w:rFonts w:ascii="Times New Roman" w:hAnsi="Times New Roman" w:cs="Times New Roman"/>
              </w:rPr>
              <w:t xml:space="preserve">With </w:t>
            </w:r>
          </w:p>
          <w:p w14:paraId="31729A92" w14:textId="77777777" w:rsidR="00561A85" w:rsidRPr="00AA108E" w:rsidRDefault="00561A85" w:rsidP="00561A85">
            <w:pPr>
              <w:jc w:val="center"/>
              <w:rPr>
                <w:rFonts w:ascii="Times New Roman" w:hAnsi="Times New Roman" w:cs="Times New Roman"/>
              </w:rPr>
            </w:pPr>
            <w:r w:rsidRPr="00AA108E">
              <w:rPr>
                <w:rFonts w:ascii="Times New Roman" w:hAnsi="Times New Roman" w:cs="Times New Roman"/>
              </w:rPr>
              <w:t>$15 MWP</w:t>
            </w:r>
          </w:p>
        </w:tc>
        <w:tc>
          <w:tcPr>
            <w:tcW w:w="1643" w:type="pct"/>
            <w:gridSpan w:val="2"/>
            <w:tcBorders>
              <w:top w:val="single" w:sz="8" w:space="0" w:color="auto"/>
            </w:tcBorders>
          </w:tcPr>
          <w:p w14:paraId="14A0B3A0" w14:textId="77777777" w:rsidR="00561A85" w:rsidRPr="00AA108E" w:rsidRDefault="00561A85" w:rsidP="00561A85">
            <w:pPr>
              <w:jc w:val="center"/>
              <w:rPr>
                <w:rFonts w:ascii="Times New Roman" w:hAnsi="Times New Roman" w:cs="Times New Roman"/>
              </w:rPr>
            </w:pPr>
            <w:r w:rsidRPr="00AA108E">
              <w:rPr>
                <w:rFonts w:ascii="Times New Roman" w:hAnsi="Times New Roman" w:cs="Times New Roman"/>
              </w:rPr>
              <w:t>Net Difference</w:t>
            </w:r>
          </w:p>
        </w:tc>
      </w:tr>
      <w:tr w:rsidR="00561A85" w:rsidRPr="00AA108E" w14:paraId="60A8413E" w14:textId="77777777" w:rsidTr="008840B8">
        <w:trPr>
          <w:jc w:val="center"/>
        </w:trPr>
        <w:tc>
          <w:tcPr>
            <w:tcW w:w="1710" w:type="pct"/>
            <w:vMerge/>
            <w:tcBorders>
              <w:bottom w:val="single" w:sz="4" w:space="0" w:color="auto"/>
            </w:tcBorders>
          </w:tcPr>
          <w:p w14:paraId="4D3EA0B1" w14:textId="77777777" w:rsidR="00561A85" w:rsidRPr="00AA108E" w:rsidRDefault="00561A85" w:rsidP="00561A85">
            <w:pPr>
              <w:rPr>
                <w:rFonts w:ascii="Times New Roman" w:hAnsi="Times New Roman" w:cs="Times New Roman"/>
              </w:rPr>
            </w:pPr>
          </w:p>
        </w:tc>
        <w:tc>
          <w:tcPr>
            <w:tcW w:w="790" w:type="pct"/>
            <w:vMerge/>
            <w:tcBorders>
              <w:bottom w:val="single" w:sz="4" w:space="0" w:color="auto"/>
            </w:tcBorders>
          </w:tcPr>
          <w:p w14:paraId="76A79651" w14:textId="77777777" w:rsidR="00561A85" w:rsidRPr="00AA108E" w:rsidRDefault="00561A85" w:rsidP="00561A85">
            <w:pPr>
              <w:jc w:val="center"/>
              <w:rPr>
                <w:rFonts w:ascii="Times New Roman" w:hAnsi="Times New Roman" w:cs="Times New Roman"/>
              </w:rPr>
            </w:pPr>
          </w:p>
        </w:tc>
        <w:tc>
          <w:tcPr>
            <w:tcW w:w="856" w:type="pct"/>
            <w:vMerge/>
            <w:tcBorders>
              <w:bottom w:val="single" w:sz="4" w:space="0" w:color="auto"/>
            </w:tcBorders>
          </w:tcPr>
          <w:p w14:paraId="163E9079" w14:textId="77777777" w:rsidR="00561A85" w:rsidRPr="00AA108E" w:rsidRDefault="00561A85" w:rsidP="00561A85">
            <w:pPr>
              <w:jc w:val="center"/>
              <w:rPr>
                <w:rFonts w:ascii="Times New Roman" w:hAnsi="Times New Roman" w:cs="Times New Roman"/>
              </w:rPr>
            </w:pPr>
          </w:p>
        </w:tc>
        <w:tc>
          <w:tcPr>
            <w:tcW w:w="790" w:type="pct"/>
            <w:tcBorders>
              <w:bottom w:val="single" w:sz="4" w:space="0" w:color="auto"/>
            </w:tcBorders>
          </w:tcPr>
          <w:p w14:paraId="79392CEC" w14:textId="77777777" w:rsidR="00561A85" w:rsidRPr="00AA108E" w:rsidRDefault="00561A85" w:rsidP="00561A85">
            <w:pPr>
              <w:jc w:val="center"/>
              <w:rPr>
                <w:rFonts w:ascii="Times New Roman" w:hAnsi="Times New Roman" w:cs="Times New Roman"/>
              </w:rPr>
            </w:pPr>
            <w:r w:rsidRPr="00AA108E">
              <w:rPr>
                <w:rFonts w:ascii="Times New Roman" w:hAnsi="Times New Roman" w:cs="Times New Roman"/>
              </w:rPr>
              <w:t xml:space="preserve">$ </w:t>
            </w:r>
            <w:proofErr w:type="spellStart"/>
            <w:r w:rsidRPr="00AA108E">
              <w:rPr>
                <w:rFonts w:ascii="Times New Roman" w:hAnsi="Times New Roman" w:cs="Times New Roman"/>
              </w:rPr>
              <w:t>Amt</w:t>
            </w:r>
            <w:proofErr w:type="spellEnd"/>
          </w:p>
        </w:tc>
        <w:tc>
          <w:tcPr>
            <w:tcW w:w="853" w:type="pct"/>
            <w:tcBorders>
              <w:bottom w:val="single" w:sz="4" w:space="0" w:color="auto"/>
            </w:tcBorders>
          </w:tcPr>
          <w:p w14:paraId="217D5811" w14:textId="77777777" w:rsidR="00561A85" w:rsidRPr="00AA108E" w:rsidRDefault="00561A85" w:rsidP="00561A85">
            <w:pPr>
              <w:jc w:val="center"/>
              <w:rPr>
                <w:rFonts w:ascii="Times New Roman" w:hAnsi="Times New Roman" w:cs="Times New Roman"/>
              </w:rPr>
            </w:pPr>
            <w:r w:rsidRPr="00AA108E">
              <w:rPr>
                <w:rFonts w:ascii="Times New Roman" w:hAnsi="Times New Roman" w:cs="Times New Roman"/>
              </w:rPr>
              <w:t xml:space="preserve">% </w:t>
            </w:r>
            <w:proofErr w:type="spellStart"/>
            <w:r w:rsidRPr="00AA108E">
              <w:rPr>
                <w:rFonts w:ascii="Times New Roman" w:hAnsi="Times New Roman" w:cs="Times New Roman"/>
              </w:rPr>
              <w:t>Chg</w:t>
            </w:r>
            <w:proofErr w:type="spellEnd"/>
          </w:p>
        </w:tc>
      </w:tr>
      <w:tr w:rsidR="00561A85" w:rsidRPr="00AA108E" w14:paraId="519E1B45" w14:textId="77777777" w:rsidTr="008840B8">
        <w:trPr>
          <w:jc w:val="center"/>
        </w:trPr>
        <w:tc>
          <w:tcPr>
            <w:tcW w:w="1710" w:type="pct"/>
            <w:tcBorders>
              <w:top w:val="single" w:sz="4" w:space="0" w:color="auto"/>
            </w:tcBorders>
          </w:tcPr>
          <w:p w14:paraId="31DBC2CA" w14:textId="77777777" w:rsidR="00561A85" w:rsidRPr="00AA108E" w:rsidRDefault="00561A85" w:rsidP="00561A85">
            <w:pPr>
              <w:rPr>
                <w:rFonts w:ascii="Times New Roman" w:hAnsi="Times New Roman" w:cs="Times New Roman"/>
              </w:rPr>
            </w:pPr>
            <w:r w:rsidRPr="00AA108E">
              <w:rPr>
                <w:rFonts w:ascii="Times New Roman" w:hAnsi="Times New Roman" w:cs="Times New Roman"/>
              </w:rPr>
              <w:t>Avg. Wage &amp; Salaries</w:t>
            </w:r>
          </w:p>
        </w:tc>
        <w:tc>
          <w:tcPr>
            <w:tcW w:w="790" w:type="pct"/>
            <w:tcBorders>
              <w:top w:val="single" w:sz="4" w:space="0" w:color="auto"/>
            </w:tcBorders>
          </w:tcPr>
          <w:p w14:paraId="56CC7C00"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$20,095</w:t>
            </w:r>
          </w:p>
        </w:tc>
        <w:tc>
          <w:tcPr>
            <w:tcW w:w="856" w:type="pct"/>
            <w:tcBorders>
              <w:top w:val="single" w:sz="4" w:space="0" w:color="auto"/>
            </w:tcBorders>
          </w:tcPr>
          <w:p w14:paraId="7DBDE3D0"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$23,192</w:t>
            </w:r>
          </w:p>
        </w:tc>
        <w:tc>
          <w:tcPr>
            <w:tcW w:w="790" w:type="pct"/>
            <w:tcBorders>
              <w:top w:val="single" w:sz="4" w:space="0" w:color="auto"/>
            </w:tcBorders>
          </w:tcPr>
          <w:p w14:paraId="78D99E44"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$3,097</w:t>
            </w:r>
          </w:p>
        </w:tc>
        <w:tc>
          <w:tcPr>
            <w:tcW w:w="853" w:type="pct"/>
            <w:tcBorders>
              <w:top w:val="single" w:sz="4" w:space="0" w:color="auto"/>
            </w:tcBorders>
          </w:tcPr>
          <w:p w14:paraId="4F9992B5"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15.4%</w:t>
            </w:r>
          </w:p>
        </w:tc>
      </w:tr>
      <w:tr w:rsidR="00561A85" w:rsidRPr="00AA108E" w14:paraId="72C212E6" w14:textId="77777777" w:rsidTr="008840B8">
        <w:trPr>
          <w:jc w:val="center"/>
        </w:trPr>
        <w:tc>
          <w:tcPr>
            <w:tcW w:w="1710" w:type="pct"/>
          </w:tcPr>
          <w:p w14:paraId="39890706" w14:textId="77777777" w:rsidR="00561A85" w:rsidRPr="00AA108E" w:rsidRDefault="00561A85" w:rsidP="00561A85">
            <w:pPr>
              <w:rPr>
                <w:rFonts w:ascii="Times New Roman" w:hAnsi="Times New Roman" w:cs="Times New Roman"/>
              </w:rPr>
            </w:pPr>
            <w:r w:rsidRPr="00AA108E">
              <w:rPr>
                <w:rFonts w:ascii="Times New Roman" w:hAnsi="Times New Roman" w:cs="Times New Roman"/>
              </w:rPr>
              <w:t xml:space="preserve">Avg. DC </w:t>
            </w:r>
            <w:proofErr w:type="spellStart"/>
            <w:r w:rsidRPr="00AA108E">
              <w:rPr>
                <w:rFonts w:ascii="Times New Roman" w:hAnsi="Times New Roman" w:cs="Times New Roman"/>
              </w:rPr>
              <w:t>Indiv</w:t>
            </w:r>
            <w:proofErr w:type="spellEnd"/>
            <w:r w:rsidRPr="00AA108E">
              <w:rPr>
                <w:rFonts w:ascii="Times New Roman" w:hAnsi="Times New Roman" w:cs="Times New Roman"/>
              </w:rPr>
              <w:t>. Inc. Tax</w:t>
            </w:r>
          </w:p>
        </w:tc>
        <w:tc>
          <w:tcPr>
            <w:tcW w:w="790" w:type="pct"/>
          </w:tcPr>
          <w:p w14:paraId="58DF4CAA"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$355</w:t>
            </w:r>
          </w:p>
        </w:tc>
        <w:tc>
          <w:tcPr>
            <w:tcW w:w="856" w:type="pct"/>
          </w:tcPr>
          <w:p w14:paraId="098D0DA6"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$384</w:t>
            </w:r>
          </w:p>
        </w:tc>
        <w:tc>
          <w:tcPr>
            <w:tcW w:w="790" w:type="pct"/>
          </w:tcPr>
          <w:p w14:paraId="03513E66"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$29</w:t>
            </w:r>
          </w:p>
        </w:tc>
        <w:tc>
          <w:tcPr>
            <w:tcW w:w="853" w:type="pct"/>
          </w:tcPr>
          <w:p w14:paraId="5ED37F28"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8.2%</w:t>
            </w:r>
          </w:p>
        </w:tc>
      </w:tr>
      <w:tr w:rsidR="00561A85" w:rsidRPr="00AA108E" w14:paraId="1A1388AC" w14:textId="77777777" w:rsidTr="008840B8">
        <w:trPr>
          <w:jc w:val="center"/>
        </w:trPr>
        <w:tc>
          <w:tcPr>
            <w:tcW w:w="1710" w:type="pct"/>
          </w:tcPr>
          <w:p w14:paraId="1A5BEB95" w14:textId="77777777" w:rsidR="00561A85" w:rsidRPr="00AA108E" w:rsidRDefault="00561A85" w:rsidP="00561A85">
            <w:pPr>
              <w:rPr>
                <w:rFonts w:ascii="Times New Roman" w:hAnsi="Times New Roman" w:cs="Times New Roman"/>
              </w:rPr>
            </w:pPr>
            <w:r w:rsidRPr="00AA108E">
              <w:rPr>
                <w:rFonts w:ascii="Times New Roman" w:hAnsi="Times New Roman" w:cs="Times New Roman"/>
              </w:rPr>
              <w:t>Avg. Federal EITC</w:t>
            </w:r>
          </w:p>
        </w:tc>
        <w:tc>
          <w:tcPr>
            <w:tcW w:w="790" w:type="pct"/>
          </w:tcPr>
          <w:p w14:paraId="53696781"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$2,538</w:t>
            </w:r>
          </w:p>
        </w:tc>
        <w:tc>
          <w:tcPr>
            <w:tcW w:w="856" w:type="pct"/>
          </w:tcPr>
          <w:p w14:paraId="0DB4986F"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$2,344</w:t>
            </w:r>
          </w:p>
        </w:tc>
        <w:tc>
          <w:tcPr>
            <w:tcW w:w="790" w:type="pct"/>
          </w:tcPr>
          <w:p w14:paraId="64488242"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($194)</w:t>
            </w:r>
          </w:p>
        </w:tc>
        <w:tc>
          <w:tcPr>
            <w:tcW w:w="853" w:type="pct"/>
          </w:tcPr>
          <w:p w14:paraId="4CBA170F"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(-7.6%)</w:t>
            </w:r>
          </w:p>
        </w:tc>
      </w:tr>
      <w:tr w:rsidR="00561A85" w:rsidRPr="00AA108E" w14:paraId="31FFFDB0" w14:textId="77777777" w:rsidTr="008840B8">
        <w:trPr>
          <w:jc w:val="center"/>
        </w:trPr>
        <w:tc>
          <w:tcPr>
            <w:tcW w:w="1710" w:type="pct"/>
            <w:tcBorders>
              <w:bottom w:val="single" w:sz="4" w:space="0" w:color="auto"/>
            </w:tcBorders>
          </w:tcPr>
          <w:p w14:paraId="7A6EE960" w14:textId="77777777" w:rsidR="00561A85" w:rsidRPr="00AA108E" w:rsidRDefault="00561A85" w:rsidP="00561A85">
            <w:pPr>
              <w:rPr>
                <w:rFonts w:ascii="Times New Roman" w:hAnsi="Times New Roman" w:cs="Times New Roman"/>
              </w:rPr>
            </w:pPr>
            <w:r w:rsidRPr="00AA108E">
              <w:rPr>
                <w:rFonts w:ascii="Times New Roman" w:hAnsi="Times New Roman" w:cs="Times New Roman"/>
              </w:rPr>
              <w:t>Avg. DC EITC</w:t>
            </w:r>
          </w:p>
        </w:tc>
        <w:tc>
          <w:tcPr>
            <w:tcW w:w="790" w:type="pct"/>
            <w:tcBorders>
              <w:bottom w:val="single" w:sz="4" w:space="0" w:color="auto"/>
            </w:tcBorders>
          </w:tcPr>
          <w:p w14:paraId="0BFBFF3D"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$1,807</w:t>
            </w:r>
          </w:p>
        </w:tc>
        <w:tc>
          <w:tcPr>
            <w:tcW w:w="856" w:type="pct"/>
            <w:tcBorders>
              <w:bottom w:val="single" w:sz="4" w:space="0" w:color="auto"/>
            </w:tcBorders>
          </w:tcPr>
          <w:p w14:paraId="5D7B8845"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$1,670</w:t>
            </w:r>
          </w:p>
        </w:tc>
        <w:tc>
          <w:tcPr>
            <w:tcW w:w="790" w:type="pct"/>
            <w:tcBorders>
              <w:bottom w:val="single" w:sz="4" w:space="0" w:color="auto"/>
            </w:tcBorders>
          </w:tcPr>
          <w:p w14:paraId="6727B959"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($137)</w:t>
            </w:r>
          </w:p>
        </w:tc>
        <w:tc>
          <w:tcPr>
            <w:tcW w:w="853" w:type="pct"/>
            <w:tcBorders>
              <w:bottom w:val="single" w:sz="4" w:space="0" w:color="auto"/>
            </w:tcBorders>
          </w:tcPr>
          <w:p w14:paraId="79FE75F4" w14:textId="77777777" w:rsidR="00561A85" w:rsidRPr="00AA108E" w:rsidRDefault="00561A85" w:rsidP="00561A85">
            <w:pPr>
              <w:jc w:val="right"/>
              <w:rPr>
                <w:rFonts w:ascii="Times New Roman" w:hAnsi="Times New Roman" w:cs="Times New Roman"/>
              </w:rPr>
            </w:pPr>
            <w:r w:rsidRPr="00AA108E">
              <w:rPr>
                <w:rFonts w:ascii="Times New Roman" w:hAnsi="Times New Roman" w:cs="Times New Roman"/>
              </w:rPr>
              <w:t>(-7.6%)</w:t>
            </w:r>
          </w:p>
        </w:tc>
      </w:tr>
    </w:tbl>
    <w:p w14:paraId="4D3F829F" w14:textId="77777777" w:rsidR="00561A85" w:rsidRDefault="00561A85">
      <w:pPr>
        <w:rPr>
          <w:rFonts w:ascii="Times New Roman" w:hAnsi="Times New Roman" w:cs="Times New Roman"/>
          <w:sz w:val="24"/>
          <w:szCs w:val="24"/>
        </w:rPr>
      </w:pPr>
    </w:p>
    <w:p w14:paraId="70271A2F" w14:textId="77777777" w:rsidR="00561A85" w:rsidRDefault="00561A85">
      <w:pPr>
        <w:rPr>
          <w:rFonts w:ascii="Times New Roman" w:hAnsi="Times New Roman" w:cs="Times New Roman"/>
          <w:sz w:val="24"/>
          <w:szCs w:val="24"/>
        </w:rPr>
      </w:pPr>
      <w:r>
        <w:rPr>
          <w:rFonts w:ascii="Times New Roman" w:hAnsi="Times New Roman" w:cs="Times New Roman"/>
          <w:sz w:val="24"/>
          <w:szCs w:val="24"/>
        </w:rPr>
        <w:br w:type="page"/>
      </w:r>
    </w:p>
    <w:p w14:paraId="3FE8BC0A" w14:textId="658079AD" w:rsidR="00645CA2" w:rsidRPr="00AA108E" w:rsidRDefault="00645CA2" w:rsidP="00645CA2">
      <w:pPr>
        <w:pStyle w:val="Caption"/>
        <w:keepNext/>
        <w:rPr>
          <w:rFonts w:ascii="Times New Roman" w:hAnsi="Times New Roman" w:cs="Times New Roman"/>
          <w:b/>
          <w:i w:val="0"/>
          <w:color w:val="auto"/>
          <w:sz w:val="22"/>
          <w:szCs w:val="22"/>
        </w:rPr>
      </w:pPr>
      <w:r w:rsidRPr="00AA108E">
        <w:rPr>
          <w:rFonts w:ascii="Times New Roman" w:hAnsi="Times New Roman" w:cs="Times New Roman"/>
          <w:b/>
          <w:i w:val="0"/>
          <w:color w:val="auto"/>
          <w:sz w:val="22"/>
          <w:szCs w:val="22"/>
        </w:rPr>
        <w:lastRenderedPageBreak/>
        <w:t xml:space="preserve">Figure </w:t>
      </w:r>
      <w:r w:rsidRPr="00AA108E">
        <w:rPr>
          <w:rFonts w:ascii="Times New Roman" w:hAnsi="Times New Roman" w:cs="Times New Roman"/>
          <w:b/>
          <w:i w:val="0"/>
          <w:color w:val="auto"/>
          <w:sz w:val="22"/>
          <w:szCs w:val="22"/>
        </w:rPr>
        <w:fldChar w:fldCharType="begin"/>
      </w:r>
      <w:r w:rsidRPr="00AA108E">
        <w:rPr>
          <w:rFonts w:ascii="Times New Roman" w:hAnsi="Times New Roman" w:cs="Times New Roman"/>
          <w:b/>
          <w:i w:val="0"/>
          <w:color w:val="auto"/>
          <w:sz w:val="22"/>
          <w:szCs w:val="22"/>
        </w:rPr>
        <w:instrText xml:space="preserve"> SEQ Figure \* ARABIC </w:instrText>
      </w:r>
      <w:r w:rsidRPr="00AA108E">
        <w:rPr>
          <w:rFonts w:ascii="Times New Roman" w:hAnsi="Times New Roman" w:cs="Times New Roman"/>
          <w:b/>
          <w:i w:val="0"/>
          <w:color w:val="auto"/>
          <w:sz w:val="22"/>
          <w:szCs w:val="22"/>
        </w:rPr>
        <w:fldChar w:fldCharType="separate"/>
      </w:r>
      <w:r w:rsidR="00F32679">
        <w:rPr>
          <w:rFonts w:ascii="Times New Roman" w:hAnsi="Times New Roman" w:cs="Times New Roman"/>
          <w:b/>
          <w:i w:val="0"/>
          <w:noProof/>
          <w:color w:val="auto"/>
          <w:sz w:val="22"/>
          <w:szCs w:val="22"/>
        </w:rPr>
        <w:t>1</w:t>
      </w:r>
      <w:r w:rsidRPr="00AA108E">
        <w:rPr>
          <w:rFonts w:ascii="Times New Roman" w:hAnsi="Times New Roman" w:cs="Times New Roman"/>
          <w:b/>
          <w:i w:val="0"/>
          <w:color w:val="auto"/>
          <w:sz w:val="22"/>
          <w:szCs w:val="22"/>
        </w:rPr>
        <w:fldChar w:fldCharType="end"/>
      </w:r>
      <w:r w:rsidRPr="00AA108E">
        <w:rPr>
          <w:rFonts w:ascii="Times New Roman" w:hAnsi="Times New Roman" w:cs="Times New Roman"/>
          <w:b/>
          <w:i w:val="0"/>
          <w:color w:val="auto"/>
          <w:sz w:val="22"/>
          <w:szCs w:val="22"/>
        </w:rPr>
        <w:t>. Gross Impact of Minimum Wage Increase by Industry ($ millions)</w:t>
      </w:r>
    </w:p>
    <w:p w14:paraId="74EDF5F6" w14:textId="77777777" w:rsidR="00561A85" w:rsidRDefault="00561A85" w:rsidP="00561A85">
      <w:pPr>
        <w:pStyle w:val="NoSpacing"/>
        <w:rPr>
          <w:sz w:val="16"/>
          <w:szCs w:val="16"/>
        </w:rPr>
      </w:pPr>
      <w:r w:rsidRPr="00921D4A">
        <w:rPr>
          <w:rFonts w:ascii="Times New Roman" w:hAnsi="Times New Roman" w:cs="Times New Roman"/>
          <w:noProof/>
          <w:sz w:val="24"/>
          <w:szCs w:val="24"/>
        </w:rPr>
        <w:drawing>
          <wp:inline distT="0" distB="0" distL="0" distR="0" wp14:anchorId="2BD84C5F" wp14:editId="2BFA8EFE">
            <wp:extent cx="5057030" cy="3228230"/>
            <wp:effectExtent l="0" t="0" r="0" b="0"/>
            <wp:docPr id="1" name="Chart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801E5C3" w14:textId="67AAC7C2" w:rsidR="00561A85" w:rsidRPr="00AA108E" w:rsidRDefault="00561A85" w:rsidP="00561A85">
      <w:pPr>
        <w:pStyle w:val="NoSpacing"/>
        <w:rPr>
          <w:rFonts w:ascii="Times New Roman" w:hAnsi="Times New Roman" w:cs="Times New Roman"/>
        </w:rPr>
      </w:pPr>
      <w:r w:rsidRPr="00AA108E">
        <w:rPr>
          <w:rFonts w:ascii="Times New Roman" w:hAnsi="Times New Roman" w:cs="Times New Roman"/>
        </w:rPr>
        <w:t>Source: 2014 BLS Occupational Employment and Wage Estimates for DC Converted to Industry Information Using National Industry Occupation Matrix</w:t>
      </w:r>
    </w:p>
    <w:p w14:paraId="1DBE4568" w14:textId="77777777" w:rsidR="00561A85" w:rsidRDefault="00561A85">
      <w:pPr>
        <w:rPr>
          <w:sz w:val="16"/>
          <w:szCs w:val="16"/>
        </w:rPr>
      </w:pPr>
      <w:r>
        <w:rPr>
          <w:sz w:val="16"/>
          <w:szCs w:val="16"/>
        </w:rPr>
        <w:br w:type="page"/>
      </w:r>
    </w:p>
    <w:p w14:paraId="529A957B" w14:textId="615B885C" w:rsidR="00645CA2" w:rsidRPr="00AA108E" w:rsidRDefault="00645CA2" w:rsidP="00645CA2">
      <w:pPr>
        <w:pStyle w:val="Caption"/>
        <w:keepNext/>
        <w:rPr>
          <w:rFonts w:ascii="Times New Roman" w:hAnsi="Times New Roman" w:cs="Times New Roman"/>
          <w:b/>
          <w:i w:val="0"/>
          <w:color w:val="auto"/>
          <w:sz w:val="22"/>
          <w:szCs w:val="22"/>
        </w:rPr>
      </w:pPr>
      <w:r w:rsidRPr="00AA108E">
        <w:rPr>
          <w:rFonts w:ascii="Times New Roman" w:hAnsi="Times New Roman" w:cs="Times New Roman"/>
          <w:b/>
          <w:i w:val="0"/>
          <w:color w:val="auto"/>
          <w:sz w:val="22"/>
          <w:szCs w:val="22"/>
        </w:rPr>
        <w:lastRenderedPageBreak/>
        <w:t xml:space="preserve">Figure </w:t>
      </w:r>
      <w:r w:rsidRPr="00AA108E">
        <w:rPr>
          <w:rFonts w:ascii="Times New Roman" w:hAnsi="Times New Roman" w:cs="Times New Roman"/>
          <w:b/>
          <w:i w:val="0"/>
          <w:color w:val="auto"/>
          <w:sz w:val="22"/>
          <w:szCs w:val="22"/>
        </w:rPr>
        <w:fldChar w:fldCharType="begin"/>
      </w:r>
      <w:r w:rsidRPr="00AA108E">
        <w:rPr>
          <w:rFonts w:ascii="Times New Roman" w:hAnsi="Times New Roman" w:cs="Times New Roman"/>
          <w:b/>
          <w:i w:val="0"/>
          <w:color w:val="auto"/>
          <w:sz w:val="22"/>
          <w:szCs w:val="22"/>
        </w:rPr>
        <w:instrText xml:space="preserve"> SEQ Figure \* ARABIC </w:instrText>
      </w:r>
      <w:r w:rsidRPr="00AA108E">
        <w:rPr>
          <w:rFonts w:ascii="Times New Roman" w:hAnsi="Times New Roman" w:cs="Times New Roman"/>
          <w:b/>
          <w:i w:val="0"/>
          <w:color w:val="auto"/>
          <w:sz w:val="22"/>
          <w:szCs w:val="22"/>
        </w:rPr>
        <w:fldChar w:fldCharType="separate"/>
      </w:r>
      <w:r w:rsidR="00F32679">
        <w:rPr>
          <w:rFonts w:ascii="Times New Roman" w:hAnsi="Times New Roman" w:cs="Times New Roman"/>
          <w:b/>
          <w:i w:val="0"/>
          <w:noProof/>
          <w:color w:val="auto"/>
          <w:sz w:val="22"/>
          <w:szCs w:val="22"/>
        </w:rPr>
        <w:t>2</w:t>
      </w:r>
      <w:r w:rsidRPr="00AA108E">
        <w:rPr>
          <w:rFonts w:ascii="Times New Roman" w:hAnsi="Times New Roman" w:cs="Times New Roman"/>
          <w:b/>
          <w:i w:val="0"/>
          <w:color w:val="auto"/>
          <w:sz w:val="22"/>
          <w:szCs w:val="22"/>
        </w:rPr>
        <w:fldChar w:fldCharType="end"/>
      </w:r>
      <w:r w:rsidRPr="00AA108E">
        <w:rPr>
          <w:rFonts w:ascii="Times New Roman" w:hAnsi="Times New Roman" w:cs="Times New Roman"/>
          <w:b/>
          <w:i w:val="0"/>
          <w:color w:val="auto"/>
          <w:sz w:val="22"/>
          <w:szCs w:val="22"/>
        </w:rPr>
        <w:t xml:space="preserve">. Resident </w:t>
      </w:r>
      <w:r w:rsidR="000502DB">
        <w:rPr>
          <w:rFonts w:ascii="Times New Roman" w:hAnsi="Times New Roman" w:cs="Times New Roman"/>
          <w:b/>
          <w:i w:val="0"/>
          <w:color w:val="auto"/>
          <w:sz w:val="22"/>
          <w:szCs w:val="22"/>
        </w:rPr>
        <w:t>Job Loss</w:t>
      </w:r>
      <w:r w:rsidRPr="00AA108E">
        <w:rPr>
          <w:rFonts w:ascii="Times New Roman" w:hAnsi="Times New Roman" w:cs="Times New Roman"/>
          <w:b/>
          <w:i w:val="0"/>
          <w:color w:val="auto"/>
          <w:sz w:val="22"/>
          <w:szCs w:val="22"/>
        </w:rPr>
        <w:t xml:space="preserve"> Levels by Scenario</w:t>
      </w:r>
    </w:p>
    <w:p w14:paraId="41BC1628" w14:textId="37FA418F" w:rsidR="008D5EAA" w:rsidRDefault="008D5EAA" w:rsidP="00561A85">
      <w:pPr>
        <w:pStyle w:val="NoSpacing"/>
        <w:rPr>
          <w:rFonts w:ascii="Times New Roman" w:hAnsi="Times New Roman" w:cs="Times New Roman"/>
          <w:sz w:val="24"/>
          <w:szCs w:val="24"/>
        </w:rPr>
      </w:pPr>
      <w:r>
        <w:rPr>
          <w:noProof/>
        </w:rPr>
        <w:drawing>
          <wp:inline distT="0" distB="0" distL="0" distR="0" wp14:anchorId="37B3AF13" wp14:editId="0B687571">
            <wp:extent cx="5056632" cy="2714625"/>
            <wp:effectExtent l="0" t="0" r="10795" b="9525"/>
            <wp:docPr id="2" name="Chart 2">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2BC0E85-A6CE-4830-867B-0D160BB885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6B1D3DB" w14:textId="77777777" w:rsidR="008D5EAA" w:rsidRDefault="008D5EAA">
      <w:pPr>
        <w:rPr>
          <w:rFonts w:ascii="Times New Roman" w:hAnsi="Times New Roman" w:cs="Times New Roman"/>
          <w:sz w:val="24"/>
          <w:szCs w:val="24"/>
        </w:rPr>
      </w:pPr>
      <w:r>
        <w:rPr>
          <w:rFonts w:ascii="Times New Roman" w:hAnsi="Times New Roman" w:cs="Times New Roman"/>
          <w:sz w:val="24"/>
          <w:szCs w:val="24"/>
        </w:rPr>
        <w:br w:type="page"/>
      </w:r>
    </w:p>
    <w:p w14:paraId="2ACB657E" w14:textId="5C93AD49" w:rsidR="00645CA2" w:rsidRPr="00AA108E" w:rsidRDefault="00645CA2" w:rsidP="00645CA2">
      <w:pPr>
        <w:pStyle w:val="Caption"/>
        <w:keepNext/>
        <w:rPr>
          <w:rFonts w:ascii="Times New Roman" w:hAnsi="Times New Roman" w:cs="Times New Roman"/>
          <w:b/>
          <w:i w:val="0"/>
          <w:color w:val="auto"/>
          <w:sz w:val="22"/>
          <w:szCs w:val="22"/>
        </w:rPr>
      </w:pPr>
      <w:r w:rsidRPr="00AA108E">
        <w:rPr>
          <w:rFonts w:ascii="Times New Roman" w:hAnsi="Times New Roman" w:cs="Times New Roman"/>
          <w:b/>
          <w:i w:val="0"/>
          <w:color w:val="auto"/>
          <w:sz w:val="22"/>
          <w:szCs w:val="22"/>
        </w:rPr>
        <w:lastRenderedPageBreak/>
        <w:t xml:space="preserve">Figure </w:t>
      </w:r>
      <w:r w:rsidRPr="00AA108E">
        <w:rPr>
          <w:rFonts w:ascii="Times New Roman" w:hAnsi="Times New Roman" w:cs="Times New Roman"/>
          <w:b/>
          <w:i w:val="0"/>
          <w:color w:val="auto"/>
          <w:sz w:val="22"/>
          <w:szCs w:val="22"/>
        </w:rPr>
        <w:fldChar w:fldCharType="begin"/>
      </w:r>
      <w:r w:rsidRPr="00AA108E">
        <w:rPr>
          <w:rFonts w:ascii="Times New Roman" w:hAnsi="Times New Roman" w:cs="Times New Roman"/>
          <w:b/>
          <w:i w:val="0"/>
          <w:color w:val="auto"/>
          <w:sz w:val="22"/>
          <w:szCs w:val="22"/>
        </w:rPr>
        <w:instrText xml:space="preserve"> SEQ Figure \* ARABIC </w:instrText>
      </w:r>
      <w:r w:rsidRPr="00AA108E">
        <w:rPr>
          <w:rFonts w:ascii="Times New Roman" w:hAnsi="Times New Roman" w:cs="Times New Roman"/>
          <w:b/>
          <w:i w:val="0"/>
          <w:color w:val="auto"/>
          <w:sz w:val="22"/>
          <w:szCs w:val="22"/>
        </w:rPr>
        <w:fldChar w:fldCharType="separate"/>
      </w:r>
      <w:r w:rsidR="00F32679">
        <w:rPr>
          <w:rFonts w:ascii="Times New Roman" w:hAnsi="Times New Roman" w:cs="Times New Roman"/>
          <w:b/>
          <w:i w:val="0"/>
          <w:noProof/>
          <w:color w:val="auto"/>
          <w:sz w:val="22"/>
          <w:szCs w:val="22"/>
        </w:rPr>
        <w:t>3</w:t>
      </w:r>
      <w:r w:rsidRPr="00AA108E">
        <w:rPr>
          <w:rFonts w:ascii="Times New Roman" w:hAnsi="Times New Roman" w:cs="Times New Roman"/>
          <w:b/>
          <w:i w:val="0"/>
          <w:color w:val="auto"/>
          <w:sz w:val="22"/>
          <w:szCs w:val="22"/>
        </w:rPr>
        <w:fldChar w:fldCharType="end"/>
      </w:r>
      <w:r w:rsidRPr="00AA108E">
        <w:rPr>
          <w:rFonts w:ascii="Times New Roman" w:hAnsi="Times New Roman" w:cs="Times New Roman"/>
          <w:b/>
          <w:i w:val="0"/>
          <w:color w:val="auto"/>
          <w:sz w:val="22"/>
          <w:szCs w:val="22"/>
        </w:rPr>
        <w:t>. Percent Change in DC GSP by Scenario</w:t>
      </w:r>
    </w:p>
    <w:p w14:paraId="4B2D3927" w14:textId="5014C99D" w:rsidR="008D5EAA" w:rsidRDefault="008D5EAA" w:rsidP="00561A85">
      <w:pPr>
        <w:pStyle w:val="NoSpacing"/>
        <w:rPr>
          <w:rFonts w:ascii="Times New Roman" w:hAnsi="Times New Roman" w:cs="Times New Roman"/>
          <w:sz w:val="24"/>
          <w:szCs w:val="24"/>
        </w:rPr>
      </w:pPr>
      <w:r>
        <w:rPr>
          <w:noProof/>
        </w:rPr>
        <w:drawing>
          <wp:inline distT="0" distB="0" distL="0" distR="0" wp14:anchorId="4F220415" wp14:editId="57CECF5C">
            <wp:extent cx="5056632" cy="2743200"/>
            <wp:effectExtent l="0" t="0" r="10795" b="0"/>
            <wp:docPr id="4" name="Chart 4">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87B9DA0-5469-44A8-B087-F90530F86E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876041" w14:textId="77777777" w:rsidR="008D5EAA" w:rsidRDefault="008D5EAA">
      <w:pPr>
        <w:rPr>
          <w:rFonts w:ascii="Times New Roman" w:hAnsi="Times New Roman" w:cs="Times New Roman"/>
          <w:sz w:val="24"/>
          <w:szCs w:val="24"/>
        </w:rPr>
      </w:pPr>
      <w:r>
        <w:rPr>
          <w:rFonts w:ascii="Times New Roman" w:hAnsi="Times New Roman" w:cs="Times New Roman"/>
          <w:sz w:val="24"/>
          <w:szCs w:val="24"/>
        </w:rPr>
        <w:br w:type="page"/>
      </w:r>
    </w:p>
    <w:p w14:paraId="2BA09386" w14:textId="3D65F7C5" w:rsidR="00645CA2" w:rsidRPr="00AA108E" w:rsidRDefault="001D1218" w:rsidP="00645CA2">
      <w:pPr>
        <w:pStyle w:val="Caption"/>
        <w:keepNext/>
        <w:rPr>
          <w:rFonts w:ascii="Times New Roman" w:hAnsi="Times New Roman" w:cs="Times New Roman"/>
          <w:b/>
          <w:i w:val="0"/>
          <w:color w:val="auto"/>
          <w:sz w:val="22"/>
          <w:szCs w:val="22"/>
        </w:rPr>
      </w:pPr>
      <w:r w:rsidRPr="00921D4A">
        <w:rPr>
          <w:noProof/>
        </w:rPr>
        <w:lastRenderedPageBreak/>
        <w:drawing>
          <wp:anchor distT="0" distB="0" distL="114300" distR="114300" simplePos="0" relativeHeight="251658240" behindDoc="0" locked="0" layoutInCell="1" allowOverlap="1" wp14:anchorId="221DAF8A" wp14:editId="3B9756CC">
            <wp:simplePos x="0" y="0"/>
            <wp:positionH relativeFrom="column">
              <wp:posOffset>0</wp:posOffset>
            </wp:positionH>
            <wp:positionV relativeFrom="paragraph">
              <wp:posOffset>279400</wp:posOffset>
            </wp:positionV>
            <wp:extent cx="5056632" cy="2743200"/>
            <wp:effectExtent l="0" t="0" r="10795" b="0"/>
            <wp:wrapThrough wrapText="bothSides">
              <wp:wrapPolygon edited="0">
                <wp:start x="0" y="0"/>
                <wp:lineTo x="0" y="21450"/>
                <wp:lineTo x="21565" y="21450"/>
                <wp:lineTo x="21565" y="0"/>
                <wp:lineTo x="0" y="0"/>
              </wp:wrapPolygon>
            </wp:wrapThrough>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645CA2" w:rsidRPr="001D1218">
        <w:rPr>
          <w:b/>
          <w:i w:val="0"/>
          <w:color w:val="auto"/>
          <w:sz w:val="20"/>
        </w:rPr>
        <w:t>F</w:t>
      </w:r>
      <w:r w:rsidR="00645CA2" w:rsidRPr="00AA108E">
        <w:rPr>
          <w:rFonts w:ascii="Times New Roman" w:hAnsi="Times New Roman" w:cs="Times New Roman"/>
          <w:b/>
          <w:i w:val="0"/>
          <w:color w:val="auto"/>
          <w:sz w:val="22"/>
          <w:szCs w:val="22"/>
        </w:rPr>
        <w:t xml:space="preserve">igure </w:t>
      </w:r>
      <w:r w:rsidR="00645CA2" w:rsidRPr="00AA108E">
        <w:rPr>
          <w:rFonts w:ascii="Times New Roman" w:hAnsi="Times New Roman" w:cs="Times New Roman"/>
          <w:b/>
          <w:i w:val="0"/>
          <w:color w:val="auto"/>
          <w:sz w:val="22"/>
          <w:szCs w:val="22"/>
        </w:rPr>
        <w:fldChar w:fldCharType="begin"/>
      </w:r>
      <w:r w:rsidR="00645CA2" w:rsidRPr="00AA108E">
        <w:rPr>
          <w:rFonts w:ascii="Times New Roman" w:hAnsi="Times New Roman" w:cs="Times New Roman"/>
          <w:b/>
          <w:i w:val="0"/>
          <w:color w:val="auto"/>
          <w:sz w:val="22"/>
          <w:szCs w:val="22"/>
        </w:rPr>
        <w:instrText xml:space="preserve"> SEQ Figure \* ARABIC </w:instrText>
      </w:r>
      <w:r w:rsidR="00645CA2" w:rsidRPr="00AA108E">
        <w:rPr>
          <w:rFonts w:ascii="Times New Roman" w:hAnsi="Times New Roman" w:cs="Times New Roman"/>
          <w:b/>
          <w:i w:val="0"/>
          <w:color w:val="auto"/>
          <w:sz w:val="22"/>
          <w:szCs w:val="22"/>
        </w:rPr>
        <w:fldChar w:fldCharType="separate"/>
      </w:r>
      <w:r w:rsidR="00F32679">
        <w:rPr>
          <w:rFonts w:ascii="Times New Roman" w:hAnsi="Times New Roman" w:cs="Times New Roman"/>
          <w:b/>
          <w:i w:val="0"/>
          <w:noProof/>
          <w:color w:val="auto"/>
          <w:sz w:val="22"/>
          <w:szCs w:val="22"/>
        </w:rPr>
        <w:t>4</w:t>
      </w:r>
      <w:r w:rsidR="00645CA2" w:rsidRPr="00AA108E">
        <w:rPr>
          <w:rFonts w:ascii="Times New Roman" w:hAnsi="Times New Roman" w:cs="Times New Roman"/>
          <w:b/>
          <w:i w:val="0"/>
          <w:color w:val="auto"/>
          <w:sz w:val="22"/>
          <w:szCs w:val="22"/>
        </w:rPr>
        <w:fldChar w:fldCharType="end"/>
      </w:r>
      <w:r w:rsidR="00645CA2" w:rsidRPr="00AA108E">
        <w:rPr>
          <w:rFonts w:ascii="Times New Roman" w:hAnsi="Times New Roman" w:cs="Times New Roman"/>
          <w:b/>
          <w:i w:val="0"/>
          <w:color w:val="auto"/>
          <w:sz w:val="22"/>
          <w:szCs w:val="22"/>
        </w:rPr>
        <w:t xml:space="preserve">. Estimated Employment </w:t>
      </w:r>
      <w:proofErr w:type="spellStart"/>
      <w:r w:rsidR="00645CA2" w:rsidRPr="00AA108E">
        <w:rPr>
          <w:rFonts w:ascii="Times New Roman" w:hAnsi="Times New Roman" w:cs="Times New Roman"/>
          <w:b/>
          <w:i w:val="0"/>
          <w:color w:val="auto"/>
          <w:sz w:val="22"/>
          <w:szCs w:val="22"/>
        </w:rPr>
        <w:t>Elasticities</w:t>
      </w:r>
      <w:proofErr w:type="spellEnd"/>
      <w:r w:rsidR="00645CA2" w:rsidRPr="00AA108E">
        <w:rPr>
          <w:rFonts w:ascii="Times New Roman" w:hAnsi="Times New Roman" w:cs="Times New Roman"/>
          <w:b/>
          <w:i w:val="0"/>
          <w:color w:val="auto"/>
          <w:sz w:val="22"/>
          <w:szCs w:val="22"/>
        </w:rPr>
        <w:t xml:space="preserve"> from Select Minimum Wage Studies</w:t>
      </w:r>
    </w:p>
    <w:p w14:paraId="59D02B65" w14:textId="623C4668" w:rsidR="008D5EAA" w:rsidRDefault="008D5EAA" w:rsidP="008D5EAA">
      <w:pPr>
        <w:pStyle w:val="ListParagraph"/>
        <w:spacing w:line="480" w:lineRule="auto"/>
        <w:ind w:left="1080"/>
        <w:rPr>
          <w:rFonts w:ascii="Times New Roman" w:hAnsi="Times New Roman" w:cs="Times New Roman"/>
          <w:sz w:val="24"/>
          <w:szCs w:val="24"/>
        </w:rPr>
      </w:pPr>
    </w:p>
    <w:p w14:paraId="352E663C" w14:textId="77777777" w:rsidR="008D5EAA" w:rsidRDefault="008D5EAA" w:rsidP="00561A85">
      <w:pPr>
        <w:pStyle w:val="NoSpacing"/>
        <w:rPr>
          <w:rFonts w:ascii="Times New Roman" w:hAnsi="Times New Roman" w:cs="Times New Roman"/>
          <w:sz w:val="24"/>
          <w:szCs w:val="24"/>
        </w:rPr>
      </w:pPr>
    </w:p>
    <w:p w14:paraId="7C3F2340" w14:textId="791DDB34" w:rsidR="00561A85" w:rsidRDefault="00561A85">
      <w:pPr>
        <w:rPr>
          <w:rFonts w:ascii="Times New Roman" w:hAnsi="Times New Roman" w:cs="Times New Roman"/>
          <w:sz w:val="24"/>
          <w:szCs w:val="24"/>
        </w:rPr>
      </w:pPr>
      <w:r>
        <w:rPr>
          <w:rFonts w:ascii="Times New Roman" w:hAnsi="Times New Roman" w:cs="Times New Roman"/>
          <w:sz w:val="24"/>
          <w:szCs w:val="24"/>
        </w:rPr>
        <w:br w:type="page"/>
      </w:r>
    </w:p>
    <w:p w14:paraId="46174212" w14:textId="282DB32A" w:rsidR="00B77338" w:rsidRDefault="000047EA" w:rsidP="00D74068">
      <w:pPr>
        <w:jc w:val="center"/>
        <w:rPr>
          <w:rFonts w:ascii="Times New Roman" w:hAnsi="Times New Roman" w:cs="Times New Roman"/>
          <w:sz w:val="24"/>
          <w:szCs w:val="24"/>
        </w:rPr>
      </w:pPr>
      <w:r>
        <w:rPr>
          <w:rFonts w:ascii="Times New Roman" w:hAnsi="Times New Roman" w:cs="Times New Roman"/>
          <w:sz w:val="24"/>
          <w:szCs w:val="24"/>
        </w:rPr>
        <w:lastRenderedPageBreak/>
        <w:t>Appendix A</w:t>
      </w:r>
    </w:p>
    <w:p w14:paraId="14E17D27" w14:textId="58BB4EBE" w:rsidR="005D660E" w:rsidRPr="00976843" w:rsidRDefault="00AA108E" w:rsidP="005D660E">
      <w:pPr>
        <w:jc w:val="center"/>
        <w:rPr>
          <w:rFonts w:ascii="Times New Roman" w:hAnsi="Times New Roman" w:cs="Times New Roman"/>
          <w:b/>
        </w:rPr>
      </w:pPr>
      <w:r>
        <w:rPr>
          <w:rFonts w:ascii="Times New Roman" w:hAnsi="Times New Roman" w:cs="Times New Roman"/>
          <w:b/>
          <w:color w:val="000000"/>
          <w:shd w:val="clear" w:color="auto" w:fill="FFFFFF"/>
        </w:rPr>
        <w:t xml:space="preserve">REMI </w:t>
      </w:r>
      <w:r w:rsidR="00D74068">
        <w:rPr>
          <w:rFonts w:ascii="Times New Roman" w:hAnsi="Times New Roman" w:cs="Times New Roman"/>
          <w:b/>
          <w:color w:val="000000"/>
          <w:shd w:val="clear" w:color="auto" w:fill="FFFFFF"/>
        </w:rPr>
        <w:t xml:space="preserve">CGE </w:t>
      </w:r>
      <w:r w:rsidR="005D660E" w:rsidRPr="00976843">
        <w:rPr>
          <w:rFonts w:ascii="Times New Roman" w:hAnsi="Times New Roman" w:cs="Times New Roman"/>
          <w:b/>
          <w:color w:val="000000"/>
          <w:shd w:val="clear" w:color="auto" w:fill="FFFFFF"/>
        </w:rPr>
        <w:t xml:space="preserve">Labor Demand </w:t>
      </w:r>
      <w:proofErr w:type="spellStart"/>
      <w:r w:rsidR="005D660E" w:rsidRPr="00976843">
        <w:rPr>
          <w:rFonts w:ascii="Times New Roman" w:hAnsi="Times New Roman" w:cs="Times New Roman"/>
          <w:b/>
          <w:color w:val="000000"/>
          <w:shd w:val="clear" w:color="auto" w:fill="FFFFFF"/>
        </w:rPr>
        <w:t>Elasticities</w:t>
      </w:r>
      <w:proofErr w:type="spellEnd"/>
    </w:p>
    <w:p w14:paraId="61846081" w14:textId="7F9896E4" w:rsidR="00286D07" w:rsidRDefault="00AA108E" w:rsidP="005D660E">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Below, we provide </w:t>
      </w:r>
      <w:r w:rsidR="00286D07">
        <w:rPr>
          <w:rFonts w:ascii="Times New Roman" w:hAnsi="Times New Roman" w:cs="Times New Roman"/>
          <w:color w:val="000000"/>
          <w:shd w:val="clear" w:color="auto" w:fill="FFFFFF"/>
        </w:rPr>
        <w:t>a more detailed description of the REMI computable general equilibrium model, adapted from descriptions of the model provided by REMI (2015).</w:t>
      </w:r>
    </w:p>
    <w:p w14:paraId="238AF3BA" w14:textId="2E772615" w:rsidR="005D660E" w:rsidRPr="00976843" w:rsidRDefault="005D660E" w:rsidP="005D660E">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With an</w:t>
      </w:r>
      <w:r w:rsidRPr="00976843">
        <w:rPr>
          <w:rFonts w:ascii="Times New Roman" w:hAnsi="Times New Roman" w:cs="Times New Roman"/>
          <w:color w:val="000000"/>
          <w:shd w:val="clear" w:color="auto" w:fill="FFFFFF"/>
        </w:rPr>
        <w:t xml:space="preserve"> output in sector </w:t>
      </w:r>
      <w:proofErr w:type="spellStart"/>
      <w:r w:rsidRPr="00976843">
        <w:rPr>
          <w:rFonts w:ascii="Times New Roman" w:hAnsi="Times New Roman" w:cs="Times New Roman"/>
          <w:i/>
          <w:color w:val="000000"/>
          <w:shd w:val="clear" w:color="auto" w:fill="FFFFFF"/>
        </w:rPr>
        <w:t>i</w:t>
      </w:r>
      <w:proofErr w:type="spellEnd"/>
      <w:r w:rsidRPr="00976843">
        <w:rPr>
          <w:rFonts w:ascii="Times New Roman" w:hAnsi="Times New Roman" w:cs="Times New Roman"/>
          <w:color w:val="000000"/>
          <w:shd w:val="clear" w:color="auto" w:fill="FFFFFF"/>
        </w:rPr>
        <w:t xml:space="preserve"> and intermediate input determined, the optimal labor and capital demand in sector </w:t>
      </w:r>
      <w:proofErr w:type="spellStart"/>
      <w:r w:rsidRPr="00976843">
        <w:rPr>
          <w:rFonts w:ascii="Times New Roman" w:hAnsi="Times New Roman" w:cs="Times New Roman"/>
          <w:i/>
          <w:color w:val="000000"/>
          <w:shd w:val="clear" w:color="auto" w:fill="FFFFFF"/>
        </w:rPr>
        <w:t>i</w:t>
      </w:r>
      <w:proofErr w:type="spellEnd"/>
      <w:r w:rsidRPr="00976843">
        <w:rPr>
          <w:rFonts w:ascii="Times New Roman" w:hAnsi="Times New Roman" w:cs="Times New Roman"/>
          <w:color w:val="000000"/>
          <w:shd w:val="clear" w:color="auto" w:fill="FFFFFF"/>
        </w:rPr>
        <w:t xml:space="preserve"> can be calculated from a constant returns to scale Cobb-Douglas function of value added for sector </w:t>
      </w:r>
      <w:r w:rsidRPr="00976843">
        <w:rPr>
          <w:rFonts w:ascii="Times New Roman" w:hAnsi="Times New Roman" w:cs="Times New Roman"/>
          <w:i/>
          <w:color w:val="000000"/>
          <w:shd w:val="clear" w:color="auto" w:fill="FFFFFF"/>
        </w:rPr>
        <w:t>i</w:t>
      </w:r>
      <w:r w:rsidRPr="00976843">
        <w:rPr>
          <w:rFonts w:ascii="Times New Roman" w:hAnsi="Times New Roman" w:cs="Times New Roman"/>
          <w:color w:val="000000"/>
          <w:shd w:val="clear" w:color="auto" w:fill="FFFFFF"/>
        </w:rPr>
        <w:t>:</w:t>
      </w:r>
    </w:p>
    <w:p w14:paraId="24B4E24A" w14:textId="77777777" w:rsidR="005D660E" w:rsidRPr="00976843" w:rsidRDefault="005D660E" w:rsidP="005D660E">
      <w:pPr>
        <w:rPr>
          <w:rFonts w:ascii="Times New Roman" w:eastAsiaTheme="minorEastAsia" w:hAnsi="Times New Roman" w:cs="Times New Roman"/>
        </w:rPr>
      </w:pPr>
      <w:r w:rsidRPr="00976843">
        <w:rPr>
          <w:rFonts w:ascii="Times New Roman" w:hAnsi="Times New Roman" w:cs="Times New Roman"/>
          <w:color w:val="000000"/>
          <w:shd w:val="clear" w:color="auto" w:fill="FFFFFF"/>
        </w:rPr>
        <w:t xml:space="preserve"> </w:t>
      </w:r>
      <m:oMath>
        <m:sSub>
          <m:sSubPr>
            <m:ctrlPr>
              <w:rPr>
                <w:rFonts w:ascii="Cambria Math" w:hAnsi="Cambria Math" w:cs="Times New Roman"/>
                <w:i/>
              </w:rPr>
            </m:ctrlPr>
          </m:sSubPr>
          <m:e>
            <m:r>
              <w:rPr>
                <w:rFonts w:ascii="Cambria Math" w:hAnsi="Cambria Math" w:cs="Times New Roman"/>
              </w:rPr>
              <m:t>VA</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sSup>
          <m:sSupPr>
            <m:ctrlPr>
              <w:rPr>
                <w:rFonts w:ascii="Cambria Math" w:hAnsi="Cambria Math" w:cs="Times New Roman"/>
                <w:i/>
              </w:rPr>
            </m:ctrlPr>
          </m:sSupPr>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i</m:t>
                    </m:r>
                  </m:sub>
                </m:sSub>
              </m:e>
            </m:d>
          </m:e>
          <m:sup>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i</m:t>
                </m:r>
              </m:sub>
            </m:sSub>
          </m:sup>
        </m:sSup>
        <m:sSup>
          <m:sSupPr>
            <m:ctrlPr>
              <w:rPr>
                <w:rFonts w:ascii="Cambria Math" w:hAnsi="Cambria Math" w:cs="Times New Roman"/>
                <w:i/>
              </w:rPr>
            </m:ctrlPr>
          </m:sSupPr>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i</m:t>
                    </m:r>
                  </m:sub>
                </m:sSub>
              </m:e>
            </m:d>
          </m:e>
          <m:sup>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i</m:t>
                </m:r>
              </m:sub>
            </m:sSub>
          </m:sup>
        </m:sSup>
        <m:sSup>
          <m:sSupPr>
            <m:ctrlPr>
              <w:rPr>
                <w:rFonts w:ascii="Cambria Math" w:hAnsi="Cambria Math" w:cs="Times New Roman"/>
                <w:i/>
              </w:rPr>
            </m:ctrlPr>
          </m:sSupPr>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i</m:t>
                    </m:r>
                  </m:sub>
                </m:sSub>
              </m:e>
            </m:d>
          </m:e>
          <m:sup>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i</m:t>
                </m:r>
              </m:sub>
            </m:sSub>
          </m:sup>
        </m:sSup>
      </m:oMath>
      <w:r w:rsidRPr="00976843">
        <w:rPr>
          <w:rFonts w:ascii="Times New Roman" w:eastAsiaTheme="minorEastAsia" w:hAnsi="Times New Roman" w:cs="Times New Roman"/>
        </w:rPr>
        <w:t xml:space="preserve">,    </w:t>
      </w:r>
      <w:r w:rsidRPr="00976843">
        <w:rPr>
          <w:rFonts w:ascii="Times New Roman" w:eastAsiaTheme="minorEastAsia" w:hAnsi="Times New Roman" w:cs="Times New Roman"/>
        </w:rPr>
        <w:tab/>
      </w:r>
      <w:r w:rsidRPr="00976843">
        <w:rPr>
          <w:rFonts w:ascii="Times New Roman" w:eastAsiaTheme="minorEastAsia" w:hAnsi="Times New Roman" w:cs="Times New Roman"/>
        </w:rPr>
        <w:tab/>
      </w:r>
      <w:r w:rsidRPr="00976843">
        <w:rPr>
          <w:rFonts w:ascii="Times New Roman" w:eastAsiaTheme="minorEastAsia" w:hAnsi="Times New Roman" w:cs="Times New Roman"/>
        </w:rPr>
        <w:tab/>
      </w:r>
      <w:r w:rsidRPr="00976843">
        <w:rPr>
          <w:rFonts w:ascii="Times New Roman" w:eastAsiaTheme="minorEastAsia" w:hAnsi="Times New Roman" w:cs="Times New Roman"/>
        </w:rPr>
        <w:tab/>
      </w:r>
      <w:r w:rsidRPr="00976843">
        <w:rPr>
          <w:rFonts w:ascii="Times New Roman" w:eastAsiaTheme="minorEastAsia" w:hAnsi="Times New Roman" w:cs="Times New Roman"/>
        </w:rPr>
        <w:tab/>
      </w:r>
      <w:r w:rsidRPr="00976843">
        <w:rPr>
          <w:rFonts w:ascii="Times New Roman" w:eastAsiaTheme="minorEastAsia" w:hAnsi="Times New Roman" w:cs="Times New Roman"/>
        </w:rPr>
        <w:tab/>
      </w:r>
      <w:r w:rsidRPr="00976843">
        <w:rPr>
          <w:rFonts w:ascii="Times New Roman" w:eastAsiaTheme="minorEastAsia" w:hAnsi="Times New Roman" w:cs="Times New Roman"/>
        </w:rPr>
        <w:tab/>
      </w:r>
      <w:r w:rsidRPr="00976843">
        <w:rPr>
          <w:rFonts w:ascii="Times New Roman" w:eastAsiaTheme="minorEastAsia" w:hAnsi="Times New Roman" w:cs="Times New Roman"/>
        </w:rPr>
        <w:tab/>
      </w:r>
      <w:r w:rsidRPr="00976843">
        <w:rPr>
          <w:rFonts w:ascii="Times New Roman" w:eastAsiaTheme="minorEastAsia" w:hAnsi="Times New Roman" w:cs="Times New Roman"/>
        </w:rPr>
        <w:tab/>
        <w:t>(1)</w:t>
      </w:r>
    </w:p>
    <w:p w14:paraId="4A5A01CE" w14:textId="2370EF3A" w:rsidR="005D660E" w:rsidRPr="00976843" w:rsidRDefault="005D660E" w:rsidP="005D660E">
      <w:pPr>
        <w:rPr>
          <w:rFonts w:ascii="Times New Roman" w:eastAsiaTheme="minorEastAsia" w:hAnsi="Times New Roman" w:cs="Times New Roman"/>
        </w:rPr>
      </w:pPr>
      <w:proofErr w:type="gramStart"/>
      <w:r w:rsidRPr="00976843">
        <w:rPr>
          <w:rFonts w:ascii="Times New Roman" w:eastAsiaTheme="minorEastAsia" w:hAnsi="Times New Roman" w:cs="Times New Roman"/>
        </w:rPr>
        <w:t>where</w:t>
      </w:r>
      <w:proofErr w:type="gramEnd"/>
      <w:r w:rsidRPr="00976843">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oMath>
      <w:r w:rsidRPr="00976843">
        <w:rPr>
          <w:rFonts w:ascii="Times New Roman" w:eastAsiaTheme="minorEastAsia" w:hAnsi="Times New Roman" w:cs="Times New Roman"/>
        </w:rPr>
        <w:t xml:space="preserve"> is total factor productivity, </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i</m:t>
            </m:r>
          </m:sub>
        </m:sSub>
      </m:oMath>
      <w:r w:rsidRPr="00976843">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i</m:t>
            </m:r>
          </m:sub>
        </m:sSub>
      </m:oMath>
      <w:r w:rsidRPr="00976843">
        <w:rPr>
          <w:rFonts w:ascii="Times New Roman" w:eastAsiaTheme="minorEastAsia"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i</m:t>
            </m:r>
          </m:sub>
        </m:sSub>
      </m:oMath>
      <w:r w:rsidRPr="00976843">
        <w:rPr>
          <w:rFonts w:ascii="Times New Roman" w:eastAsiaTheme="minorEastAsia" w:hAnsi="Times New Roman" w:cs="Times New Roman"/>
        </w:rPr>
        <w:t xml:space="preserve">  are labor, capital and fuel </w:t>
      </w:r>
      <w:r w:rsidRPr="00976843">
        <w:rPr>
          <w:rFonts w:ascii="Times New Roman" w:hAnsi="Times New Roman" w:cs="Times New Roman"/>
          <w:color w:val="000000"/>
          <w:shd w:val="clear" w:color="auto" w:fill="FFFFFF"/>
        </w:rPr>
        <w:t xml:space="preserve">sector </w:t>
      </w:r>
      <w:proofErr w:type="spellStart"/>
      <w:r w:rsidRPr="00976843">
        <w:rPr>
          <w:rFonts w:ascii="Times New Roman" w:hAnsi="Times New Roman" w:cs="Times New Roman"/>
          <w:i/>
          <w:color w:val="000000"/>
          <w:shd w:val="clear" w:color="auto" w:fill="FFFFFF"/>
        </w:rPr>
        <w:t>i</w:t>
      </w:r>
      <w:proofErr w:type="spellEnd"/>
      <w:r w:rsidRPr="00976843">
        <w:rPr>
          <w:rFonts w:ascii="Times New Roman" w:eastAsiaTheme="minorEastAsia" w:hAnsi="Times New Roman" w:cs="Times New Roman"/>
        </w:rPr>
        <w:t xml:space="preserve"> respectively, </w:t>
      </w:r>
      <w:r w:rsidR="00037B0B" w:rsidRPr="00976843">
        <w:rPr>
          <w:rFonts w:ascii="Times New Roman" w:eastAsiaTheme="minorEastAsia" w:hAnsi="Times New Roman" w:cs="Times New Roman"/>
        </w:rPr>
        <w:t>and α</w:t>
      </w:r>
      <w:r w:rsidRPr="00976843">
        <w:rPr>
          <w:rFonts w:ascii="Times New Roman" w:eastAsiaTheme="minorEastAsia" w:hAnsi="Times New Roman" w:cs="Times New Roman"/>
        </w:rPr>
        <w:t xml:space="preserve">+β+γ=1. </w:t>
      </w:r>
    </w:p>
    <w:p w14:paraId="7A041C44" w14:textId="77777777" w:rsidR="005D660E" w:rsidRPr="00976843" w:rsidRDefault="005D660E" w:rsidP="005D660E">
      <w:pPr>
        <w:rPr>
          <w:rFonts w:ascii="Times New Roman" w:eastAsiaTheme="minorEastAsia" w:hAnsi="Times New Roman" w:cs="Times New Roman"/>
        </w:rPr>
      </w:pPr>
      <w:r w:rsidRPr="00976843">
        <w:rPr>
          <w:rFonts w:ascii="Times New Roman" w:eastAsiaTheme="minorEastAsia" w:hAnsi="Times New Roman" w:cs="Times New Roman"/>
        </w:rPr>
        <w:t>Demand for labor can be derived through cost minimization and be expressed as</w:t>
      </w:r>
    </w:p>
    <w:p w14:paraId="0ABD5424" w14:textId="77777777" w:rsidR="005D660E" w:rsidRPr="00976843" w:rsidRDefault="005D660E" w:rsidP="005D660E">
      <w:pPr>
        <w:rPr>
          <w:rFonts w:ascii="Times New Roman" w:eastAsiaTheme="minorEastAsia" w:hAnsi="Times New Roman" w:cs="Times New Roman"/>
        </w:rPr>
      </w:pPr>
      <w:r w:rsidRPr="00976843">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VA</m:t>
            </m:r>
          </m:e>
          <m:sub>
            <m:r>
              <w:rPr>
                <w:rFonts w:ascii="Cambria Math" w:hAnsi="Cambria Math" w:cs="Times New Roman"/>
              </w:rPr>
              <m:t>i</m:t>
            </m:r>
          </m:sub>
        </m:sSub>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den>
            </m:f>
          </m:e>
        </m:d>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i</m:t>
                        </m:r>
                      </m:sub>
                    </m:sSub>
                  </m:num>
                  <m:den>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i</m:t>
                        </m:r>
                      </m:sub>
                    </m:sSub>
                  </m:den>
                </m:f>
              </m:e>
            </m:d>
          </m:e>
          <m:sup>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i</m:t>
                </m:r>
              </m:sub>
            </m:sSub>
            <m:r>
              <w:rPr>
                <w:rFonts w:ascii="Cambria Math" w:hAnsi="Cambria Math" w:cs="Times New Roman"/>
              </w:rPr>
              <m:t>-1</m:t>
            </m:r>
          </m:sup>
        </m:sSup>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i</m:t>
                        </m:r>
                      </m:sub>
                    </m:sSub>
                  </m:num>
                  <m:den>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i</m:t>
                        </m:r>
                      </m:sub>
                    </m:sSub>
                  </m:den>
                </m:f>
              </m:e>
            </m:d>
          </m:e>
          <m:sup>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i</m:t>
                </m:r>
              </m:sub>
            </m:sSub>
            <m:r>
              <w:rPr>
                <w:rFonts w:ascii="Cambria Math" w:hAnsi="Cambria Math" w:cs="Times New Roman"/>
              </w:rPr>
              <m:t>-1</m:t>
            </m:r>
          </m:sup>
        </m:sSup>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i</m:t>
                        </m:r>
                      </m:sub>
                    </m:sSub>
                  </m:num>
                  <m:den>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i</m:t>
                        </m:r>
                      </m:sub>
                    </m:sSub>
                  </m:den>
                </m:f>
              </m:e>
            </m:d>
          </m:e>
          <m:sup>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i</m:t>
                </m:r>
              </m:sub>
            </m:sSub>
            <m:r>
              <w:rPr>
                <w:rFonts w:ascii="Cambria Math" w:hAnsi="Cambria Math" w:cs="Times New Roman"/>
              </w:rPr>
              <m:t>-1</m:t>
            </m:r>
          </m:sup>
        </m:sSup>
      </m:oMath>
      <w:r w:rsidRPr="00976843">
        <w:rPr>
          <w:rFonts w:ascii="Times New Roman" w:eastAsiaTheme="minorEastAsia" w:hAnsi="Times New Roman" w:cs="Times New Roman"/>
        </w:rPr>
        <w:t xml:space="preserve"> </w:t>
      </w:r>
      <w:r w:rsidRPr="00976843">
        <w:rPr>
          <w:rFonts w:ascii="Times New Roman" w:eastAsiaTheme="minorEastAsia" w:hAnsi="Times New Roman" w:cs="Times New Roman"/>
        </w:rPr>
        <w:tab/>
      </w:r>
      <w:r w:rsidRPr="00976843">
        <w:rPr>
          <w:rFonts w:ascii="Times New Roman" w:eastAsiaTheme="minorEastAsia" w:hAnsi="Times New Roman" w:cs="Times New Roman"/>
        </w:rPr>
        <w:tab/>
      </w:r>
      <w:r w:rsidRPr="00976843">
        <w:rPr>
          <w:rFonts w:ascii="Times New Roman" w:eastAsiaTheme="minorEastAsia" w:hAnsi="Times New Roman" w:cs="Times New Roman"/>
        </w:rPr>
        <w:tab/>
      </w:r>
      <w:r w:rsidRPr="00976843">
        <w:rPr>
          <w:rFonts w:ascii="Times New Roman" w:eastAsiaTheme="minorEastAsia" w:hAnsi="Times New Roman" w:cs="Times New Roman"/>
        </w:rPr>
        <w:tab/>
      </w:r>
      <w:r w:rsidRPr="00976843">
        <w:rPr>
          <w:rFonts w:ascii="Times New Roman" w:eastAsiaTheme="minorEastAsia" w:hAnsi="Times New Roman" w:cs="Times New Roman"/>
        </w:rPr>
        <w:tab/>
      </w:r>
      <w:r w:rsidRPr="00976843">
        <w:rPr>
          <w:rFonts w:ascii="Times New Roman" w:eastAsiaTheme="minorEastAsia" w:hAnsi="Times New Roman" w:cs="Times New Roman"/>
        </w:rPr>
        <w:tab/>
      </w:r>
      <w:r w:rsidRPr="00976843">
        <w:rPr>
          <w:rFonts w:ascii="Times New Roman" w:eastAsiaTheme="minorEastAsia" w:hAnsi="Times New Roman" w:cs="Times New Roman"/>
        </w:rPr>
        <w:tab/>
        <w:t>(2)</w:t>
      </w:r>
    </w:p>
    <w:p w14:paraId="1C51B13D" w14:textId="44F46A07" w:rsidR="005D660E" w:rsidRPr="00976843" w:rsidRDefault="005D660E" w:rsidP="005D660E">
      <w:pPr>
        <w:rPr>
          <w:rFonts w:ascii="Times New Roman" w:hAnsi="Times New Roman" w:cs="Times New Roman"/>
          <w:color w:val="000000"/>
          <w:shd w:val="clear" w:color="auto" w:fill="FFFFFF"/>
        </w:rPr>
      </w:pPr>
      <w:r w:rsidRPr="00976843">
        <w:rPr>
          <w:rFonts w:ascii="Times New Roman" w:eastAsiaTheme="minorEastAsia" w:hAnsi="Times New Roman" w:cs="Times New Roman"/>
        </w:rPr>
        <w:t xml:space="preserve">Where </w:t>
      </w: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i</m:t>
            </m:r>
          </m:sub>
        </m:sSub>
      </m:oMath>
      <w:r w:rsidRPr="00976843">
        <w:rPr>
          <w:rFonts w:ascii="Times New Roman" w:eastAsiaTheme="minorEastAsia" w:hAnsi="Times New Roman" w:cs="Times New Roman"/>
        </w:rPr>
        <w:t xml:space="preserve"> is the wage rate,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i</m:t>
            </m:r>
          </m:sub>
        </m:sSub>
      </m:oMath>
      <w:r w:rsidRPr="00976843">
        <w:rPr>
          <w:rFonts w:ascii="Times New Roman" w:eastAsiaTheme="minorEastAsia" w:hAnsi="Times New Roman" w:cs="Times New Roman"/>
        </w:rPr>
        <w:t xml:space="preserve"> is the cost of capital, and  </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i</m:t>
            </m:r>
          </m:sub>
        </m:sSub>
      </m:oMath>
      <w:r w:rsidRPr="00976843">
        <w:rPr>
          <w:rFonts w:ascii="Times New Roman" w:eastAsiaTheme="minorEastAsia" w:hAnsi="Times New Roman" w:cs="Times New Roman"/>
        </w:rPr>
        <w:t xml:space="preserve"> the cost of fuel, </w:t>
      </w:r>
      <w:r>
        <w:rPr>
          <w:rFonts w:ascii="Times New Roman" w:eastAsiaTheme="minorEastAsia" w:hAnsi="Times New Roman" w:cs="Times New Roman"/>
        </w:rPr>
        <w:t xml:space="preserve">the </w:t>
      </w:r>
      <w:r w:rsidRPr="00976843">
        <w:rPr>
          <w:rFonts w:ascii="Times New Roman" w:eastAsiaTheme="minorEastAsia" w:hAnsi="Times New Roman" w:cs="Times New Roman"/>
        </w:rPr>
        <w:t>short run labor demand elasticity</w:t>
      </w:r>
      <w:r>
        <w:rPr>
          <w:rFonts w:ascii="Times New Roman" w:eastAsiaTheme="minorEastAsia" w:hAnsi="Times New Roman" w:cs="Times New Roman"/>
        </w:rPr>
        <w:t xml:space="preserve"> (</w:t>
      </w:r>
      <w:r w:rsidRPr="00976843">
        <w:rPr>
          <w:rFonts w:ascii="Times New Roman" w:eastAsiaTheme="minorEastAsia" w:hAnsi="Times New Roman" w:cs="Times New Roman"/>
        </w:rPr>
        <w:t>assuming constant product price and fixed level of capital</w:t>
      </w:r>
      <w:r>
        <w:rPr>
          <w:rFonts w:ascii="Times New Roman" w:eastAsiaTheme="minorEastAsia" w:hAnsi="Times New Roman" w:cs="Times New Roman"/>
        </w:rPr>
        <w:t>)</w:t>
      </w:r>
      <w:r w:rsidRPr="00976843">
        <w:rPr>
          <w:rFonts w:ascii="Times New Roman" w:eastAsiaTheme="minorEastAsia" w:hAnsi="Times New Roman" w:cs="Times New Roman"/>
        </w:rPr>
        <w:t xml:space="preserve"> is given by: </w:t>
      </w:r>
    </w:p>
    <w:p w14:paraId="05092191" w14:textId="66A08203" w:rsidR="005D660E" w:rsidRPr="00976843" w:rsidRDefault="000502DB" w:rsidP="005D660E">
      <w:pPr>
        <w:rPr>
          <w:rFonts w:ascii="Times New Roman" w:eastAsiaTheme="minorEastAsia" w:hAnsi="Times New Roman" w:cs="Times New Roman"/>
          <w:color w:val="000000"/>
          <w:shd w:val="clear" w:color="auto" w:fill="FFFFFF"/>
        </w:rPr>
      </w:pPr>
      <m:oMath>
        <m:sSub>
          <m:sSubPr>
            <m:ctrlPr>
              <w:rPr>
                <w:rFonts w:ascii="Cambria Math" w:hAnsi="Cambria Math" w:cs="Times New Roman"/>
                <w:i/>
                <w:color w:val="000000"/>
                <w:shd w:val="clear" w:color="auto" w:fill="FFFFFF"/>
              </w:rPr>
            </m:ctrlPr>
          </m:sSubPr>
          <m:e>
            <m:r>
              <w:rPr>
                <w:rFonts w:ascii="Cambria Math" w:hAnsi="Cambria Math" w:cs="Times New Roman"/>
                <w:color w:val="000000"/>
                <w:shd w:val="clear" w:color="auto" w:fill="FFFFFF"/>
              </w:rPr>
              <m:t>σ</m:t>
            </m:r>
          </m:e>
          <m:sub>
            <m:r>
              <w:rPr>
                <w:rFonts w:ascii="Cambria Math" w:hAnsi="Cambria Math" w:cs="Times New Roman"/>
                <w:color w:val="000000"/>
                <w:shd w:val="clear" w:color="auto" w:fill="FFFFFF"/>
              </w:rPr>
              <m:t>L</m:t>
            </m:r>
          </m:sub>
        </m:sSub>
        <m:r>
          <w:rPr>
            <w:rFonts w:ascii="Cambria Math" w:hAnsi="Cambria Math" w:cs="Times New Roman"/>
            <w:color w:val="000000"/>
            <w:shd w:val="clear" w:color="auto" w:fill="FFFFFF"/>
          </w:rPr>
          <m:t>=</m:t>
        </m:r>
        <m:f>
          <m:fPr>
            <m:ctrlPr>
              <w:rPr>
                <w:rFonts w:ascii="Cambria Math" w:hAnsi="Cambria Math" w:cs="Times New Roman"/>
                <w:color w:val="000000"/>
                <w:shd w:val="clear" w:color="auto" w:fill="FFFFFF"/>
              </w:rPr>
            </m:ctrlPr>
          </m:fPr>
          <m:num>
            <m:r>
              <m:rPr>
                <m:sty m:val="p"/>
              </m:rPr>
              <w:rPr>
                <w:rFonts w:ascii="Cambria Math" w:hAnsi="Cambria Math" w:cs="Times New Roman"/>
                <w:color w:val="000000"/>
                <w:shd w:val="clear" w:color="auto" w:fill="FFFFFF"/>
              </w:rPr>
              <m:t>∂</m:t>
            </m:r>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ln</m:t>
                </m:r>
              </m:fName>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L</m:t>
                        </m:r>
                      </m:e>
                      <m:sub>
                        <m:r>
                          <w:rPr>
                            <w:rFonts w:ascii="Cambria Math" w:eastAsiaTheme="minorEastAsia" w:hAnsi="Cambria Math" w:cs="Times New Roman"/>
                            <w:sz w:val="24"/>
                            <w:szCs w:val="24"/>
                          </w:rPr>
                          <m:t>i</m:t>
                        </m:r>
                      </m:sub>
                    </m:sSub>
                  </m:e>
                </m:d>
              </m:e>
            </m:func>
          </m:num>
          <m:den>
            <m:r>
              <m:rPr>
                <m:sty m:val="p"/>
              </m:rPr>
              <w:rPr>
                <w:rFonts w:ascii="Cambria Math" w:hAnsi="Cambria Math" w:cs="Times New Roman"/>
                <w:color w:val="000000"/>
                <w:shd w:val="clear" w:color="auto" w:fill="FFFFFF"/>
              </w:rPr>
              <m:t>∂</m:t>
            </m:r>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ln</m:t>
                </m:r>
              </m:fName>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i</m:t>
                        </m:r>
                      </m:sub>
                    </m:sSub>
                  </m:e>
                </m:d>
              </m:e>
            </m:func>
          </m:den>
        </m:f>
        <m:r>
          <w:rPr>
            <w:rFonts w:ascii="Cambria Math" w:hAnsi="Cambria Math" w:cs="Times New Roman"/>
            <w:color w:val="000000"/>
            <w:shd w:val="clear" w:color="auto" w:fill="FFFFFF"/>
          </w:rPr>
          <m:t>=-</m:t>
        </m:r>
        <m:f>
          <m:fPr>
            <m:ctrlPr>
              <w:rPr>
                <w:rFonts w:ascii="Cambria Math" w:hAnsi="Cambria Math" w:cs="Times New Roman"/>
                <w:i/>
                <w:color w:val="000000"/>
                <w:shd w:val="clear" w:color="auto" w:fill="FFFFFF"/>
              </w:rPr>
            </m:ctrlPr>
          </m:fPr>
          <m:num>
            <m:r>
              <w:rPr>
                <w:rFonts w:ascii="Cambria Math" w:hAnsi="Cambria Math" w:cs="Times New Roman"/>
                <w:color w:val="000000"/>
                <w:shd w:val="clear" w:color="auto" w:fill="FFFFFF"/>
              </w:rPr>
              <m:t>1</m:t>
            </m:r>
          </m:num>
          <m:den>
            <m:r>
              <w:rPr>
                <w:rFonts w:ascii="Cambria Math" w:hAnsi="Cambria Math" w:cs="Times New Roman"/>
                <w:color w:val="000000"/>
                <w:shd w:val="clear" w:color="auto" w:fill="FFFFFF"/>
              </w:rPr>
              <m:t>1-</m:t>
            </m:r>
            <m:sSub>
              <m:sSubPr>
                <m:ctrlPr>
                  <w:rPr>
                    <w:rFonts w:ascii="Cambria Math" w:hAnsi="Cambria Math" w:cs="Times New Roman"/>
                    <w:i/>
                    <w:color w:val="000000"/>
                    <w:shd w:val="clear" w:color="auto" w:fill="FFFFFF"/>
                  </w:rPr>
                </m:ctrlPr>
              </m:sSubPr>
              <m:e>
                <m:r>
                  <w:rPr>
                    <w:rFonts w:ascii="Cambria Math" w:hAnsi="Cambria Math" w:cs="Times New Roman"/>
                    <w:color w:val="000000"/>
                    <w:shd w:val="clear" w:color="auto" w:fill="FFFFFF"/>
                  </w:rPr>
                  <m:t>α</m:t>
                </m:r>
              </m:e>
              <m:sub>
                <m:r>
                  <w:rPr>
                    <w:rFonts w:ascii="Cambria Math" w:hAnsi="Cambria Math" w:cs="Times New Roman"/>
                    <w:color w:val="000000"/>
                    <w:shd w:val="clear" w:color="auto" w:fill="FFFFFF"/>
                  </w:rPr>
                  <m:t>i</m:t>
                </m:r>
              </m:sub>
            </m:sSub>
          </m:den>
        </m:f>
      </m:oMath>
      <w:r w:rsidR="005D660E" w:rsidRPr="00976843">
        <w:rPr>
          <w:rFonts w:ascii="Times New Roman" w:eastAsiaTheme="minorEastAsia" w:hAnsi="Times New Roman" w:cs="Times New Roman"/>
          <w:color w:val="000000"/>
          <w:shd w:val="clear" w:color="auto" w:fill="FFFFFF"/>
        </w:rPr>
        <w:tab/>
      </w:r>
      <w:r w:rsidR="005D660E" w:rsidRPr="00976843">
        <w:rPr>
          <w:rFonts w:ascii="Times New Roman" w:eastAsiaTheme="minorEastAsia" w:hAnsi="Times New Roman" w:cs="Times New Roman"/>
          <w:color w:val="000000"/>
          <w:shd w:val="clear" w:color="auto" w:fill="FFFFFF"/>
        </w:rPr>
        <w:tab/>
      </w:r>
      <w:r w:rsidR="005D660E" w:rsidRPr="00976843">
        <w:rPr>
          <w:rFonts w:ascii="Times New Roman" w:eastAsiaTheme="minorEastAsia" w:hAnsi="Times New Roman" w:cs="Times New Roman"/>
          <w:color w:val="000000"/>
          <w:shd w:val="clear" w:color="auto" w:fill="FFFFFF"/>
        </w:rPr>
        <w:tab/>
      </w:r>
      <w:r w:rsidR="005D660E" w:rsidRPr="00976843">
        <w:rPr>
          <w:rFonts w:ascii="Times New Roman" w:eastAsiaTheme="minorEastAsia" w:hAnsi="Times New Roman" w:cs="Times New Roman"/>
          <w:color w:val="000000"/>
          <w:shd w:val="clear" w:color="auto" w:fill="FFFFFF"/>
        </w:rPr>
        <w:tab/>
      </w:r>
      <w:r w:rsidR="005D660E" w:rsidRPr="00976843">
        <w:rPr>
          <w:rFonts w:ascii="Times New Roman" w:eastAsiaTheme="minorEastAsia" w:hAnsi="Times New Roman" w:cs="Times New Roman"/>
          <w:color w:val="000000"/>
          <w:shd w:val="clear" w:color="auto" w:fill="FFFFFF"/>
        </w:rPr>
        <w:tab/>
      </w:r>
      <w:r w:rsidR="005D660E" w:rsidRPr="00976843">
        <w:rPr>
          <w:rFonts w:ascii="Times New Roman" w:eastAsiaTheme="minorEastAsia" w:hAnsi="Times New Roman" w:cs="Times New Roman"/>
          <w:color w:val="000000"/>
          <w:shd w:val="clear" w:color="auto" w:fill="FFFFFF"/>
        </w:rPr>
        <w:tab/>
      </w:r>
      <w:r w:rsidR="005D660E" w:rsidRPr="00976843">
        <w:rPr>
          <w:rFonts w:ascii="Times New Roman" w:eastAsiaTheme="minorEastAsia" w:hAnsi="Times New Roman" w:cs="Times New Roman"/>
          <w:color w:val="000000"/>
          <w:shd w:val="clear" w:color="auto" w:fill="FFFFFF"/>
        </w:rPr>
        <w:tab/>
      </w:r>
      <w:r w:rsidR="005D660E">
        <w:rPr>
          <w:rFonts w:ascii="Times New Roman" w:eastAsiaTheme="minorEastAsia" w:hAnsi="Times New Roman" w:cs="Times New Roman"/>
          <w:color w:val="000000"/>
          <w:shd w:val="clear" w:color="auto" w:fill="FFFFFF"/>
        </w:rPr>
        <w:tab/>
      </w:r>
      <w:r w:rsidR="005D660E" w:rsidRPr="00976843">
        <w:rPr>
          <w:rFonts w:ascii="Times New Roman" w:eastAsiaTheme="minorEastAsia" w:hAnsi="Times New Roman" w:cs="Times New Roman"/>
          <w:color w:val="000000"/>
          <w:shd w:val="clear" w:color="auto" w:fill="FFFFFF"/>
        </w:rPr>
        <w:tab/>
      </w:r>
      <w:r w:rsidR="005D660E" w:rsidRPr="00976843">
        <w:rPr>
          <w:rFonts w:ascii="Times New Roman" w:eastAsiaTheme="minorEastAsia" w:hAnsi="Times New Roman" w:cs="Times New Roman"/>
          <w:color w:val="000000"/>
          <w:shd w:val="clear" w:color="auto" w:fill="FFFFFF"/>
        </w:rPr>
        <w:tab/>
        <w:t>(3)</w:t>
      </w:r>
    </w:p>
    <w:p w14:paraId="3BB68DD6" w14:textId="77777777" w:rsidR="00D74068" w:rsidRDefault="005D660E" w:rsidP="005D660E">
      <w:pPr>
        <w:rPr>
          <w:rFonts w:ascii="Times New Roman" w:eastAsiaTheme="minorEastAsia" w:hAnsi="Times New Roman" w:cs="Times New Roman"/>
          <w:color w:val="000000"/>
          <w:shd w:val="clear" w:color="auto" w:fill="FFFFFF"/>
        </w:rPr>
      </w:pPr>
      <w:r>
        <w:rPr>
          <w:rFonts w:ascii="Times New Roman" w:eastAsiaTheme="minorEastAsia" w:hAnsi="Times New Roman" w:cs="Times New Roman"/>
          <w:color w:val="000000"/>
          <w:shd w:val="clear" w:color="auto" w:fill="FFFFFF"/>
        </w:rPr>
        <w:t>However, beyond the very immediate short run</w:t>
      </w:r>
      <w:r w:rsidRPr="00976843">
        <w:rPr>
          <w:rFonts w:ascii="Times New Roman" w:eastAsiaTheme="minorEastAsia" w:hAnsi="Times New Roman" w:cs="Times New Roman"/>
          <w:color w:val="000000"/>
          <w:shd w:val="clear" w:color="auto" w:fill="FFFFFF"/>
        </w:rPr>
        <w:t xml:space="preserve">, our assumption of </w:t>
      </w:r>
      <w:r w:rsidRPr="00976843">
        <w:rPr>
          <w:rFonts w:ascii="Times New Roman" w:eastAsiaTheme="minorEastAsia" w:hAnsi="Times New Roman" w:cs="Times New Roman"/>
        </w:rPr>
        <w:t>constant product price and fixed level of capital will not hold. A</w:t>
      </w:r>
      <w:r w:rsidRPr="00976843">
        <w:rPr>
          <w:rFonts w:ascii="Times New Roman" w:eastAsiaTheme="minorEastAsia" w:hAnsi="Times New Roman" w:cs="Times New Roman"/>
          <w:color w:val="000000"/>
          <w:shd w:val="clear" w:color="auto" w:fill="FFFFFF"/>
        </w:rPr>
        <w:t>s the cost of production increas</w:t>
      </w:r>
      <w:r w:rsidR="00D74068">
        <w:rPr>
          <w:rFonts w:ascii="Times New Roman" w:eastAsiaTheme="minorEastAsia" w:hAnsi="Times New Roman" w:cs="Times New Roman"/>
          <w:color w:val="000000"/>
          <w:shd w:val="clear" w:color="auto" w:fill="FFFFFF"/>
        </w:rPr>
        <w:t>es</w:t>
      </w:r>
      <w:r w:rsidRPr="00976843">
        <w:rPr>
          <w:rFonts w:ascii="Times New Roman" w:eastAsiaTheme="minorEastAsia" w:hAnsi="Times New Roman" w:cs="Times New Roman"/>
          <w:color w:val="000000"/>
          <w:shd w:val="clear" w:color="auto" w:fill="FFFFFF"/>
        </w:rPr>
        <w:t xml:space="preserve"> </w:t>
      </w:r>
      <w:r w:rsidR="00D74068">
        <w:rPr>
          <w:rFonts w:ascii="Times New Roman" w:eastAsiaTheme="minorEastAsia" w:hAnsi="Times New Roman" w:cs="Times New Roman"/>
          <w:color w:val="000000"/>
          <w:shd w:val="clear" w:color="auto" w:fill="FFFFFF"/>
        </w:rPr>
        <w:t>(thus</w:t>
      </w:r>
      <w:r w:rsidRPr="00976843">
        <w:rPr>
          <w:rFonts w:ascii="Times New Roman" w:eastAsiaTheme="minorEastAsia" w:hAnsi="Times New Roman" w:cs="Times New Roman"/>
          <w:color w:val="000000"/>
          <w:shd w:val="clear" w:color="auto" w:fill="FFFFFF"/>
        </w:rPr>
        <w:t xml:space="preserve"> less is produced</w:t>
      </w:r>
      <w:r w:rsidR="00D74068">
        <w:rPr>
          <w:rFonts w:ascii="Times New Roman" w:eastAsiaTheme="minorEastAsia" w:hAnsi="Times New Roman" w:cs="Times New Roman"/>
          <w:color w:val="000000"/>
          <w:shd w:val="clear" w:color="auto" w:fill="FFFFFF"/>
        </w:rPr>
        <w:t>)</w:t>
      </w:r>
      <w:r w:rsidRPr="00976843">
        <w:rPr>
          <w:rFonts w:ascii="Times New Roman" w:eastAsiaTheme="minorEastAsia" w:hAnsi="Times New Roman" w:cs="Times New Roman"/>
          <w:color w:val="000000"/>
          <w:shd w:val="clear" w:color="auto" w:fill="FFFFFF"/>
        </w:rPr>
        <w:t xml:space="preserve">, the demand for labor will fall. </w:t>
      </w:r>
      <w:r>
        <w:rPr>
          <w:rFonts w:ascii="Times New Roman" w:eastAsiaTheme="minorEastAsia" w:hAnsi="Times New Roman" w:cs="Times New Roman"/>
          <w:color w:val="000000"/>
          <w:shd w:val="clear" w:color="auto" w:fill="FFFFFF"/>
        </w:rPr>
        <w:t>Also</w:t>
      </w:r>
      <w:r w:rsidRPr="00976843">
        <w:rPr>
          <w:rFonts w:ascii="Times New Roman" w:eastAsiaTheme="minorEastAsia" w:hAnsi="Times New Roman" w:cs="Times New Roman"/>
          <w:color w:val="000000"/>
          <w:shd w:val="clear" w:color="auto" w:fill="FFFFFF"/>
        </w:rPr>
        <w:t xml:space="preserve"> </w:t>
      </w:r>
      <w:r>
        <w:rPr>
          <w:rFonts w:ascii="Times New Roman" w:eastAsiaTheme="minorEastAsia" w:hAnsi="Times New Roman" w:cs="Times New Roman"/>
          <w:color w:val="000000"/>
          <w:shd w:val="clear" w:color="auto" w:fill="FFFFFF"/>
        </w:rPr>
        <w:t xml:space="preserve">when </w:t>
      </w:r>
      <w:r w:rsidRPr="00976843">
        <w:rPr>
          <w:rFonts w:ascii="Times New Roman" w:eastAsiaTheme="minorEastAsia" w:hAnsi="Times New Roman" w:cs="Times New Roman"/>
          <w:color w:val="000000"/>
          <w:shd w:val="clear" w:color="auto" w:fill="FFFFFF"/>
        </w:rPr>
        <w:t xml:space="preserve">the wage for labor in industry </w:t>
      </w:r>
      <w:proofErr w:type="spellStart"/>
      <w:r w:rsidRPr="00976843">
        <w:rPr>
          <w:rFonts w:ascii="Times New Roman" w:hAnsi="Times New Roman" w:cs="Times New Roman"/>
          <w:i/>
          <w:color w:val="000000"/>
          <w:shd w:val="clear" w:color="auto" w:fill="FFFFFF"/>
        </w:rPr>
        <w:t>i</w:t>
      </w:r>
      <w:proofErr w:type="spellEnd"/>
      <w:r w:rsidRPr="00976843">
        <w:rPr>
          <w:rFonts w:ascii="Times New Roman" w:eastAsiaTheme="minorEastAsia" w:hAnsi="Times New Roman" w:cs="Times New Roman"/>
          <w:color w:val="000000"/>
          <w:shd w:val="clear" w:color="auto" w:fill="FFFFFF"/>
        </w:rPr>
        <w:t xml:space="preserve"> increases, demand for labor decreases as the price of capital is now relatively cheaper, and it pays to substitute capital for labor until the share of income going to labor, capital and fuel are equal to </w:t>
      </w:r>
      <w:r w:rsidRPr="00976843">
        <w:rPr>
          <w:rFonts w:ascii="Times New Roman" w:eastAsiaTheme="minorEastAsia" w:hAnsi="Times New Roman" w:cs="Times New Roman"/>
        </w:rPr>
        <w:t>α, β and γ</w:t>
      </w:r>
      <w:r w:rsidRPr="00976843">
        <w:rPr>
          <w:rFonts w:ascii="Times New Roman" w:eastAsiaTheme="minorEastAsia" w:hAnsi="Times New Roman" w:cs="Times New Roman"/>
          <w:color w:val="000000"/>
          <w:shd w:val="clear" w:color="auto" w:fill="FFFFFF"/>
        </w:rPr>
        <w:t xml:space="preserve"> respectively. Our CGE model generate</w:t>
      </w:r>
      <w:r w:rsidR="00D74068">
        <w:rPr>
          <w:rFonts w:ascii="Times New Roman" w:eastAsiaTheme="minorEastAsia" w:hAnsi="Times New Roman" w:cs="Times New Roman"/>
          <w:color w:val="000000"/>
          <w:shd w:val="clear" w:color="auto" w:fill="FFFFFF"/>
        </w:rPr>
        <w:t>s</w:t>
      </w:r>
      <w:r w:rsidRPr="00976843">
        <w:rPr>
          <w:rFonts w:ascii="Times New Roman" w:eastAsiaTheme="minorEastAsia" w:hAnsi="Times New Roman" w:cs="Times New Roman"/>
          <w:color w:val="000000"/>
          <w:shd w:val="clear" w:color="auto" w:fill="FFFFFF"/>
        </w:rPr>
        <w:t xml:space="preserve"> long run </w:t>
      </w:r>
      <w:proofErr w:type="spellStart"/>
      <w:r w:rsidRPr="00976843">
        <w:rPr>
          <w:rFonts w:ascii="Times New Roman" w:eastAsiaTheme="minorEastAsia" w:hAnsi="Times New Roman" w:cs="Times New Roman"/>
          <w:color w:val="000000"/>
          <w:shd w:val="clear" w:color="auto" w:fill="FFFFFF"/>
        </w:rPr>
        <w:t>elasticities</w:t>
      </w:r>
      <w:proofErr w:type="spellEnd"/>
      <w:r>
        <w:rPr>
          <w:rFonts w:ascii="Times New Roman" w:eastAsiaTheme="minorEastAsia" w:hAnsi="Times New Roman" w:cs="Times New Roman"/>
          <w:color w:val="000000"/>
          <w:shd w:val="clear" w:color="auto" w:fill="FFFFFF"/>
        </w:rPr>
        <w:t xml:space="preserve"> that reflect the product demand elasticity and capital labor substitution. </w:t>
      </w:r>
    </w:p>
    <w:p w14:paraId="6564B256" w14:textId="0A79FD99" w:rsidR="005D660E" w:rsidRPr="00BD322C" w:rsidRDefault="005D660E" w:rsidP="00BD322C">
      <w:pPr>
        <w:rPr>
          <w:rFonts w:ascii="Times New Roman" w:eastAsiaTheme="minorEastAsia" w:hAnsi="Times New Roman" w:cs="Times New Roman"/>
          <w:color w:val="000000"/>
          <w:shd w:val="clear" w:color="auto" w:fill="FFFFFF"/>
        </w:rPr>
      </w:pPr>
      <w:r>
        <w:rPr>
          <w:rFonts w:ascii="Times New Roman" w:eastAsiaTheme="minorEastAsia" w:hAnsi="Times New Roman" w:cs="Times New Roman"/>
          <w:color w:val="000000"/>
          <w:shd w:val="clear" w:color="auto" w:fill="FFFFFF"/>
        </w:rPr>
        <w:t xml:space="preserve">The long run elasticity is given </w:t>
      </w:r>
      <w:proofErr w:type="gramStart"/>
      <w:r>
        <w:rPr>
          <w:rFonts w:ascii="Times New Roman" w:eastAsiaTheme="minorEastAsia" w:hAnsi="Times New Roman" w:cs="Times New Roman"/>
          <w:color w:val="000000"/>
          <w:shd w:val="clear" w:color="auto" w:fill="FFFFFF"/>
        </w:rPr>
        <w:t>by</w:t>
      </w:r>
      <w:r w:rsidRPr="00976843">
        <w:rPr>
          <w:rFonts w:ascii="Times New Roman" w:eastAsiaTheme="minorEastAsia" w:hAnsi="Times New Roman" w:cs="Times New Roman"/>
          <w:color w:val="000000"/>
          <w:shd w:val="clear" w:color="auto" w:fill="FFFFFF"/>
        </w:rPr>
        <w:t xml:space="preserve"> </w:t>
      </w:r>
      <w:proofErr w:type="gramEnd"/>
      <m:oMath>
        <m:r>
          <w:rPr>
            <w:rFonts w:ascii="Cambria Math" w:eastAsiaTheme="minorEastAsia" w:hAnsi="Cambria Math" w:cs="Times New Roman"/>
            <w:color w:val="000000"/>
            <w:shd w:val="clear" w:color="auto" w:fill="FFFFFF"/>
          </w:rPr>
          <m:t>n+</m:t>
        </m:r>
        <m:d>
          <m:dPr>
            <m:ctrlPr>
              <w:rPr>
                <w:rFonts w:ascii="Cambria Math" w:eastAsiaTheme="minorEastAsia" w:hAnsi="Cambria Math" w:cs="Times New Roman"/>
                <w:i/>
                <w:color w:val="000000"/>
                <w:shd w:val="clear" w:color="auto" w:fill="FFFFFF"/>
              </w:rPr>
            </m:ctrlPr>
          </m:dPr>
          <m:e>
            <m:r>
              <w:rPr>
                <w:rFonts w:ascii="Cambria Math" w:eastAsiaTheme="minorEastAsia" w:hAnsi="Cambria Math" w:cs="Times New Roman"/>
                <w:color w:val="000000"/>
                <w:shd w:val="clear" w:color="auto" w:fill="FFFFFF"/>
              </w:rPr>
              <m:t>1-</m:t>
            </m:r>
            <m:sSub>
              <m:sSubPr>
                <m:ctrlPr>
                  <w:rPr>
                    <w:rFonts w:ascii="Cambria Math" w:eastAsiaTheme="minorEastAsia" w:hAnsi="Cambria Math" w:cs="Times New Roman"/>
                    <w:i/>
                    <w:color w:val="000000"/>
                    <w:shd w:val="clear" w:color="auto" w:fill="FFFFFF"/>
                  </w:rPr>
                </m:ctrlPr>
              </m:sSubPr>
              <m:e>
                <m:r>
                  <w:rPr>
                    <w:rFonts w:ascii="Cambria Math" w:eastAsiaTheme="minorEastAsia" w:hAnsi="Cambria Math" w:cs="Times New Roman"/>
                    <w:color w:val="000000"/>
                    <w:shd w:val="clear" w:color="auto" w:fill="FFFFFF"/>
                  </w:rPr>
                  <m:t>α</m:t>
                </m:r>
              </m:e>
              <m:sub>
                <m:r>
                  <w:rPr>
                    <w:rFonts w:ascii="Cambria Math" w:eastAsiaTheme="minorEastAsia" w:hAnsi="Cambria Math" w:cs="Times New Roman"/>
                    <w:color w:val="000000"/>
                    <w:shd w:val="clear" w:color="auto" w:fill="FFFFFF"/>
                  </w:rPr>
                  <m:t>i</m:t>
                </m:r>
              </m:sub>
            </m:sSub>
          </m:e>
        </m:d>
        <m:r>
          <w:rPr>
            <w:rFonts w:ascii="Cambria Math" w:eastAsiaTheme="minorEastAsia" w:hAnsi="Cambria Math" w:cs="Times New Roman"/>
            <w:color w:val="000000"/>
            <w:shd w:val="clear" w:color="auto" w:fill="FFFFFF"/>
          </w:rPr>
          <m:t>r</m:t>
        </m:r>
      </m:oMath>
      <w:r>
        <w:rPr>
          <w:rFonts w:ascii="Times New Roman" w:eastAsiaTheme="minorEastAsia" w:hAnsi="Times New Roman" w:cs="Times New Roman"/>
          <w:color w:val="000000"/>
          <w:shd w:val="clear" w:color="auto" w:fill="FFFFFF"/>
        </w:rPr>
        <w:t xml:space="preserve">, where </w:t>
      </w:r>
      <m:oMath>
        <m:r>
          <w:rPr>
            <w:rFonts w:ascii="Cambria Math" w:eastAsiaTheme="minorEastAsia" w:hAnsi="Cambria Math" w:cs="Times New Roman"/>
            <w:color w:val="000000"/>
            <w:shd w:val="clear" w:color="auto" w:fill="FFFFFF"/>
          </w:rPr>
          <m:t>n</m:t>
        </m:r>
      </m:oMath>
      <w:r>
        <w:rPr>
          <w:rFonts w:ascii="Times New Roman" w:eastAsiaTheme="minorEastAsia" w:hAnsi="Times New Roman" w:cs="Times New Roman"/>
          <w:color w:val="000000"/>
          <w:shd w:val="clear" w:color="auto" w:fill="FFFFFF"/>
        </w:rPr>
        <w:t xml:space="preserve"> is the product demand elasticity and </w:t>
      </w:r>
      <m:oMath>
        <m:r>
          <w:rPr>
            <w:rFonts w:ascii="Cambria Math" w:eastAsiaTheme="minorEastAsia" w:hAnsi="Cambria Math" w:cs="Times New Roman"/>
            <w:color w:val="000000"/>
            <w:shd w:val="clear" w:color="auto" w:fill="FFFFFF"/>
          </w:rPr>
          <m:t>r</m:t>
        </m:r>
      </m:oMath>
      <w:r>
        <w:rPr>
          <w:rFonts w:ascii="Times New Roman" w:eastAsiaTheme="minorEastAsia" w:hAnsi="Times New Roman" w:cs="Times New Roman"/>
          <w:color w:val="000000"/>
          <w:shd w:val="clear" w:color="auto" w:fill="FFFFFF"/>
        </w:rPr>
        <w:t xml:space="preserve"> is capital labor substitution elasticity, which is 1 for Cobb-Douglas production function (</w:t>
      </w:r>
      <w:proofErr w:type="spellStart"/>
      <w:r>
        <w:rPr>
          <w:rFonts w:ascii="Times New Roman" w:eastAsiaTheme="minorEastAsia" w:hAnsi="Times New Roman" w:cs="Times New Roman"/>
          <w:color w:val="000000"/>
          <w:shd w:val="clear" w:color="auto" w:fill="FFFFFF"/>
        </w:rPr>
        <w:t>Benewitz</w:t>
      </w:r>
      <w:proofErr w:type="spellEnd"/>
      <w:r>
        <w:rPr>
          <w:rFonts w:ascii="Times New Roman" w:eastAsiaTheme="minorEastAsia" w:hAnsi="Times New Roman" w:cs="Times New Roman"/>
          <w:color w:val="000000"/>
          <w:shd w:val="clear" w:color="auto" w:fill="FFFFFF"/>
        </w:rPr>
        <w:t xml:space="preserve"> and Weintraub, 1964). Note that labor demand </w:t>
      </w:r>
      <w:proofErr w:type="spellStart"/>
      <w:r>
        <w:rPr>
          <w:rFonts w:ascii="Times New Roman" w:eastAsiaTheme="minorEastAsia" w:hAnsi="Times New Roman" w:cs="Times New Roman"/>
          <w:color w:val="000000"/>
          <w:shd w:val="clear" w:color="auto" w:fill="FFFFFF"/>
        </w:rPr>
        <w:t>elasticities</w:t>
      </w:r>
      <w:proofErr w:type="spellEnd"/>
      <w:r>
        <w:rPr>
          <w:rFonts w:ascii="Times New Roman" w:eastAsiaTheme="minorEastAsia" w:hAnsi="Times New Roman" w:cs="Times New Roman"/>
          <w:color w:val="000000"/>
          <w:shd w:val="clear" w:color="auto" w:fill="FFFFFF"/>
        </w:rPr>
        <w:t xml:space="preserve"> for each industry generated by our CGE model not only reflect labor wage relationship for each industry, but also reflect the wage increase in other industries. For example, rising wage in industry </w:t>
      </w:r>
      <w:proofErr w:type="spellStart"/>
      <w:r>
        <w:rPr>
          <w:rFonts w:ascii="Times New Roman" w:hAnsi="Times New Roman" w:cs="Times New Roman"/>
          <w:i/>
          <w:color w:val="000000"/>
          <w:shd w:val="clear" w:color="auto" w:fill="FFFFFF"/>
        </w:rPr>
        <w:t>i</w:t>
      </w:r>
      <w:proofErr w:type="spellEnd"/>
      <w:r>
        <w:rPr>
          <w:rFonts w:ascii="Times New Roman" w:hAnsi="Times New Roman" w:cs="Times New Roman"/>
          <w:i/>
          <w:color w:val="000000"/>
          <w:shd w:val="clear" w:color="auto" w:fill="FFFFFF"/>
        </w:rPr>
        <w:t xml:space="preserve"> </w:t>
      </w:r>
      <w:r>
        <w:rPr>
          <w:rFonts w:ascii="Times New Roman" w:hAnsi="Times New Roman" w:cs="Times New Roman"/>
          <w:color w:val="000000"/>
          <w:shd w:val="clear" w:color="auto" w:fill="FFFFFF"/>
        </w:rPr>
        <w:t xml:space="preserve">will impact product price and product demand for industry </w:t>
      </w:r>
      <w:proofErr w:type="spellStart"/>
      <w:r>
        <w:rPr>
          <w:rFonts w:ascii="Times New Roman" w:hAnsi="Times New Roman" w:cs="Times New Roman"/>
          <w:i/>
          <w:color w:val="000000"/>
          <w:shd w:val="clear" w:color="auto" w:fill="FFFFFF"/>
        </w:rPr>
        <w:t>i</w:t>
      </w:r>
      <w:proofErr w:type="spellEnd"/>
      <w:r>
        <w:rPr>
          <w:rFonts w:ascii="Times New Roman" w:hAnsi="Times New Roman" w:cs="Times New Roman"/>
          <w:color w:val="000000"/>
          <w:shd w:val="clear" w:color="auto" w:fill="FFFFFF"/>
        </w:rPr>
        <w:t>, and through input-output relationships, may impact product demand for all other industries, hence may impact labor demand by these industries.  The following table shows the short run labor demand elasticity</w:t>
      </w:r>
      <w:r w:rsidR="00037B0B">
        <w:rPr>
          <w:rFonts w:ascii="Times New Roman" w:hAnsi="Times New Roman" w:cs="Times New Roman"/>
          <w:color w:val="000000"/>
          <w:shd w:val="clear" w:color="auto" w:fill="FFFFFF"/>
        </w:rPr>
        <w:t xml:space="preserve"> </w:t>
      </w:r>
      <w:r w:rsidR="00037B0B" w:rsidRPr="00976843">
        <w:rPr>
          <w:rFonts w:ascii="Times New Roman" w:eastAsiaTheme="minorEastAsia" w:hAnsi="Times New Roman" w:cs="Times New Roman"/>
        </w:rPr>
        <w:t>assuming constant product price</w:t>
      </w:r>
      <w:r w:rsidR="00037B0B">
        <w:rPr>
          <w:rFonts w:ascii="Times New Roman" w:eastAsiaTheme="minorEastAsia" w:hAnsi="Times New Roman" w:cs="Times New Roman"/>
        </w:rPr>
        <w:t>,</w:t>
      </w:r>
      <w:r w:rsidR="00037B0B" w:rsidRPr="00976843">
        <w:rPr>
          <w:rFonts w:ascii="Times New Roman" w:eastAsiaTheme="minorEastAsia" w:hAnsi="Times New Roman" w:cs="Times New Roman"/>
        </w:rPr>
        <w:t xml:space="preserve"> fixed level of capital</w:t>
      </w:r>
      <w:r>
        <w:rPr>
          <w:rFonts w:ascii="Times New Roman" w:hAnsi="Times New Roman" w:cs="Times New Roman"/>
          <w:color w:val="000000"/>
          <w:shd w:val="clear" w:color="auto" w:fill="FFFFFF"/>
        </w:rPr>
        <w:t xml:space="preserve"> </w:t>
      </w:r>
      <w:r w:rsidR="00037B0B">
        <w:rPr>
          <w:rFonts w:ascii="Times New Roman" w:hAnsi="Times New Roman" w:cs="Times New Roman"/>
          <w:color w:val="000000"/>
          <w:shd w:val="clear" w:color="auto" w:fill="FFFFFF"/>
        </w:rPr>
        <w:t>and no change in capital, labor nor technological productivity for select industries in the District of Columbia. However, in the drive towards a new regional economic general equilibrium, the model allows for price adjustments, capital labor substitutions, labor force migration changes, and technological changes.  And these binding dynamics produce a labor demand elasticity in 2021 vis-à-vis the respective employment and wage changes also in 2021.</w:t>
      </w:r>
      <w:r w:rsidRPr="00976843">
        <w:rPr>
          <w:rFonts w:ascii="Times New Roman" w:hAnsi="Times New Roman" w:cs="Times New Roman"/>
        </w:rPr>
        <w:br w:type="page"/>
      </w:r>
    </w:p>
    <w:p w14:paraId="013CEAA1" w14:textId="3FEA35AE" w:rsidR="00037B0B" w:rsidRPr="00286D07" w:rsidRDefault="00286D07" w:rsidP="00286D07">
      <w:pPr>
        <w:pStyle w:val="Default"/>
        <w:rPr>
          <w:rFonts w:ascii="Times New Roman" w:hAnsi="Times New Roman" w:cs="Times New Roman"/>
          <w:b/>
          <w:sz w:val="22"/>
          <w:szCs w:val="22"/>
        </w:rPr>
      </w:pPr>
      <w:r w:rsidRPr="00286D07">
        <w:rPr>
          <w:rFonts w:ascii="Times New Roman" w:hAnsi="Times New Roman" w:cs="Times New Roman"/>
          <w:b/>
          <w:sz w:val="22"/>
          <w:szCs w:val="22"/>
        </w:rPr>
        <w:lastRenderedPageBreak/>
        <w:t xml:space="preserve">Appendix </w:t>
      </w:r>
      <w:r w:rsidR="00037B0B" w:rsidRPr="00286D07">
        <w:rPr>
          <w:rFonts w:ascii="Times New Roman" w:hAnsi="Times New Roman" w:cs="Times New Roman"/>
          <w:b/>
          <w:sz w:val="22"/>
          <w:szCs w:val="22"/>
        </w:rPr>
        <w:t>Table 1</w:t>
      </w:r>
      <w:r w:rsidR="00D74068" w:rsidRPr="00286D07">
        <w:rPr>
          <w:rFonts w:ascii="Times New Roman" w:hAnsi="Times New Roman" w:cs="Times New Roman"/>
          <w:b/>
          <w:sz w:val="22"/>
          <w:szCs w:val="22"/>
        </w:rPr>
        <w:t>.</w:t>
      </w:r>
      <w:r w:rsidR="009A1A33">
        <w:rPr>
          <w:rFonts w:ascii="Times New Roman" w:hAnsi="Times New Roman" w:cs="Times New Roman"/>
          <w:b/>
          <w:sz w:val="22"/>
          <w:szCs w:val="22"/>
        </w:rPr>
        <w:t xml:space="preserve"> Short and Long-Run Labor Demand </w:t>
      </w:r>
      <w:proofErr w:type="spellStart"/>
      <w:r w:rsidR="009A1A33">
        <w:rPr>
          <w:rFonts w:ascii="Times New Roman" w:hAnsi="Times New Roman" w:cs="Times New Roman"/>
          <w:b/>
          <w:sz w:val="22"/>
          <w:szCs w:val="22"/>
        </w:rPr>
        <w:t>Elasticities</w:t>
      </w:r>
      <w:proofErr w:type="spellEnd"/>
      <w:r w:rsidR="009A1A33">
        <w:rPr>
          <w:rFonts w:ascii="Times New Roman" w:hAnsi="Times New Roman" w:cs="Times New Roman"/>
          <w:b/>
          <w:sz w:val="22"/>
          <w:szCs w:val="22"/>
        </w:rPr>
        <w:t xml:space="preserve"> and Employment Impacts</w:t>
      </w:r>
    </w:p>
    <w:tbl>
      <w:tblPr>
        <w:tblW w:w="5000" w:type="pct"/>
        <w:tblLook w:val="04A0" w:firstRow="1" w:lastRow="0" w:firstColumn="1" w:lastColumn="0" w:noHBand="0" w:noVBand="1"/>
      </w:tblPr>
      <w:tblGrid>
        <w:gridCol w:w="3464"/>
        <w:gridCol w:w="1939"/>
        <w:gridCol w:w="1357"/>
        <w:gridCol w:w="1840"/>
        <w:gridCol w:w="750"/>
      </w:tblGrid>
      <w:tr w:rsidR="005D660E" w:rsidRPr="009A1A33" w14:paraId="627E8939" w14:textId="77777777" w:rsidTr="009A1A33">
        <w:trPr>
          <w:trHeight w:val="728"/>
        </w:trPr>
        <w:tc>
          <w:tcPr>
            <w:tcW w:w="20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4BB57" w14:textId="77777777" w:rsidR="00037B0B" w:rsidRPr="009A1A33" w:rsidRDefault="00037B0B" w:rsidP="005D660E">
            <w:pPr>
              <w:spacing w:after="0"/>
              <w:jc w:val="center"/>
              <w:rPr>
                <w:rFonts w:ascii="Times New Roman" w:hAnsi="Times New Roman" w:cs="Times New Roman"/>
                <w:color w:val="000000"/>
                <w:sz w:val="20"/>
                <w:szCs w:val="20"/>
              </w:rPr>
            </w:pPr>
          </w:p>
          <w:p w14:paraId="631A7278" w14:textId="25E2CD7D" w:rsidR="005D660E" w:rsidRPr="009A1A33" w:rsidRDefault="00037B0B" w:rsidP="005D660E">
            <w:pPr>
              <w:spacing w:after="0"/>
              <w:jc w:val="center"/>
              <w:rPr>
                <w:rFonts w:ascii="Times New Roman" w:hAnsi="Times New Roman" w:cs="Times New Roman"/>
                <w:color w:val="000000"/>
                <w:sz w:val="20"/>
                <w:szCs w:val="20"/>
              </w:rPr>
            </w:pPr>
            <w:r w:rsidRPr="009A1A33">
              <w:rPr>
                <w:rFonts w:ascii="Times New Roman" w:hAnsi="Times New Roman" w:cs="Times New Roman"/>
                <w:color w:val="000000"/>
                <w:sz w:val="20"/>
                <w:szCs w:val="20"/>
              </w:rPr>
              <w:t>I</w:t>
            </w:r>
            <w:r w:rsidR="005D660E" w:rsidRPr="009A1A33">
              <w:rPr>
                <w:rFonts w:ascii="Times New Roman" w:hAnsi="Times New Roman" w:cs="Times New Roman"/>
                <w:color w:val="000000"/>
                <w:sz w:val="20"/>
                <w:szCs w:val="20"/>
              </w:rPr>
              <w:t>ndustry</w:t>
            </w:r>
          </w:p>
        </w:tc>
        <w:tc>
          <w:tcPr>
            <w:tcW w:w="955" w:type="pct"/>
            <w:tcBorders>
              <w:top w:val="single" w:sz="4" w:space="0" w:color="auto"/>
              <w:left w:val="nil"/>
              <w:bottom w:val="single" w:sz="4" w:space="0" w:color="auto"/>
              <w:right w:val="single" w:sz="4" w:space="0" w:color="auto"/>
            </w:tcBorders>
            <w:shd w:val="clear" w:color="auto" w:fill="auto"/>
            <w:noWrap/>
            <w:vAlign w:val="bottom"/>
            <w:hideMark/>
          </w:tcPr>
          <w:p w14:paraId="08A64EA6" w14:textId="77777777" w:rsidR="005D660E" w:rsidRPr="009A1A33" w:rsidRDefault="005D660E" w:rsidP="005D660E">
            <w:pPr>
              <w:spacing w:after="0"/>
              <w:rPr>
                <w:rFonts w:ascii="Times New Roman" w:hAnsi="Times New Roman" w:cs="Times New Roman"/>
                <w:color w:val="000000"/>
                <w:sz w:val="20"/>
                <w:szCs w:val="20"/>
              </w:rPr>
            </w:pPr>
            <w:r w:rsidRPr="009A1A33">
              <w:rPr>
                <w:rFonts w:ascii="Times New Roman" w:hAnsi="Times New Roman" w:cs="Times New Roman"/>
                <w:color w:val="000000"/>
                <w:sz w:val="20"/>
                <w:szCs w:val="20"/>
              </w:rPr>
              <w:t>Labor Demand Elasticity (Short Run)</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6F23DCBE" w14:textId="77777777" w:rsidR="005D660E" w:rsidRPr="009A1A33" w:rsidRDefault="005D660E" w:rsidP="005D660E">
            <w:pPr>
              <w:spacing w:after="0"/>
              <w:rPr>
                <w:rFonts w:ascii="Times New Roman" w:hAnsi="Times New Roman" w:cs="Times New Roman"/>
                <w:color w:val="000000"/>
                <w:sz w:val="20"/>
                <w:szCs w:val="20"/>
              </w:rPr>
            </w:pPr>
            <w:r w:rsidRPr="009A1A33">
              <w:rPr>
                <w:rFonts w:ascii="Times New Roman" w:hAnsi="Times New Roman" w:cs="Times New Roman"/>
                <w:color w:val="000000"/>
                <w:sz w:val="20"/>
                <w:szCs w:val="20"/>
              </w:rPr>
              <w:t xml:space="preserve">Labor Demand </w:t>
            </w:r>
            <w:r w:rsidRPr="009A1A33">
              <w:rPr>
                <w:rFonts w:ascii="Times New Roman" w:hAnsi="Times New Roman" w:cs="Times New Roman"/>
                <w:color w:val="000000"/>
                <w:sz w:val="20"/>
                <w:szCs w:val="20"/>
              </w:rPr>
              <w:br/>
              <w:t>Elasticity in 2021 (CGE)</w:t>
            </w:r>
          </w:p>
        </w:tc>
        <w:tc>
          <w:tcPr>
            <w:tcW w:w="906" w:type="pct"/>
            <w:tcBorders>
              <w:top w:val="single" w:sz="4" w:space="0" w:color="auto"/>
              <w:left w:val="nil"/>
              <w:bottom w:val="single" w:sz="4" w:space="0" w:color="auto"/>
              <w:right w:val="single" w:sz="4" w:space="0" w:color="auto"/>
            </w:tcBorders>
            <w:shd w:val="clear" w:color="auto" w:fill="auto"/>
            <w:noWrap/>
            <w:vAlign w:val="bottom"/>
            <w:hideMark/>
          </w:tcPr>
          <w:p w14:paraId="4DD845D5" w14:textId="77777777" w:rsidR="005D660E" w:rsidRPr="009A1A33" w:rsidRDefault="005D660E" w:rsidP="005D660E">
            <w:pPr>
              <w:spacing w:after="0"/>
              <w:rPr>
                <w:rFonts w:ascii="Times New Roman" w:hAnsi="Times New Roman" w:cs="Times New Roman"/>
                <w:color w:val="000000"/>
                <w:sz w:val="20"/>
                <w:szCs w:val="20"/>
              </w:rPr>
            </w:pPr>
            <w:r w:rsidRPr="009A1A33">
              <w:rPr>
                <w:rFonts w:ascii="Times New Roman" w:hAnsi="Times New Roman" w:cs="Times New Roman"/>
                <w:color w:val="000000"/>
                <w:sz w:val="20"/>
                <w:szCs w:val="20"/>
              </w:rPr>
              <w:t>Employment change in 2021(CGE)</w:t>
            </w:r>
          </w:p>
        </w:tc>
        <w:tc>
          <w:tcPr>
            <w:tcW w:w="375" w:type="pct"/>
            <w:tcBorders>
              <w:top w:val="single" w:sz="4" w:space="0" w:color="auto"/>
              <w:left w:val="nil"/>
              <w:bottom w:val="single" w:sz="4" w:space="0" w:color="auto"/>
              <w:right w:val="single" w:sz="4" w:space="0" w:color="auto"/>
            </w:tcBorders>
            <w:vAlign w:val="bottom"/>
          </w:tcPr>
          <w:p w14:paraId="7CFBC9ED" w14:textId="77777777" w:rsidR="005D660E" w:rsidRPr="009A1A33" w:rsidRDefault="005D660E" w:rsidP="005D660E">
            <w:pPr>
              <w:spacing w:after="0"/>
              <w:rPr>
                <w:rFonts w:ascii="Times New Roman" w:hAnsi="Times New Roman" w:cs="Times New Roman"/>
                <w:color w:val="000000"/>
                <w:sz w:val="20"/>
                <w:szCs w:val="20"/>
              </w:rPr>
            </w:pPr>
            <w:r w:rsidRPr="009A1A33">
              <w:rPr>
                <w:rFonts w:ascii="Times New Roman" w:hAnsi="Times New Roman" w:cs="Times New Roman"/>
                <w:color w:val="000000"/>
                <w:sz w:val="20"/>
                <w:szCs w:val="20"/>
              </w:rPr>
              <w:t>Wage Change in 2021(CGE)</w:t>
            </w:r>
          </w:p>
        </w:tc>
      </w:tr>
      <w:tr w:rsidR="005D660E" w:rsidRPr="009A1A33" w14:paraId="6075C67F" w14:textId="77777777" w:rsidTr="009A1A33">
        <w:trPr>
          <w:trHeight w:val="300"/>
        </w:trPr>
        <w:tc>
          <w:tcPr>
            <w:tcW w:w="2093" w:type="pct"/>
            <w:tcBorders>
              <w:top w:val="nil"/>
              <w:left w:val="single" w:sz="4" w:space="0" w:color="auto"/>
              <w:bottom w:val="single" w:sz="4" w:space="0" w:color="auto"/>
              <w:right w:val="single" w:sz="4" w:space="0" w:color="auto"/>
            </w:tcBorders>
            <w:shd w:val="clear" w:color="auto" w:fill="auto"/>
            <w:noWrap/>
            <w:vAlign w:val="center"/>
            <w:hideMark/>
          </w:tcPr>
          <w:p w14:paraId="2B6340ED"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22  -  Utilities</w:t>
            </w:r>
          </w:p>
        </w:tc>
        <w:tc>
          <w:tcPr>
            <w:tcW w:w="955" w:type="pct"/>
            <w:tcBorders>
              <w:top w:val="nil"/>
              <w:left w:val="nil"/>
              <w:bottom w:val="single" w:sz="4" w:space="0" w:color="auto"/>
              <w:right w:val="single" w:sz="4" w:space="0" w:color="auto"/>
            </w:tcBorders>
            <w:shd w:val="clear" w:color="auto" w:fill="auto"/>
            <w:noWrap/>
            <w:vAlign w:val="center"/>
            <w:hideMark/>
          </w:tcPr>
          <w:p w14:paraId="19BE892F"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-1.38</w:t>
            </w:r>
          </w:p>
        </w:tc>
        <w:tc>
          <w:tcPr>
            <w:tcW w:w="671" w:type="pct"/>
            <w:tcBorders>
              <w:top w:val="nil"/>
              <w:left w:val="nil"/>
              <w:bottom w:val="single" w:sz="4" w:space="0" w:color="auto"/>
              <w:right w:val="single" w:sz="4" w:space="0" w:color="auto"/>
            </w:tcBorders>
            <w:shd w:val="clear" w:color="auto" w:fill="auto"/>
            <w:noWrap/>
            <w:vAlign w:val="center"/>
            <w:hideMark/>
          </w:tcPr>
          <w:p w14:paraId="3DA195AF"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-0.80</w:t>
            </w:r>
          </w:p>
        </w:tc>
        <w:tc>
          <w:tcPr>
            <w:tcW w:w="906" w:type="pct"/>
            <w:tcBorders>
              <w:top w:val="nil"/>
              <w:left w:val="nil"/>
              <w:bottom w:val="single" w:sz="4" w:space="0" w:color="auto"/>
              <w:right w:val="single" w:sz="4" w:space="0" w:color="auto"/>
            </w:tcBorders>
            <w:shd w:val="clear" w:color="auto" w:fill="auto"/>
            <w:noWrap/>
            <w:vAlign w:val="center"/>
            <w:hideMark/>
          </w:tcPr>
          <w:p w14:paraId="7AF82A98"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-0.1%</w:t>
            </w:r>
          </w:p>
        </w:tc>
        <w:tc>
          <w:tcPr>
            <w:tcW w:w="375" w:type="pct"/>
            <w:tcBorders>
              <w:top w:val="nil"/>
              <w:left w:val="nil"/>
              <w:bottom w:val="single" w:sz="4" w:space="0" w:color="auto"/>
              <w:right w:val="single" w:sz="4" w:space="0" w:color="auto"/>
            </w:tcBorders>
            <w:vAlign w:val="center"/>
          </w:tcPr>
          <w:p w14:paraId="1D870920"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0.1%</w:t>
            </w:r>
          </w:p>
        </w:tc>
      </w:tr>
      <w:tr w:rsidR="005D660E" w:rsidRPr="009A1A33" w14:paraId="42C53399" w14:textId="77777777" w:rsidTr="009A1A33">
        <w:trPr>
          <w:trHeight w:val="300"/>
        </w:trPr>
        <w:tc>
          <w:tcPr>
            <w:tcW w:w="2093" w:type="pct"/>
            <w:tcBorders>
              <w:top w:val="nil"/>
              <w:left w:val="single" w:sz="4" w:space="0" w:color="auto"/>
              <w:bottom w:val="single" w:sz="4" w:space="0" w:color="auto"/>
              <w:right w:val="single" w:sz="4" w:space="0" w:color="auto"/>
            </w:tcBorders>
            <w:shd w:val="clear" w:color="auto" w:fill="auto"/>
            <w:noWrap/>
            <w:vAlign w:val="center"/>
            <w:hideMark/>
          </w:tcPr>
          <w:p w14:paraId="214CE6FB"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23  -  Construction</w:t>
            </w:r>
          </w:p>
        </w:tc>
        <w:tc>
          <w:tcPr>
            <w:tcW w:w="955" w:type="pct"/>
            <w:tcBorders>
              <w:top w:val="nil"/>
              <w:left w:val="nil"/>
              <w:bottom w:val="single" w:sz="4" w:space="0" w:color="auto"/>
              <w:right w:val="single" w:sz="4" w:space="0" w:color="auto"/>
            </w:tcBorders>
            <w:shd w:val="clear" w:color="auto" w:fill="auto"/>
            <w:noWrap/>
            <w:vAlign w:val="center"/>
            <w:hideMark/>
          </w:tcPr>
          <w:p w14:paraId="1E45F3CB"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-2.44</w:t>
            </w:r>
          </w:p>
        </w:tc>
        <w:tc>
          <w:tcPr>
            <w:tcW w:w="671" w:type="pct"/>
            <w:tcBorders>
              <w:top w:val="nil"/>
              <w:left w:val="nil"/>
              <w:bottom w:val="single" w:sz="4" w:space="0" w:color="auto"/>
              <w:right w:val="single" w:sz="4" w:space="0" w:color="auto"/>
            </w:tcBorders>
            <w:shd w:val="clear" w:color="auto" w:fill="auto"/>
            <w:noWrap/>
            <w:vAlign w:val="center"/>
            <w:hideMark/>
          </w:tcPr>
          <w:p w14:paraId="7CA66698"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-1.64</w:t>
            </w:r>
          </w:p>
        </w:tc>
        <w:tc>
          <w:tcPr>
            <w:tcW w:w="906" w:type="pct"/>
            <w:tcBorders>
              <w:top w:val="nil"/>
              <w:left w:val="nil"/>
              <w:bottom w:val="single" w:sz="4" w:space="0" w:color="auto"/>
              <w:right w:val="single" w:sz="4" w:space="0" w:color="auto"/>
            </w:tcBorders>
            <w:shd w:val="clear" w:color="auto" w:fill="auto"/>
            <w:noWrap/>
            <w:vAlign w:val="center"/>
            <w:hideMark/>
          </w:tcPr>
          <w:p w14:paraId="16BAC9BC"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-0.5%</w:t>
            </w:r>
          </w:p>
        </w:tc>
        <w:tc>
          <w:tcPr>
            <w:tcW w:w="375" w:type="pct"/>
            <w:tcBorders>
              <w:top w:val="nil"/>
              <w:left w:val="nil"/>
              <w:bottom w:val="single" w:sz="4" w:space="0" w:color="auto"/>
              <w:right w:val="single" w:sz="4" w:space="0" w:color="auto"/>
            </w:tcBorders>
            <w:vAlign w:val="center"/>
          </w:tcPr>
          <w:p w14:paraId="16D9F629"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0.3%</w:t>
            </w:r>
          </w:p>
        </w:tc>
      </w:tr>
      <w:tr w:rsidR="005D660E" w:rsidRPr="009A1A33" w14:paraId="169DCD46" w14:textId="77777777" w:rsidTr="009A1A33">
        <w:trPr>
          <w:trHeight w:val="300"/>
        </w:trPr>
        <w:tc>
          <w:tcPr>
            <w:tcW w:w="2093" w:type="pct"/>
            <w:tcBorders>
              <w:top w:val="nil"/>
              <w:left w:val="single" w:sz="4" w:space="0" w:color="auto"/>
              <w:bottom w:val="single" w:sz="4" w:space="0" w:color="auto"/>
              <w:right w:val="single" w:sz="4" w:space="0" w:color="auto"/>
            </w:tcBorders>
            <w:shd w:val="clear" w:color="auto" w:fill="auto"/>
            <w:noWrap/>
            <w:vAlign w:val="center"/>
            <w:hideMark/>
          </w:tcPr>
          <w:p w14:paraId="225950F9"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334  -  Computer and electronic product manufacturing</w:t>
            </w:r>
          </w:p>
        </w:tc>
        <w:tc>
          <w:tcPr>
            <w:tcW w:w="955" w:type="pct"/>
            <w:tcBorders>
              <w:top w:val="nil"/>
              <w:left w:val="nil"/>
              <w:bottom w:val="single" w:sz="4" w:space="0" w:color="auto"/>
              <w:right w:val="single" w:sz="4" w:space="0" w:color="auto"/>
            </w:tcBorders>
            <w:shd w:val="clear" w:color="auto" w:fill="auto"/>
            <w:noWrap/>
            <w:vAlign w:val="center"/>
            <w:hideMark/>
          </w:tcPr>
          <w:p w14:paraId="57841282"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-2.49</w:t>
            </w:r>
          </w:p>
        </w:tc>
        <w:tc>
          <w:tcPr>
            <w:tcW w:w="671" w:type="pct"/>
            <w:tcBorders>
              <w:top w:val="nil"/>
              <w:left w:val="nil"/>
              <w:bottom w:val="single" w:sz="4" w:space="0" w:color="auto"/>
              <w:right w:val="single" w:sz="4" w:space="0" w:color="auto"/>
            </w:tcBorders>
            <w:shd w:val="clear" w:color="auto" w:fill="auto"/>
            <w:noWrap/>
            <w:vAlign w:val="center"/>
            <w:hideMark/>
          </w:tcPr>
          <w:p w14:paraId="00C6EBF5"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-0.17</w:t>
            </w:r>
          </w:p>
        </w:tc>
        <w:tc>
          <w:tcPr>
            <w:tcW w:w="906" w:type="pct"/>
            <w:tcBorders>
              <w:top w:val="nil"/>
              <w:left w:val="nil"/>
              <w:bottom w:val="single" w:sz="4" w:space="0" w:color="auto"/>
              <w:right w:val="single" w:sz="4" w:space="0" w:color="auto"/>
            </w:tcBorders>
            <w:shd w:val="clear" w:color="auto" w:fill="auto"/>
            <w:noWrap/>
            <w:vAlign w:val="center"/>
            <w:hideMark/>
          </w:tcPr>
          <w:p w14:paraId="6A56CA9A"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0.0%</w:t>
            </w:r>
          </w:p>
        </w:tc>
        <w:tc>
          <w:tcPr>
            <w:tcW w:w="375" w:type="pct"/>
            <w:tcBorders>
              <w:top w:val="nil"/>
              <w:left w:val="nil"/>
              <w:bottom w:val="single" w:sz="4" w:space="0" w:color="auto"/>
              <w:right w:val="single" w:sz="4" w:space="0" w:color="auto"/>
            </w:tcBorders>
            <w:vAlign w:val="center"/>
          </w:tcPr>
          <w:p w14:paraId="1EA7636B"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0.1%</w:t>
            </w:r>
          </w:p>
        </w:tc>
      </w:tr>
      <w:tr w:rsidR="005D660E" w:rsidRPr="009A1A33" w14:paraId="763D7152" w14:textId="77777777" w:rsidTr="009A1A33">
        <w:trPr>
          <w:trHeight w:val="300"/>
        </w:trPr>
        <w:tc>
          <w:tcPr>
            <w:tcW w:w="2093" w:type="pct"/>
            <w:tcBorders>
              <w:top w:val="nil"/>
              <w:left w:val="single" w:sz="4" w:space="0" w:color="auto"/>
              <w:bottom w:val="single" w:sz="4" w:space="0" w:color="auto"/>
              <w:right w:val="single" w:sz="4" w:space="0" w:color="auto"/>
            </w:tcBorders>
            <w:shd w:val="clear" w:color="auto" w:fill="auto"/>
            <w:noWrap/>
            <w:vAlign w:val="center"/>
            <w:hideMark/>
          </w:tcPr>
          <w:p w14:paraId="3ED8C242"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323  -  Printing and related support activities</w:t>
            </w:r>
          </w:p>
        </w:tc>
        <w:tc>
          <w:tcPr>
            <w:tcW w:w="955" w:type="pct"/>
            <w:tcBorders>
              <w:top w:val="nil"/>
              <w:left w:val="nil"/>
              <w:bottom w:val="single" w:sz="4" w:space="0" w:color="auto"/>
              <w:right w:val="single" w:sz="4" w:space="0" w:color="auto"/>
            </w:tcBorders>
            <w:shd w:val="clear" w:color="auto" w:fill="auto"/>
            <w:noWrap/>
            <w:vAlign w:val="center"/>
            <w:hideMark/>
          </w:tcPr>
          <w:p w14:paraId="1CA130ED"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-3.06</w:t>
            </w:r>
          </w:p>
        </w:tc>
        <w:tc>
          <w:tcPr>
            <w:tcW w:w="671" w:type="pct"/>
            <w:tcBorders>
              <w:top w:val="nil"/>
              <w:left w:val="nil"/>
              <w:bottom w:val="single" w:sz="4" w:space="0" w:color="auto"/>
              <w:right w:val="single" w:sz="4" w:space="0" w:color="auto"/>
            </w:tcBorders>
            <w:shd w:val="clear" w:color="auto" w:fill="auto"/>
            <w:noWrap/>
            <w:vAlign w:val="center"/>
            <w:hideMark/>
          </w:tcPr>
          <w:p w14:paraId="6EDEAA7E"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-0.26</w:t>
            </w:r>
          </w:p>
        </w:tc>
        <w:tc>
          <w:tcPr>
            <w:tcW w:w="906" w:type="pct"/>
            <w:tcBorders>
              <w:top w:val="nil"/>
              <w:left w:val="nil"/>
              <w:bottom w:val="single" w:sz="4" w:space="0" w:color="auto"/>
              <w:right w:val="single" w:sz="4" w:space="0" w:color="auto"/>
            </w:tcBorders>
            <w:shd w:val="clear" w:color="auto" w:fill="auto"/>
            <w:noWrap/>
            <w:vAlign w:val="center"/>
            <w:hideMark/>
          </w:tcPr>
          <w:p w14:paraId="6F3F9F07"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-0.1%</w:t>
            </w:r>
          </w:p>
        </w:tc>
        <w:tc>
          <w:tcPr>
            <w:tcW w:w="375" w:type="pct"/>
            <w:tcBorders>
              <w:top w:val="nil"/>
              <w:left w:val="nil"/>
              <w:bottom w:val="single" w:sz="4" w:space="0" w:color="auto"/>
              <w:right w:val="single" w:sz="4" w:space="0" w:color="auto"/>
            </w:tcBorders>
            <w:vAlign w:val="center"/>
          </w:tcPr>
          <w:p w14:paraId="76C4C819"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0.4%</w:t>
            </w:r>
          </w:p>
        </w:tc>
      </w:tr>
      <w:tr w:rsidR="005D660E" w:rsidRPr="009A1A33" w14:paraId="2C8E1D59" w14:textId="77777777" w:rsidTr="009A1A33">
        <w:trPr>
          <w:trHeight w:val="300"/>
        </w:trPr>
        <w:tc>
          <w:tcPr>
            <w:tcW w:w="2093" w:type="pct"/>
            <w:tcBorders>
              <w:top w:val="nil"/>
              <w:left w:val="single" w:sz="4" w:space="0" w:color="auto"/>
              <w:bottom w:val="single" w:sz="4" w:space="0" w:color="auto"/>
              <w:right w:val="single" w:sz="4" w:space="0" w:color="auto"/>
            </w:tcBorders>
            <w:shd w:val="clear" w:color="auto" w:fill="auto"/>
            <w:noWrap/>
            <w:vAlign w:val="center"/>
            <w:hideMark/>
          </w:tcPr>
          <w:p w14:paraId="2E315BF0"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42  -  Wholesale trade</w:t>
            </w:r>
          </w:p>
        </w:tc>
        <w:tc>
          <w:tcPr>
            <w:tcW w:w="955" w:type="pct"/>
            <w:tcBorders>
              <w:top w:val="nil"/>
              <w:left w:val="nil"/>
              <w:bottom w:val="single" w:sz="4" w:space="0" w:color="auto"/>
              <w:right w:val="single" w:sz="4" w:space="0" w:color="auto"/>
            </w:tcBorders>
            <w:shd w:val="clear" w:color="auto" w:fill="auto"/>
            <w:noWrap/>
            <w:vAlign w:val="center"/>
            <w:hideMark/>
          </w:tcPr>
          <w:p w14:paraId="36A0D77C"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-2.01</w:t>
            </w:r>
          </w:p>
        </w:tc>
        <w:tc>
          <w:tcPr>
            <w:tcW w:w="671" w:type="pct"/>
            <w:tcBorders>
              <w:top w:val="nil"/>
              <w:left w:val="nil"/>
              <w:bottom w:val="single" w:sz="4" w:space="0" w:color="auto"/>
              <w:right w:val="single" w:sz="4" w:space="0" w:color="auto"/>
            </w:tcBorders>
            <w:shd w:val="clear" w:color="auto" w:fill="auto"/>
            <w:noWrap/>
            <w:vAlign w:val="center"/>
            <w:hideMark/>
          </w:tcPr>
          <w:p w14:paraId="53778CF5"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-0.41</w:t>
            </w:r>
          </w:p>
        </w:tc>
        <w:tc>
          <w:tcPr>
            <w:tcW w:w="906" w:type="pct"/>
            <w:tcBorders>
              <w:top w:val="nil"/>
              <w:left w:val="nil"/>
              <w:bottom w:val="single" w:sz="4" w:space="0" w:color="auto"/>
              <w:right w:val="single" w:sz="4" w:space="0" w:color="auto"/>
            </w:tcBorders>
            <w:shd w:val="clear" w:color="auto" w:fill="auto"/>
            <w:noWrap/>
            <w:vAlign w:val="center"/>
            <w:hideMark/>
          </w:tcPr>
          <w:p w14:paraId="2C6775D6"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-0.1%</w:t>
            </w:r>
          </w:p>
        </w:tc>
        <w:tc>
          <w:tcPr>
            <w:tcW w:w="375" w:type="pct"/>
            <w:tcBorders>
              <w:top w:val="nil"/>
              <w:left w:val="nil"/>
              <w:bottom w:val="single" w:sz="4" w:space="0" w:color="auto"/>
              <w:right w:val="single" w:sz="4" w:space="0" w:color="auto"/>
            </w:tcBorders>
            <w:vAlign w:val="center"/>
          </w:tcPr>
          <w:p w14:paraId="18205CA0"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0.2%</w:t>
            </w:r>
          </w:p>
        </w:tc>
      </w:tr>
      <w:tr w:rsidR="005D660E" w:rsidRPr="009A1A33" w14:paraId="09903003" w14:textId="77777777" w:rsidTr="009A1A33">
        <w:trPr>
          <w:trHeight w:val="300"/>
        </w:trPr>
        <w:tc>
          <w:tcPr>
            <w:tcW w:w="2093" w:type="pct"/>
            <w:tcBorders>
              <w:top w:val="nil"/>
              <w:left w:val="single" w:sz="4" w:space="0" w:color="auto"/>
              <w:bottom w:val="single" w:sz="4" w:space="0" w:color="auto"/>
              <w:right w:val="single" w:sz="4" w:space="0" w:color="auto"/>
            </w:tcBorders>
            <w:shd w:val="clear" w:color="auto" w:fill="auto"/>
            <w:noWrap/>
            <w:vAlign w:val="center"/>
            <w:hideMark/>
          </w:tcPr>
          <w:p w14:paraId="6308B426"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44-45  -  Retail trade</w:t>
            </w:r>
          </w:p>
        </w:tc>
        <w:tc>
          <w:tcPr>
            <w:tcW w:w="955" w:type="pct"/>
            <w:tcBorders>
              <w:top w:val="nil"/>
              <w:left w:val="nil"/>
              <w:bottom w:val="single" w:sz="4" w:space="0" w:color="auto"/>
              <w:right w:val="single" w:sz="4" w:space="0" w:color="auto"/>
            </w:tcBorders>
            <w:shd w:val="clear" w:color="auto" w:fill="auto"/>
            <w:noWrap/>
            <w:vAlign w:val="center"/>
            <w:hideMark/>
          </w:tcPr>
          <w:p w14:paraId="5FF40752"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-2.33</w:t>
            </w:r>
          </w:p>
        </w:tc>
        <w:tc>
          <w:tcPr>
            <w:tcW w:w="671" w:type="pct"/>
            <w:tcBorders>
              <w:top w:val="nil"/>
              <w:left w:val="nil"/>
              <w:bottom w:val="single" w:sz="4" w:space="0" w:color="auto"/>
              <w:right w:val="single" w:sz="4" w:space="0" w:color="auto"/>
            </w:tcBorders>
            <w:shd w:val="clear" w:color="auto" w:fill="auto"/>
            <w:noWrap/>
            <w:vAlign w:val="center"/>
            <w:hideMark/>
          </w:tcPr>
          <w:p w14:paraId="2FC9B5BF"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-0.32</w:t>
            </w:r>
          </w:p>
        </w:tc>
        <w:tc>
          <w:tcPr>
            <w:tcW w:w="906" w:type="pct"/>
            <w:tcBorders>
              <w:top w:val="nil"/>
              <w:left w:val="nil"/>
              <w:bottom w:val="single" w:sz="4" w:space="0" w:color="auto"/>
              <w:right w:val="single" w:sz="4" w:space="0" w:color="auto"/>
            </w:tcBorders>
            <w:shd w:val="clear" w:color="auto" w:fill="auto"/>
            <w:noWrap/>
            <w:vAlign w:val="center"/>
            <w:hideMark/>
          </w:tcPr>
          <w:p w14:paraId="684E3BDF"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-1.1%</w:t>
            </w:r>
          </w:p>
        </w:tc>
        <w:tc>
          <w:tcPr>
            <w:tcW w:w="375" w:type="pct"/>
            <w:tcBorders>
              <w:top w:val="nil"/>
              <w:left w:val="nil"/>
              <w:bottom w:val="single" w:sz="4" w:space="0" w:color="auto"/>
              <w:right w:val="single" w:sz="4" w:space="0" w:color="auto"/>
            </w:tcBorders>
            <w:vAlign w:val="center"/>
          </w:tcPr>
          <w:p w14:paraId="1C5BD1E6"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3.4%</w:t>
            </w:r>
          </w:p>
        </w:tc>
      </w:tr>
      <w:tr w:rsidR="005D660E" w:rsidRPr="009A1A33" w14:paraId="67D062BB" w14:textId="77777777" w:rsidTr="009A1A33">
        <w:trPr>
          <w:trHeight w:val="300"/>
        </w:trPr>
        <w:tc>
          <w:tcPr>
            <w:tcW w:w="2093" w:type="pct"/>
            <w:tcBorders>
              <w:top w:val="nil"/>
              <w:left w:val="single" w:sz="4" w:space="0" w:color="auto"/>
              <w:bottom w:val="single" w:sz="4" w:space="0" w:color="auto"/>
              <w:right w:val="single" w:sz="4" w:space="0" w:color="auto"/>
            </w:tcBorders>
            <w:shd w:val="clear" w:color="auto" w:fill="auto"/>
            <w:noWrap/>
            <w:vAlign w:val="center"/>
            <w:hideMark/>
          </w:tcPr>
          <w:p w14:paraId="7B8E9331"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482  -  Rail transportation</w:t>
            </w:r>
          </w:p>
        </w:tc>
        <w:tc>
          <w:tcPr>
            <w:tcW w:w="955" w:type="pct"/>
            <w:tcBorders>
              <w:top w:val="nil"/>
              <w:left w:val="nil"/>
              <w:bottom w:val="single" w:sz="4" w:space="0" w:color="auto"/>
              <w:right w:val="single" w:sz="4" w:space="0" w:color="auto"/>
            </w:tcBorders>
            <w:shd w:val="clear" w:color="auto" w:fill="auto"/>
            <w:noWrap/>
            <w:vAlign w:val="center"/>
            <w:hideMark/>
          </w:tcPr>
          <w:p w14:paraId="27B1B02B"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-2.16</w:t>
            </w:r>
          </w:p>
        </w:tc>
        <w:tc>
          <w:tcPr>
            <w:tcW w:w="671" w:type="pct"/>
            <w:tcBorders>
              <w:top w:val="nil"/>
              <w:left w:val="nil"/>
              <w:bottom w:val="single" w:sz="4" w:space="0" w:color="auto"/>
              <w:right w:val="single" w:sz="4" w:space="0" w:color="auto"/>
            </w:tcBorders>
            <w:shd w:val="clear" w:color="auto" w:fill="auto"/>
            <w:noWrap/>
            <w:vAlign w:val="center"/>
            <w:hideMark/>
          </w:tcPr>
          <w:p w14:paraId="66C034B7"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-0.11</w:t>
            </w:r>
          </w:p>
        </w:tc>
        <w:tc>
          <w:tcPr>
            <w:tcW w:w="906" w:type="pct"/>
            <w:tcBorders>
              <w:top w:val="nil"/>
              <w:left w:val="nil"/>
              <w:bottom w:val="single" w:sz="4" w:space="0" w:color="auto"/>
              <w:right w:val="single" w:sz="4" w:space="0" w:color="auto"/>
            </w:tcBorders>
            <w:shd w:val="clear" w:color="auto" w:fill="auto"/>
            <w:noWrap/>
            <w:vAlign w:val="center"/>
            <w:hideMark/>
          </w:tcPr>
          <w:p w14:paraId="76B33B2D"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0.0%</w:t>
            </w:r>
          </w:p>
        </w:tc>
        <w:tc>
          <w:tcPr>
            <w:tcW w:w="375" w:type="pct"/>
            <w:tcBorders>
              <w:top w:val="nil"/>
              <w:left w:val="nil"/>
              <w:bottom w:val="single" w:sz="4" w:space="0" w:color="auto"/>
              <w:right w:val="single" w:sz="4" w:space="0" w:color="auto"/>
            </w:tcBorders>
            <w:vAlign w:val="center"/>
          </w:tcPr>
          <w:p w14:paraId="54F2205D"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0.2%</w:t>
            </w:r>
          </w:p>
        </w:tc>
      </w:tr>
      <w:tr w:rsidR="005D660E" w:rsidRPr="009A1A33" w14:paraId="49AA4AA9" w14:textId="77777777" w:rsidTr="009A1A33">
        <w:trPr>
          <w:trHeight w:val="300"/>
        </w:trPr>
        <w:tc>
          <w:tcPr>
            <w:tcW w:w="2093" w:type="pct"/>
            <w:tcBorders>
              <w:top w:val="nil"/>
              <w:left w:val="single" w:sz="4" w:space="0" w:color="auto"/>
              <w:bottom w:val="single" w:sz="4" w:space="0" w:color="auto"/>
              <w:right w:val="single" w:sz="4" w:space="0" w:color="auto"/>
            </w:tcBorders>
            <w:shd w:val="clear" w:color="auto" w:fill="auto"/>
            <w:noWrap/>
            <w:vAlign w:val="center"/>
            <w:hideMark/>
          </w:tcPr>
          <w:p w14:paraId="40687CB2"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492  -  Couriers and messengers</w:t>
            </w:r>
          </w:p>
        </w:tc>
        <w:tc>
          <w:tcPr>
            <w:tcW w:w="955" w:type="pct"/>
            <w:tcBorders>
              <w:top w:val="nil"/>
              <w:left w:val="nil"/>
              <w:bottom w:val="single" w:sz="4" w:space="0" w:color="auto"/>
              <w:right w:val="single" w:sz="4" w:space="0" w:color="auto"/>
            </w:tcBorders>
            <w:shd w:val="clear" w:color="auto" w:fill="auto"/>
            <w:noWrap/>
            <w:vAlign w:val="center"/>
            <w:hideMark/>
          </w:tcPr>
          <w:p w14:paraId="03848D90"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-2.82</w:t>
            </w:r>
          </w:p>
        </w:tc>
        <w:tc>
          <w:tcPr>
            <w:tcW w:w="671" w:type="pct"/>
            <w:tcBorders>
              <w:top w:val="nil"/>
              <w:left w:val="nil"/>
              <w:bottom w:val="single" w:sz="4" w:space="0" w:color="auto"/>
              <w:right w:val="single" w:sz="4" w:space="0" w:color="auto"/>
            </w:tcBorders>
            <w:shd w:val="clear" w:color="auto" w:fill="auto"/>
            <w:noWrap/>
            <w:vAlign w:val="center"/>
            <w:hideMark/>
          </w:tcPr>
          <w:p w14:paraId="0F377913"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-0.26</w:t>
            </w:r>
          </w:p>
        </w:tc>
        <w:tc>
          <w:tcPr>
            <w:tcW w:w="906" w:type="pct"/>
            <w:tcBorders>
              <w:top w:val="nil"/>
              <w:left w:val="nil"/>
              <w:bottom w:val="single" w:sz="4" w:space="0" w:color="auto"/>
              <w:right w:val="single" w:sz="4" w:space="0" w:color="auto"/>
            </w:tcBorders>
            <w:shd w:val="clear" w:color="auto" w:fill="auto"/>
            <w:noWrap/>
            <w:vAlign w:val="center"/>
            <w:hideMark/>
          </w:tcPr>
          <w:p w14:paraId="5E2C8460"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-0.2%</w:t>
            </w:r>
          </w:p>
        </w:tc>
        <w:tc>
          <w:tcPr>
            <w:tcW w:w="375" w:type="pct"/>
            <w:tcBorders>
              <w:top w:val="nil"/>
              <w:left w:val="nil"/>
              <w:bottom w:val="single" w:sz="4" w:space="0" w:color="auto"/>
              <w:right w:val="single" w:sz="4" w:space="0" w:color="auto"/>
            </w:tcBorders>
            <w:vAlign w:val="center"/>
          </w:tcPr>
          <w:p w14:paraId="6CDF32BC"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0.8%</w:t>
            </w:r>
          </w:p>
        </w:tc>
      </w:tr>
      <w:tr w:rsidR="005D660E" w:rsidRPr="009A1A33" w14:paraId="05D52540" w14:textId="77777777" w:rsidTr="009A1A33">
        <w:trPr>
          <w:trHeight w:val="300"/>
        </w:trPr>
        <w:tc>
          <w:tcPr>
            <w:tcW w:w="2093" w:type="pct"/>
            <w:tcBorders>
              <w:top w:val="nil"/>
              <w:left w:val="single" w:sz="4" w:space="0" w:color="auto"/>
              <w:bottom w:val="single" w:sz="4" w:space="0" w:color="auto"/>
              <w:right w:val="single" w:sz="4" w:space="0" w:color="auto"/>
            </w:tcBorders>
            <w:shd w:val="clear" w:color="auto" w:fill="auto"/>
            <w:noWrap/>
            <w:vAlign w:val="center"/>
            <w:hideMark/>
          </w:tcPr>
          <w:p w14:paraId="24FF12AF"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485  -  Transit and ground passenger transportation</w:t>
            </w:r>
          </w:p>
        </w:tc>
        <w:tc>
          <w:tcPr>
            <w:tcW w:w="955" w:type="pct"/>
            <w:tcBorders>
              <w:top w:val="nil"/>
              <w:left w:val="nil"/>
              <w:bottom w:val="single" w:sz="4" w:space="0" w:color="auto"/>
              <w:right w:val="single" w:sz="4" w:space="0" w:color="auto"/>
            </w:tcBorders>
            <w:shd w:val="clear" w:color="auto" w:fill="auto"/>
            <w:noWrap/>
            <w:vAlign w:val="center"/>
            <w:hideMark/>
          </w:tcPr>
          <w:p w14:paraId="687C7C85"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-1.94</w:t>
            </w:r>
          </w:p>
        </w:tc>
        <w:tc>
          <w:tcPr>
            <w:tcW w:w="671" w:type="pct"/>
            <w:tcBorders>
              <w:top w:val="nil"/>
              <w:left w:val="nil"/>
              <w:bottom w:val="single" w:sz="4" w:space="0" w:color="auto"/>
              <w:right w:val="single" w:sz="4" w:space="0" w:color="auto"/>
            </w:tcBorders>
            <w:shd w:val="clear" w:color="auto" w:fill="auto"/>
            <w:noWrap/>
            <w:vAlign w:val="center"/>
            <w:hideMark/>
          </w:tcPr>
          <w:p w14:paraId="0AC1D5F5"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-0.23</w:t>
            </w:r>
          </w:p>
        </w:tc>
        <w:tc>
          <w:tcPr>
            <w:tcW w:w="906" w:type="pct"/>
            <w:tcBorders>
              <w:top w:val="nil"/>
              <w:left w:val="nil"/>
              <w:bottom w:val="single" w:sz="4" w:space="0" w:color="auto"/>
              <w:right w:val="single" w:sz="4" w:space="0" w:color="auto"/>
            </w:tcBorders>
            <w:shd w:val="clear" w:color="auto" w:fill="auto"/>
            <w:noWrap/>
            <w:vAlign w:val="center"/>
            <w:hideMark/>
          </w:tcPr>
          <w:p w14:paraId="4939D119"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-0.7%</w:t>
            </w:r>
          </w:p>
        </w:tc>
        <w:tc>
          <w:tcPr>
            <w:tcW w:w="375" w:type="pct"/>
            <w:tcBorders>
              <w:top w:val="nil"/>
              <w:left w:val="nil"/>
              <w:bottom w:val="single" w:sz="4" w:space="0" w:color="auto"/>
              <w:right w:val="single" w:sz="4" w:space="0" w:color="auto"/>
            </w:tcBorders>
            <w:vAlign w:val="center"/>
          </w:tcPr>
          <w:p w14:paraId="4A1795A8"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3.0%</w:t>
            </w:r>
          </w:p>
        </w:tc>
      </w:tr>
      <w:tr w:rsidR="005D660E" w:rsidRPr="009A1A33" w14:paraId="050DD79F" w14:textId="77777777" w:rsidTr="009A1A33">
        <w:trPr>
          <w:trHeight w:val="300"/>
        </w:trPr>
        <w:tc>
          <w:tcPr>
            <w:tcW w:w="2093" w:type="pct"/>
            <w:tcBorders>
              <w:top w:val="nil"/>
              <w:left w:val="single" w:sz="4" w:space="0" w:color="auto"/>
              <w:bottom w:val="single" w:sz="4" w:space="0" w:color="auto"/>
              <w:right w:val="single" w:sz="4" w:space="0" w:color="auto"/>
            </w:tcBorders>
            <w:shd w:val="clear" w:color="auto" w:fill="auto"/>
            <w:noWrap/>
            <w:vAlign w:val="center"/>
            <w:hideMark/>
          </w:tcPr>
          <w:p w14:paraId="5D02CC35"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487-488  -  Scenic and sightseeing transportation and support activities</w:t>
            </w:r>
          </w:p>
        </w:tc>
        <w:tc>
          <w:tcPr>
            <w:tcW w:w="955" w:type="pct"/>
            <w:tcBorders>
              <w:top w:val="nil"/>
              <w:left w:val="nil"/>
              <w:bottom w:val="single" w:sz="4" w:space="0" w:color="auto"/>
              <w:right w:val="single" w:sz="4" w:space="0" w:color="auto"/>
            </w:tcBorders>
            <w:shd w:val="clear" w:color="auto" w:fill="auto"/>
            <w:noWrap/>
            <w:vAlign w:val="center"/>
            <w:hideMark/>
          </w:tcPr>
          <w:p w14:paraId="4F6103CA"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-2.94</w:t>
            </w:r>
          </w:p>
        </w:tc>
        <w:tc>
          <w:tcPr>
            <w:tcW w:w="671" w:type="pct"/>
            <w:tcBorders>
              <w:top w:val="nil"/>
              <w:left w:val="nil"/>
              <w:bottom w:val="single" w:sz="4" w:space="0" w:color="auto"/>
              <w:right w:val="single" w:sz="4" w:space="0" w:color="auto"/>
            </w:tcBorders>
            <w:shd w:val="clear" w:color="auto" w:fill="auto"/>
            <w:noWrap/>
            <w:vAlign w:val="center"/>
            <w:hideMark/>
          </w:tcPr>
          <w:p w14:paraId="57DB43DC"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-0.23</w:t>
            </w:r>
          </w:p>
        </w:tc>
        <w:tc>
          <w:tcPr>
            <w:tcW w:w="906" w:type="pct"/>
            <w:tcBorders>
              <w:top w:val="nil"/>
              <w:left w:val="nil"/>
              <w:bottom w:val="single" w:sz="4" w:space="0" w:color="auto"/>
              <w:right w:val="single" w:sz="4" w:space="0" w:color="auto"/>
            </w:tcBorders>
            <w:shd w:val="clear" w:color="auto" w:fill="auto"/>
            <w:noWrap/>
            <w:vAlign w:val="center"/>
            <w:hideMark/>
          </w:tcPr>
          <w:p w14:paraId="11C722D8"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-0.2%</w:t>
            </w:r>
          </w:p>
        </w:tc>
        <w:tc>
          <w:tcPr>
            <w:tcW w:w="375" w:type="pct"/>
            <w:tcBorders>
              <w:top w:val="nil"/>
              <w:left w:val="nil"/>
              <w:bottom w:val="single" w:sz="4" w:space="0" w:color="auto"/>
              <w:right w:val="single" w:sz="4" w:space="0" w:color="auto"/>
            </w:tcBorders>
            <w:vAlign w:val="center"/>
          </w:tcPr>
          <w:p w14:paraId="1F907CBB"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0.8%</w:t>
            </w:r>
          </w:p>
        </w:tc>
      </w:tr>
      <w:tr w:rsidR="005D660E" w:rsidRPr="009A1A33" w14:paraId="59194ECB" w14:textId="77777777" w:rsidTr="009A1A33">
        <w:trPr>
          <w:trHeight w:val="300"/>
        </w:trPr>
        <w:tc>
          <w:tcPr>
            <w:tcW w:w="2093" w:type="pct"/>
            <w:tcBorders>
              <w:top w:val="nil"/>
              <w:left w:val="single" w:sz="4" w:space="0" w:color="auto"/>
              <w:bottom w:val="single" w:sz="4" w:space="0" w:color="auto"/>
              <w:right w:val="single" w:sz="4" w:space="0" w:color="auto"/>
            </w:tcBorders>
            <w:shd w:val="clear" w:color="auto" w:fill="auto"/>
            <w:noWrap/>
            <w:vAlign w:val="center"/>
            <w:hideMark/>
          </w:tcPr>
          <w:p w14:paraId="7F159F63"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511  -  Publishing industries, except Internet</w:t>
            </w:r>
          </w:p>
        </w:tc>
        <w:tc>
          <w:tcPr>
            <w:tcW w:w="955" w:type="pct"/>
            <w:tcBorders>
              <w:top w:val="nil"/>
              <w:left w:val="nil"/>
              <w:bottom w:val="single" w:sz="4" w:space="0" w:color="auto"/>
              <w:right w:val="single" w:sz="4" w:space="0" w:color="auto"/>
            </w:tcBorders>
            <w:shd w:val="clear" w:color="auto" w:fill="auto"/>
            <w:noWrap/>
            <w:vAlign w:val="center"/>
            <w:hideMark/>
          </w:tcPr>
          <w:p w14:paraId="7B9094BE"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-1.87</w:t>
            </w:r>
          </w:p>
        </w:tc>
        <w:tc>
          <w:tcPr>
            <w:tcW w:w="671" w:type="pct"/>
            <w:tcBorders>
              <w:top w:val="nil"/>
              <w:left w:val="nil"/>
              <w:bottom w:val="single" w:sz="4" w:space="0" w:color="auto"/>
              <w:right w:val="single" w:sz="4" w:space="0" w:color="auto"/>
            </w:tcBorders>
            <w:shd w:val="clear" w:color="auto" w:fill="auto"/>
            <w:noWrap/>
            <w:vAlign w:val="center"/>
            <w:hideMark/>
          </w:tcPr>
          <w:p w14:paraId="74A73FEC"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-0.25</w:t>
            </w:r>
          </w:p>
        </w:tc>
        <w:tc>
          <w:tcPr>
            <w:tcW w:w="906" w:type="pct"/>
            <w:tcBorders>
              <w:top w:val="nil"/>
              <w:left w:val="nil"/>
              <w:bottom w:val="single" w:sz="4" w:space="0" w:color="auto"/>
              <w:right w:val="single" w:sz="4" w:space="0" w:color="auto"/>
            </w:tcBorders>
            <w:shd w:val="clear" w:color="auto" w:fill="auto"/>
            <w:noWrap/>
            <w:vAlign w:val="center"/>
            <w:hideMark/>
          </w:tcPr>
          <w:p w14:paraId="4F4C2729"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0.0%</w:t>
            </w:r>
          </w:p>
        </w:tc>
        <w:tc>
          <w:tcPr>
            <w:tcW w:w="375" w:type="pct"/>
            <w:tcBorders>
              <w:top w:val="nil"/>
              <w:left w:val="nil"/>
              <w:bottom w:val="single" w:sz="4" w:space="0" w:color="auto"/>
              <w:right w:val="single" w:sz="4" w:space="0" w:color="auto"/>
            </w:tcBorders>
            <w:vAlign w:val="center"/>
          </w:tcPr>
          <w:p w14:paraId="3787356C"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0.2%</w:t>
            </w:r>
          </w:p>
        </w:tc>
      </w:tr>
      <w:tr w:rsidR="005D660E" w:rsidRPr="009A1A33" w14:paraId="5574FDD5" w14:textId="77777777" w:rsidTr="009A1A33">
        <w:trPr>
          <w:trHeight w:val="300"/>
        </w:trPr>
        <w:tc>
          <w:tcPr>
            <w:tcW w:w="2093" w:type="pct"/>
            <w:tcBorders>
              <w:top w:val="nil"/>
              <w:left w:val="single" w:sz="4" w:space="0" w:color="auto"/>
              <w:bottom w:val="single" w:sz="4" w:space="0" w:color="auto"/>
              <w:right w:val="single" w:sz="4" w:space="0" w:color="auto"/>
            </w:tcBorders>
            <w:shd w:val="clear" w:color="auto" w:fill="auto"/>
            <w:noWrap/>
            <w:vAlign w:val="center"/>
            <w:hideMark/>
          </w:tcPr>
          <w:p w14:paraId="3AF0A46D"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512  -  Motion picture and sound recording industries</w:t>
            </w:r>
          </w:p>
        </w:tc>
        <w:tc>
          <w:tcPr>
            <w:tcW w:w="955" w:type="pct"/>
            <w:tcBorders>
              <w:top w:val="nil"/>
              <w:left w:val="nil"/>
              <w:bottom w:val="single" w:sz="4" w:space="0" w:color="auto"/>
              <w:right w:val="single" w:sz="4" w:space="0" w:color="auto"/>
            </w:tcBorders>
            <w:shd w:val="clear" w:color="auto" w:fill="auto"/>
            <w:noWrap/>
            <w:vAlign w:val="center"/>
            <w:hideMark/>
          </w:tcPr>
          <w:p w14:paraId="3CE0CBE7"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-1.53</w:t>
            </w:r>
          </w:p>
        </w:tc>
        <w:tc>
          <w:tcPr>
            <w:tcW w:w="671" w:type="pct"/>
            <w:tcBorders>
              <w:top w:val="nil"/>
              <w:left w:val="nil"/>
              <w:bottom w:val="single" w:sz="4" w:space="0" w:color="auto"/>
              <w:right w:val="single" w:sz="4" w:space="0" w:color="auto"/>
            </w:tcBorders>
            <w:shd w:val="clear" w:color="auto" w:fill="auto"/>
            <w:noWrap/>
            <w:vAlign w:val="center"/>
            <w:hideMark/>
          </w:tcPr>
          <w:p w14:paraId="16FB42C0"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-0.32</w:t>
            </w:r>
          </w:p>
        </w:tc>
        <w:tc>
          <w:tcPr>
            <w:tcW w:w="906" w:type="pct"/>
            <w:tcBorders>
              <w:top w:val="nil"/>
              <w:left w:val="nil"/>
              <w:bottom w:val="single" w:sz="4" w:space="0" w:color="auto"/>
              <w:right w:val="single" w:sz="4" w:space="0" w:color="auto"/>
            </w:tcBorders>
            <w:shd w:val="clear" w:color="auto" w:fill="auto"/>
            <w:noWrap/>
            <w:vAlign w:val="center"/>
            <w:hideMark/>
          </w:tcPr>
          <w:p w14:paraId="403C6D75"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-0.3%</w:t>
            </w:r>
          </w:p>
        </w:tc>
        <w:tc>
          <w:tcPr>
            <w:tcW w:w="375" w:type="pct"/>
            <w:tcBorders>
              <w:top w:val="nil"/>
              <w:left w:val="nil"/>
              <w:bottom w:val="single" w:sz="4" w:space="0" w:color="auto"/>
              <w:right w:val="single" w:sz="4" w:space="0" w:color="auto"/>
            </w:tcBorders>
            <w:vAlign w:val="center"/>
          </w:tcPr>
          <w:p w14:paraId="693FF3B3"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0.8%</w:t>
            </w:r>
          </w:p>
        </w:tc>
      </w:tr>
      <w:tr w:rsidR="005D660E" w:rsidRPr="009A1A33" w14:paraId="16810D79" w14:textId="77777777" w:rsidTr="009A1A33">
        <w:trPr>
          <w:trHeight w:val="300"/>
        </w:trPr>
        <w:tc>
          <w:tcPr>
            <w:tcW w:w="2093" w:type="pct"/>
            <w:tcBorders>
              <w:top w:val="nil"/>
              <w:left w:val="single" w:sz="4" w:space="0" w:color="auto"/>
              <w:bottom w:val="single" w:sz="4" w:space="0" w:color="auto"/>
              <w:right w:val="single" w:sz="4" w:space="0" w:color="auto"/>
            </w:tcBorders>
            <w:shd w:val="clear" w:color="auto" w:fill="auto"/>
            <w:noWrap/>
            <w:vAlign w:val="center"/>
            <w:hideMark/>
          </w:tcPr>
          <w:p w14:paraId="043AAC20"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518,519  -  Internet publishing and broadcasting</w:t>
            </w:r>
          </w:p>
        </w:tc>
        <w:tc>
          <w:tcPr>
            <w:tcW w:w="955" w:type="pct"/>
            <w:tcBorders>
              <w:top w:val="nil"/>
              <w:left w:val="nil"/>
              <w:bottom w:val="single" w:sz="4" w:space="0" w:color="auto"/>
              <w:right w:val="single" w:sz="4" w:space="0" w:color="auto"/>
            </w:tcBorders>
            <w:shd w:val="clear" w:color="auto" w:fill="auto"/>
            <w:noWrap/>
            <w:vAlign w:val="center"/>
            <w:hideMark/>
          </w:tcPr>
          <w:p w14:paraId="59E9EFA3"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-1.95</w:t>
            </w:r>
          </w:p>
        </w:tc>
        <w:tc>
          <w:tcPr>
            <w:tcW w:w="671" w:type="pct"/>
            <w:tcBorders>
              <w:top w:val="nil"/>
              <w:left w:val="nil"/>
              <w:bottom w:val="single" w:sz="4" w:space="0" w:color="auto"/>
              <w:right w:val="single" w:sz="4" w:space="0" w:color="auto"/>
            </w:tcBorders>
            <w:shd w:val="clear" w:color="auto" w:fill="auto"/>
            <w:noWrap/>
            <w:vAlign w:val="center"/>
            <w:hideMark/>
          </w:tcPr>
          <w:p w14:paraId="7E9B19E7"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-0.37</w:t>
            </w:r>
          </w:p>
        </w:tc>
        <w:tc>
          <w:tcPr>
            <w:tcW w:w="906" w:type="pct"/>
            <w:tcBorders>
              <w:top w:val="nil"/>
              <w:left w:val="nil"/>
              <w:bottom w:val="single" w:sz="4" w:space="0" w:color="auto"/>
              <w:right w:val="single" w:sz="4" w:space="0" w:color="auto"/>
            </w:tcBorders>
            <w:shd w:val="clear" w:color="auto" w:fill="auto"/>
            <w:noWrap/>
            <w:vAlign w:val="center"/>
            <w:hideMark/>
          </w:tcPr>
          <w:p w14:paraId="1F3D9D05"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0.0%</w:t>
            </w:r>
          </w:p>
        </w:tc>
        <w:tc>
          <w:tcPr>
            <w:tcW w:w="375" w:type="pct"/>
            <w:tcBorders>
              <w:top w:val="nil"/>
              <w:left w:val="nil"/>
              <w:bottom w:val="single" w:sz="4" w:space="0" w:color="auto"/>
              <w:right w:val="single" w:sz="4" w:space="0" w:color="auto"/>
            </w:tcBorders>
            <w:vAlign w:val="center"/>
          </w:tcPr>
          <w:p w14:paraId="19BD8416"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0.1%</w:t>
            </w:r>
          </w:p>
        </w:tc>
      </w:tr>
      <w:tr w:rsidR="005D660E" w:rsidRPr="009A1A33" w14:paraId="16B4C490" w14:textId="77777777" w:rsidTr="009A1A33">
        <w:trPr>
          <w:trHeight w:val="300"/>
        </w:trPr>
        <w:tc>
          <w:tcPr>
            <w:tcW w:w="2093" w:type="pct"/>
            <w:tcBorders>
              <w:top w:val="nil"/>
              <w:left w:val="single" w:sz="4" w:space="0" w:color="auto"/>
              <w:bottom w:val="single" w:sz="4" w:space="0" w:color="auto"/>
              <w:right w:val="single" w:sz="4" w:space="0" w:color="auto"/>
            </w:tcBorders>
            <w:shd w:val="clear" w:color="auto" w:fill="auto"/>
            <w:noWrap/>
            <w:vAlign w:val="center"/>
            <w:hideMark/>
          </w:tcPr>
          <w:p w14:paraId="6FEE8763"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515  -  Broadcasting, except Internet</w:t>
            </w:r>
          </w:p>
        </w:tc>
        <w:tc>
          <w:tcPr>
            <w:tcW w:w="955" w:type="pct"/>
            <w:tcBorders>
              <w:top w:val="nil"/>
              <w:left w:val="nil"/>
              <w:bottom w:val="single" w:sz="4" w:space="0" w:color="auto"/>
              <w:right w:val="single" w:sz="4" w:space="0" w:color="auto"/>
            </w:tcBorders>
            <w:shd w:val="clear" w:color="auto" w:fill="auto"/>
            <w:noWrap/>
            <w:vAlign w:val="center"/>
            <w:hideMark/>
          </w:tcPr>
          <w:p w14:paraId="2CCCD627"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-1.51</w:t>
            </w:r>
          </w:p>
        </w:tc>
        <w:tc>
          <w:tcPr>
            <w:tcW w:w="671" w:type="pct"/>
            <w:tcBorders>
              <w:top w:val="nil"/>
              <w:left w:val="nil"/>
              <w:bottom w:val="single" w:sz="4" w:space="0" w:color="auto"/>
              <w:right w:val="single" w:sz="4" w:space="0" w:color="auto"/>
            </w:tcBorders>
            <w:shd w:val="clear" w:color="auto" w:fill="auto"/>
            <w:noWrap/>
            <w:vAlign w:val="center"/>
            <w:hideMark/>
          </w:tcPr>
          <w:p w14:paraId="4940734E"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-0.23</w:t>
            </w:r>
          </w:p>
        </w:tc>
        <w:tc>
          <w:tcPr>
            <w:tcW w:w="906" w:type="pct"/>
            <w:tcBorders>
              <w:top w:val="nil"/>
              <w:left w:val="nil"/>
              <w:bottom w:val="single" w:sz="4" w:space="0" w:color="auto"/>
              <w:right w:val="single" w:sz="4" w:space="0" w:color="auto"/>
            </w:tcBorders>
            <w:shd w:val="clear" w:color="auto" w:fill="auto"/>
            <w:noWrap/>
            <w:vAlign w:val="center"/>
            <w:hideMark/>
          </w:tcPr>
          <w:p w14:paraId="489448B5"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0.0%</w:t>
            </w:r>
          </w:p>
        </w:tc>
        <w:tc>
          <w:tcPr>
            <w:tcW w:w="375" w:type="pct"/>
            <w:tcBorders>
              <w:top w:val="nil"/>
              <w:left w:val="nil"/>
              <w:bottom w:val="single" w:sz="4" w:space="0" w:color="auto"/>
              <w:right w:val="single" w:sz="4" w:space="0" w:color="auto"/>
            </w:tcBorders>
            <w:vAlign w:val="center"/>
          </w:tcPr>
          <w:p w14:paraId="7BB62BA1"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0.2%</w:t>
            </w:r>
          </w:p>
        </w:tc>
      </w:tr>
      <w:tr w:rsidR="005D660E" w:rsidRPr="009A1A33" w14:paraId="22735AA6" w14:textId="77777777" w:rsidTr="009A1A33">
        <w:trPr>
          <w:trHeight w:val="300"/>
        </w:trPr>
        <w:tc>
          <w:tcPr>
            <w:tcW w:w="2093" w:type="pct"/>
            <w:tcBorders>
              <w:top w:val="nil"/>
              <w:left w:val="single" w:sz="4" w:space="0" w:color="auto"/>
              <w:bottom w:val="single" w:sz="4" w:space="0" w:color="auto"/>
              <w:right w:val="single" w:sz="4" w:space="0" w:color="auto"/>
            </w:tcBorders>
            <w:shd w:val="clear" w:color="auto" w:fill="auto"/>
            <w:noWrap/>
            <w:vAlign w:val="center"/>
            <w:hideMark/>
          </w:tcPr>
          <w:p w14:paraId="2FE59291"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517  -  Telecommunications</w:t>
            </w:r>
          </w:p>
        </w:tc>
        <w:tc>
          <w:tcPr>
            <w:tcW w:w="955" w:type="pct"/>
            <w:tcBorders>
              <w:top w:val="nil"/>
              <w:left w:val="nil"/>
              <w:bottom w:val="single" w:sz="4" w:space="0" w:color="auto"/>
              <w:right w:val="single" w:sz="4" w:space="0" w:color="auto"/>
            </w:tcBorders>
            <w:shd w:val="clear" w:color="auto" w:fill="auto"/>
            <w:noWrap/>
            <w:vAlign w:val="center"/>
            <w:hideMark/>
          </w:tcPr>
          <w:p w14:paraId="15349EBE"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-1.47</w:t>
            </w:r>
          </w:p>
        </w:tc>
        <w:tc>
          <w:tcPr>
            <w:tcW w:w="671" w:type="pct"/>
            <w:tcBorders>
              <w:top w:val="nil"/>
              <w:left w:val="nil"/>
              <w:bottom w:val="single" w:sz="4" w:space="0" w:color="auto"/>
              <w:right w:val="single" w:sz="4" w:space="0" w:color="auto"/>
            </w:tcBorders>
            <w:shd w:val="clear" w:color="auto" w:fill="auto"/>
            <w:noWrap/>
            <w:vAlign w:val="center"/>
            <w:hideMark/>
          </w:tcPr>
          <w:p w14:paraId="1EBA9F3D"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-0.19</w:t>
            </w:r>
          </w:p>
        </w:tc>
        <w:tc>
          <w:tcPr>
            <w:tcW w:w="906" w:type="pct"/>
            <w:tcBorders>
              <w:top w:val="nil"/>
              <w:left w:val="nil"/>
              <w:bottom w:val="single" w:sz="4" w:space="0" w:color="auto"/>
              <w:right w:val="single" w:sz="4" w:space="0" w:color="auto"/>
            </w:tcBorders>
            <w:shd w:val="clear" w:color="auto" w:fill="auto"/>
            <w:noWrap/>
            <w:vAlign w:val="center"/>
            <w:hideMark/>
          </w:tcPr>
          <w:p w14:paraId="787BB42F"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0.0%</w:t>
            </w:r>
          </w:p>
        </w:tc>
        <w:tc>
          <w:tcPr>
            <w:tcW w:w="375" w:type="pct"/>
            <w:tcBorders>
              <w:top w:val="nil"/>
              <w:left w:val="nil"/>
              <w:bottom w:val="single" w:sz="4" w:space="0" w:color="auto"/>
              <w:right w:val="single" w:sz="4" w:space="0" w:color="auto"/>
            </w:tcBorders>
            <w:vAlign w:val="center"/>
          </w:tcPr>
          <w:p w14:paraId="3CBC64C9"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0.1%</w:t>
            </w:r>
          </w:p>
        </w:tc>
      </w:tr>
      <w:tr w:rsidR="005D660E" w:rsidRPr="009A1A33" w14:paraId="6CBE6626" w14:textId="77777777" w:rsidTr="009A1A33">
        <w:trPr>
          <w:trHeight w:val="300"/>
        </w:trPr>
        <w:tc>
          <w:tcPr>
            <w:tcW w:w="2093" w:type="pct"/>
            <w:tcBorders>
              <w:top w:val="nil"/>
              <w:left w:val="single" w:sz="4" w:space="0" w:color="auto"/>
              <w:bottom w:val="single" w:sz="4" w:space="0" w:color="auto"/>
              <w:right w:val="single" w:sz="4" w:space="0" w:color="auto"/>
            </w:tcBorders>
            <w:shd w:val="clear" w:color="auto" w:fill="auto"/>
            <w:noWrap/>
            <w:vAlign w:val="center"/>
            <w:hideMark/>
          </w:tcPr>
          <w:p w14:paraId="3E694DCC"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524  -  Insurance carriers and related activities</w:t>
            </w:r>
          </w:p>
        </w:tc>
        <w:tc>
          <w:tcPr>
            <w:tcW w:w="955" w:type="pct"/>
            <w:tcBorders>
              <w:top w:val="nil"/>
              <w:left w:val="nil"/>
              <w:bottom w:val="single" w:sz="4" w:space="0" w:color="auto"/>
              <w:right w:val="single" w:sz="4" w:space="0" w:color="auto"/>
            </w:tcBorders>
            <w:shd w:val="clear" w:color="auto" w:fill="auto"/>
            <w:noWrap/>
            <w:vAlign w:val="center"/>
            <w:hideMark/>
          </w:tcPr>
          <w:p w14:paraId="68DA6D7D"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-2.02</w:t>
            </w:r>
          </w:p>
        </w:tc>
        <w:tc>
          <w:tcPr>
            <w:tcW w:w="671" w:type="pct"/>
            <w:tcBorders>
              <w:top w:val="nil"/>
              <w:left w:val="nil"/>
              <w:bottom w:val="single" w:sz="4" w:space="0" w:color="auto"/>
              <w:right w:val="single" w:sz="4" w:space="0" w:color="auto"/>
            </w:tcBorders>
            <w:shd w:val="clear" w:color="auto" w:fill="auto"/>
            <w:noWrap/>
            <w:vAlign w:val="center"/>
            <w:hideMark/>
          </w:tcPr>
          <w:p w14:paraId="1EA74135"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-0.05</w:t>
            </w:r>
          </w:p>
        </w:tc>
        <w:tc>
          <w:tcPr>
            <w:tcW w:w="906" w:type="pct"/>
            <w:tcBorders>
              <w:top w:val="nil"/>
              <w:left w:val="nil"/>
              <w:bottom w:val="single" w:sz="4" w:space="0" w:color="auto"/>
              <w:right w:val="single" w:sz="4" w:space="0" w:color="auto"/>
            </w:tcBorders>
            <w:shd w:val="clear" w:color="auto" w:fill="auto"/>
            <w:noWrap/>
            <w:vAlign w:val="center"/>
            <w:hideMark/>
          </w:tcPr>
          <w:p w14:paraId="117D5E35"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0.0%</w:t>
            </w:r>
          </w:p>
        </w:tc>
        <w:tc>
          <w:tcPr>
            <w:tcW w:w="375" w:type="pct"/>
            <w:tcBorders>
              <w:top w:val="nil"/>
              <w:left w:val="nil"/>
              <w:bottom w:val="single" w:sz="4" w:space="0" w:color="auto"/>
              <w:right w:val="single" w:sz="4" w:space="0" w:color="auto"/>
            </w:tcBorders>
            <w:vAlign w:val="center"/>
          </w:tcPr>
          <w:p w14:paraId="1193C377"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0.1%</w:t>
            </w:r>
          </w:p>
        </w:tc>
      </w:tr>
      <w:tr w:rsidR="005D660E" w:rsidRPr="009A1A33" w14:paraId="462EFE34" w14:textId="77777777" w:rsidTr="009A1A33">
        <w:trPr>
          <w:trHeight w:val="300"/>
        </w:trPr>
        <w:tc>
          <w:tcPr>
            <w:tcW w:w="2093" w:type="pct"/>
            <w:tcBorders>
              <w:top w:val="nil"/>
              <w:left w:val="single" w:sz="4" w:space="0" w:color="auto"/>
              <w:bottom w:val="single" w:sz="4" w:space="0" w:color="auto"/>
              <w:right w:val="single" w:sz="4" w:space="0" w:color="auto"/>
            </w:tcBorders>
            <w:shd w:val="clear" w:color="auto" w:fill="auto"/>
            <w:noWrap/>
            <w:vAlign w:val="center"/>
            <w:hideMark/>
          </w:tcPr>
          <w:p w14:paraId="5F61A94D"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531  -  Real estate</w:t>
            </w:r>
          </w:p>
        </w:tc>
        <w:tc>
          <w:tcPr>
            <w:tcW w:w="955" w:type="pct"/>
            <w:tcBorders>
              <w:top w:val="nil"/>
              <w:left w:val="nil"/>
              <w:bottom w:val="single" w:sz="4" w:space="0" w:color="auto"/>
              <w:right w:val="single" w:sz="4" w:space="0" w:color="auto"/>
            </w:tcBorders>
            <w:shd w:val="clear" w:color="auto" w:fill="auto"/>
            <w:noWrap/>
            <w:vAlign w:val="center"/>
            <w:hideMark/>
          </w:tcPr>
          <w:p w14:paraId="40A8E596"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-1.05</w:t>
            </w:r>
          </w:p>
        </w:tc>
        <w:tc>
          <w:tcPr>
            <w:tcW w:w="671" w:type="pct"/>
            <w:tcBorders>
              <w:top w:val="nil"/>
              <w:left w:val="nil"/>
              <w:bottom w:val="single" w:sz="4" w:space="0" w:color="auto"/>
              <w:right w:val="single" w:sz="4" w:space="0" w:color="auto"/>
            </w:tcBorders>
            <w:shd w:val="clear" w:color="auto" w:fill="auto"/>
            <w:noWrap/>
            <w:vAlign w:val="center"/>
            <w:hideMark/>
          </w:tcPr>
          <w:p w14:paraId="2A7C7393"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-0.03</w:t>
            </w:r>
          </w:p>
        </w:tc>
        <w:tc>
          <w:tcPr>
            <w:tcW w:w="906" w:type="pct"/>
            <w:tcBorders>
              <w:top w:val="nil"/>
              <w:left w:val="nil"/>
              <w:bottom w:val="single" w:sz="4" w:space="0" w:color="auto"/>
              <w:right w:val="single" w:sz="4" w:space="0" w:color="auto"/>
            </w:tcBorders>
            <w:shd w:val="clear" w:color="auto" w:fill="auto"/>
            <w:noWrap/>
            <w:vAlign w:val="center"/>
            <w:hideMark/>
          </w:tcPr>
          <w:p w14:paraId="036A9E34"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0.0%</w:t>
            </w:r>
          </w:p>
        </w:tc>
        <w:tc>
          <w:tcPr>
            <w:tcW w:w="375" w:type="pct"/>
            <w:tcBorders>
              <w:top w:val="nil"/>
              <w:left w:val="nil"/>
              <w:bottom w:val="single" w:sz="4" w:space="0" w:color="auto"/>
              <w:right w:val="single" w:sz="4" w:space="0" w:color="auto"/>
            </w:tcBorders>
            <w:vAlign w:val="center"/>
          </w:tcPr>
          <w:p w14:paraId="2C43F587"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1.2%</w:t>
            </w:r>
          </w:p>
        </w:tc>
      </w:tr>
      <w:tr w:rsidR="005D660E" w:rsidRPr="009A1A33" w14:paraId="51009A82" w14:textId="77777777" w:rsidTr="009A1A33">
        <w:trPr>
          <w:trHeight w:val="300"/>
        </w:trPr>
        <w:tc>
          <w:tcPr>
            <w:tcW w:w="2093" w:type="pct"/>
            <w:tcBorders>
              <w:top w:val="nil"/>
              <w:left w:val="single" w:sz="4" w:space="0" w:color="auto"/>
              <w:bottom w:val="single" w:sz="4" w:space="0" w:color="auto"/>
              <w:right w:val="single" w:sz="4" w:space="0" w:color="auto"/>
            </w:tcBorders>
            <w:shd w:val="clear" w:color="auto" w:fill="auto"/>
            <w:noWrap/>
            <w:vAlign w:val="center"/>
            <w:hideMark/>
          </w:tcPr>
          <w:p w14:paraId="13DAF9A5"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532,533  -  Rental and leasing services</w:t>
            </w:r>
          </w:p>
        </w:tc>
        <w:tc>
          <w:tcPr>
            <w:tcW w:w="955" w:type="pct"/>
            <w:tcBorders>
              <w:top w:val="nil"/>
              <w:left w:val="nil"/>
              <w:bottom w:val="single" w:sz="4" w:space="0" w:color="auto"/>
              <w:right w:val="single" w:sz="4" w:space="0" w:color="auto"/>
            </w:tcBorders>
            <w:shd w:val="clear" w:color="auto" w:fill="auto"/>
            <w:noWrap/>
            <w:vAlign w:val="center"/>
            <w:hideMark/>
          </w:tcPr>
          <w:p w14:paraId="52A7DFDE"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-1.21</w:t>
            </w:r>
          </w:p>
        </w:tc>
        <w:tc>
          <w:tcPr>
            <w:tcW w:w="671" w:type="pct"/>
            <w:tcBorders>
              <w:top w:val="nil"/>
              <w:left w:val="nil"/>
              <w:bottom w:val="single" w:sz="4" w:space="0" w:color="auto"/>
              <w:right w:val="single" w:sz="4" w:space="0" w:color="auto"/>
            </w:tcBorders>
            <w:shd w:val="clear" w:color="auto" w:fill="auto"/>
            <w:noWrap/>
            <w:vAlign w:val="center"/>
            <w:hideMark/>
          </w:tcPr>
          <w:p w14:paraId="0D4438F2"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-0.06</w:t>
            </w:r>
          </w:p>
        </w:tc>
        <w:tc>
          <w:tcPr>
            <w:tcW w:w="906" w:type="pct"/>
            <w:tcBorders>
              <w:top w:val="nil"/>
              <w:left w:val="nil"/>
              <w:bottom w:val="single" w:sz="4" w:space="0" w:color="auto"/>
              <w:right w:val="single" w:sz="4" w:space="0" w:color="auto"/>
            </w:tcBorders>
            <w:shd w:val="clear" w:color="auto" w:fill="auto"/>
            <w:noWrap/>
            <w:vAlign w:val="center"/>
            <w:hideMark/>
          </w:tcPr>
          <w:p w14:paraId="0D49419B"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-0.1%</w:t>
            </w:r>
          </w:p>
        </w:tc>
        <w:tc>
          <w:tcPr>
            <w:tcW w:w="375" w:type="pct"/>
            <w:tcBorders>
              <w:top w:val="nil"/>
              <w:left w:val="nil"/>
              <w:bottom w:val="single" w:sz="4" w:space="0" w:color="auto"/>
              <w:right w:val="single" w:sz="4" w:space="0" w:color="auto"/>
            </w:tcBorders>
            <w:vAlign w:val="center"/>
          </w:tcPr>
          <w:p w14:paraId="4E6698CC"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1.6%</w:t>
            </w:r>
          </w:p>
        </w:tc>
      </w:tr>
      <w:tr w:rsidR="005D660E" w:rsidRPr="009A1A33" w14:paraId="5720E784" w14:textId="77777777" w:rsidTr="009A1A33">
        <w:trPr>
          <w:trHeight w:val="300"/>
        </w:trPr>
        <w:tc>
          <w:tcPr>
            <w:tcW w:w="2093" w:type="pct"/>
            <w:tcBorders>
              <w:top w:val="nil"/>
              <w:left w:val="single" w:sz="4" w:space="0" w:color="auto"/>
              <w:bottom w:val="single" w:sz="4" w:space="0" w:color="auto"/>
              <w:right w:val="single" w:sz="4" w:space="0" w:color="auto"/>
            </w:tcBorders>
            <w:shd w:val="clear" w:color="auto" w:fill="auto"/>
            <w:noWrap/>
            <w:vAlign w:val="center"/>
            <w:hideMark/>
          </w:tcPr>
          <w:p w14:paraId="1F34433F"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54  -  Professional, scientific, and technical services</w:t>
            </w:r>
          </w:p>
        </w:tc>
        <w:tc>
          <w:tcPr>
            <w:tcW w:w="955" w:type="pct"/>
            <w:tcBorders>
              <w:top w:val="nil"/>
              <w:left w:val="nil"/>
              <w:bottom w:val="single" w:sz="4" w:space="0" w:color="auto"/>
              <w:right w:val="single" w:sz="4" w:space="0" w:color="auto"/>
            </w:tcBorders>
            <w:shd w:val="clear" w:color="auto" w:fill="auto"/>
            <w:noWrap/>
            <w:vAlign w:val="center"/>
            <w:hideMark/>
          </w:tcPr>
          <w:p w14:paraId="33048F72"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-3.02</w:t>
            </w:r>
          </w:p>
        </w:tc>
        <w:tc>
          <w:tcPr>
            <w:tcW w:w="671" w:type="pct"/>
            <w:tcBorders>
              <w:top w:val="nil"/>
              <w:left w:val="nil"/>
              <w:bottom w:val="single" w:sz="4" w:space="0" w:color="auto"/>
              <w:right w:val="single" w:sz="4" w:space="0" w:color="auto"/>
            </w:tcBorders>
            <w:shd w:val="clear" w:color="auto" w:fill="auto"/>
            <w:noWrap/>
            <w:vAlign w:val="center"/>
            <w:hideMark/>
          </w:tcPr>
          <w:p w14:paraId="50FFCDCC"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-0.21</w:t>
            </w:r>
          </w:p>
        </w:tc>
        <w:tc>
          <w:tcPr>
            <w:tcW w:w="906" w:type="pct"/>
            <w:tcBorders>
              <w:top w:val="nil"/>
              <w:left w:val="nil"/>
              <w:bottom w:val="single" w:sz="4" w:space="0" w:color="auto"/>
              <w:right w:val="single" w:sz="4" w:space="0" w:color="auto"/>
            </w:tcBorders>
            <w:shd w:val="clear" w:color="auto" w:fill="auto"/>
            <w:noWrap/>
            <w:vAlign w:val="center"/>
            <w:hideMark/>
          </w:tcPr>
          <w:p w14:paraId="0086EC98"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0.0%</w:t>
            </w:r>
          </w:p>
        </w:tc>
        <w:tc>
          <w:tcPr>
            <w:tcW w:w="375" w:type="pct"/>
            <w:tcBorders>
              <w:top w:val="nil"/>
              <w:left w:val="nil"/>
              <w:bottom w:val="single" w:sz="4" w:space="0" w:color="auto"/>
              <w:right w:val="single" w:sz="4" w:space="0" w:color="auto"/>
            </w:tcBorders>
            <w:vAlign w:val="center"/>
          </w:tcPr>
          <w:p w14:paraId="532F42C2"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0.1%</w:t>
            </w:r>
          </w:p>
        </w:tc>
      </w:tr>
      <w:tr w:rsidR="005D660E" w:rsidRPr="009A1A33" w14:paraId="13AA5564" w14:textId="77777777" w:rsidTr="009A1A33">
        <w:trPr>
          <w:trHeight w:val="300"/>
        </w:trPr>
        <w:tc>
          <w:tcPr>
            <w:tcW w:w="2093" w:type="pct"/>
            <w:tcBorders>
              <w:top w:val="nil"/>
              <w:left w:val="single" w:sz="4" w:space="0" w:color="auto"/>
              <w:bottom w:val="single" w:sz="4" w:space="0" w:color="auto"/>
              <w:right w:val="single" w:sz="4" w:space="0" w:color="auto"/>
            </w:tcBorders>
            <w:shd w:val="clear" w:color="auto" w:fill="auto"/>
            <w:noWrap/>
            <w:vAlign w:val="center"/>
            <w:hideMark/>
          </w:tcPr>
          <w:p w14:paraId="245E8C7F"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55  -  Management of companies and enterprises</w:t>
            </w:r>
          </w:p>
        </w:tc>
        <w:tc>
          <w:tcPr>
            <w:tcW w:w="955" w:type="pct"/>
            <w:tcBorders>
              <w:top w:val="nil"/>
              <w:left w:val="nil"/>
              <w:bottom w:val="single" w:sz="4" w:space="0" w:color="auto"/>
              <w:right w:val="single" w:sz="4" w:space="0" w:color="auto"/>
            </w:tcBorders>
            <w:shd w:val="clear" w:color="auto" w:fill="auto"/>
            <w:noWrap/>
            <w:vAlign w:val="center"/>
            <w:hideMark/>
          </w:tcPr>
          <w:p w14:paraId="5A4099EF"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-6.02</w:t>
            </w:r>
          </w:p>
        </w:tc>
        <w:tc>
          <w:tcPr>
            <w:tcW w:w="671" w:type="pct"/>
            <w:tcBorders>
              <w:top w:val="nil"/>
              <w:left w:val="nil"/>
              <w:bottom w:val="single" w:sz="4" w:space="0" w:color="auto"/>
              <w:right w:val="single" w:sz="4" w:space="0" w:color="auto"/>
            </w:tcBorders>
            <w:shd w:val="clear" w:color="auto" w:fill="auto"/>
            <w:noWrap/>
            <w:vAlign w:val="center"/>
            <w:hideMark/>
          </w:tcPr>
          <w:p w14:paraId="7B5E4FB2"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-1.60</w:t>
            </w:r>
          </w:p>
        </w:tc>
        <w:tc>
          <w:tcPr>
            <w:tcW w:w="906" w:type="pct"/>
            <w:tcBorders>
              <w:top w:val="nil"/>
              <w:left w:val="nil"/>
              <w:bottom w:val="single" w:sz="4" w:space="0" w:color="auto"/>
              <w:right w:val="single" w:sz="4" w:space="0" w:color="auto"/>
            </w:tcBorders>
            <w:shd w:val="clear" w:color="auto" w:fill="auto"/>
            <w:noWrap/>
            <w:vAlign w:val="center"/>
            <w:hideMark/>
          </w:tcPr>
          <w:p w14:paraId="6C2452C0"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-0.1%</w:t>
            </w:r>
          </w:p>
        </w:tc>
        <w:tc>
          <w:tcPr>
            <w:tcW w:w="375" w:type="pct"/>
            <w:tcBorders>
              <w:top w:val="nil"/>
              <w:left w:val="nil"/>
              <w:bottom w:val="single" w:sz="4" w:space="0" w:color="auto"/>
              <w:right w:val="single" w:sz="4" w:space="0" w:color="auto"/>
            </w:tcBorders>
            <w:vAlign w:val="center"/>
          </w:tcPr>
          <w:p w14:paraId="48878FF4"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0.1%</w:t>
            </w:r>
          </w:p>
        </w:tc>
      </w:tr>
      <w:tr w:rsidR="005D660E" w:rsidRPr="009A1A33" w14:paraId="2B900894" w14:textId="77777777" w:rsidTr="009A1A33">
        <w:trPr>
          <w:trHeight w:val="300"/>
        </w:trPr>
        <w:tc>
          <w:tcPr>
            <w:tcW w:w="2093" w:type="pct"/>
            <w:tcBorders>
              <w:top w:val="nil"/>
              <w:left w:val="single" w:sz="4" w:space="0" w:color="auto"/>
              <w:bottom w:val="single" w:sz="4" w:space="0" w:color="auto"/>
              <w:right w:val="single" w:sz="4" w:space="0" w:color="auto"/>
            </w:tcBorders>
            <w:shd w:val="clear" w:color="auto" w:fill="auto"/>
            <w:noWrap/>
            <w:vAlign w:val="center"/>
            <w:hideMark/>
          </w:tcPr>
          <w:p w14:paraId="089A9754"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561  -  Administrative and support services</w:t>
            </w:r>
          </w:p>
        </w:tc>
        <w:tc>
          <w:tcPr>
            <w:tcW w:w="955" w:type="pct"/>
            <w:tcBorders>
              <w:top w:val="nil"/>
              <w:left w:val="nil"/>
              <w:bottom w:val="single" w:sz="4" w:space="0" w:color="auto"/>
              <w:right w:val="single" w:sz="4" w:space="0" w:color="auto"/>
            </w:tcBorders>
            <w:shd w:val="clear" w:color="auto" w:fill="auto"/>
            <w:noWrap/>
            <w:vAlign w:val="center"/>
            <w:hideMark/>
          </w:tcPr>
          <w:p w14:paraId="2DAC1542"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-3.83</w:t>
            </w:r>
          </w:p>
        </w:tc>
        <w:tc>
          <w:tcPr>
            <w:tcW w:w="671" w:type="pct"/>
            <w:tcBorders>
              <w:top w:val="nil"/>
              <w:left w:val="nil"/>
              <w:bottom w:val="single" w:sz="4" w:space="0" w:color="auto"/>
              <w:right w:val="single" w:sz="4" w:space="0" w:color="auto"/>
            </w:tcBorders>
            <w:shd w:val="clear" w:color="auto" w:fill="auto"/>
            <w:noWrap/>
            <w:vAlign w:val="center"/>
            <w:hideMark/>
          </w:tcPr>
          <w:p w14:paraId="3DB8511B"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-0.13</w:t>
            </w:r>
          </w:p>
        </w:tc>
        <w:tc>
          <w:tcPr>
            <w:tcW w:w="906" w:type="pct"/>
            <w:tcBorders>
              <w:top w:val="nil"/>
              <w:left w:val="nil"/>
              <w:bottom w:val="single" w:sz="4" w:space="0" w:color="auto"/>
              <w:right w:val="single" w:sz="4" w:space="0" w:color="auto"/>
            </w:tcBorders>
            <w:shd w:val="clear" w:color="auto" w:fill="auto"/>
            <w:noWrap/>
            <w:vAlign w:val="center"/>
            <w:hideMark/>
          </w:tcPr>
          <w:p w14:paraId="630C4143"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-0.1%</w:t>
            </w:r>
          </w:p>
        </w:tc>
        <w:tc>
          <w:tcPr>
            <w:tcW w:w="375" w:type="pct"/>
            <w:tcBorders>
              <w:top w:val="nil"/>
              <w:left w:val="nil"/>
              <w:bottom w:val="single" w:sz="4" w:space="0" w:color="auto"/>
              <w:right w:val="single" w:sz="4" w:space="0" w:color="auto"/>
            </w:tcBorders>
            <w:vAlign w:val="center"/>
          </w:tcPr>
          <w:p w14:paraId="683099FA"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0.8%</w:t>
            </w:r>
          </w:p>
        </w:tc>
      </w:tr>
      <w:tr w:rsidR="005D660E" w:rsidRPr="009A1A33" w14:paraId="600C8DBA" w14:textId="77777777" w:rsidTr="009A1A33">
        <w:trPr>
          <w:trHeight w:val="300"/>
        </w:trPr>
        <w:tc>
          <w:tcPr>
            <w:tcW w:w="2093" w:type="pct"/>
            <w:tcBorders>
              <w:top w:val="nil"/>
              <w:left w:val="single" w:sz="4" w:space="0" w:color="auto"/>
              <w:bottom w:val="single" w:sz="4" w:space="0" w:color="auto"/>
              <w:right w:val="single" w:sz="4" w:space="0" w:color="auto"/>
            </w:tcBorders>
            <w:shd w:val="clear" w:color="auto" w:fill="auto"/>
            <w:noWrap/>
            <w:vAlign w:val="center"/>
            <w:hideMark/>
          </w:tcPr>
          <w:p w14:paraId="4FA5D9CD"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562  -  Waste management and remediation services</w:t>
            </w:r>
          </w:p>
        </w:tc>
        <w:tc>
          <w:tcPr>
            <w:tcW w:w="955" w:type="pct"/>
            <w:tcBorders>
              <w:top w:val="nil"/>
              <w:left w:val="nil"/>
              <w:bottom w:val="single" w:sz="4" w:space="0" w:color="auto"/>
              <w:right w:val="single" w:sz="4" w:space="0" w:color="auto"/>
            </w:tcBorders>
            <w:shd w:val="clear" w:color="auto" w:fill="auto"/>
            <w:noWrap/>
            <w:vAlign w:val="center"/>
            <w:hideMark/>
          </w:tcPr>
          <w:p w14:paraId="28A1649E"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-2.16</w:t>
            </w:r>
          </w:p>
        </w:tc>
        <w:tc>
          <w:tcPr>
            <w:tcW w:w="671" w:type="pct"/>
            <w:tcBorders>
              <w:top w:val="nil"/>
              <w:left w:val="nil"/>
              <w:bottom w:val="single" w:sz="4" w:space="0" w:color="auto"/>
              <w:right w:val="single" w:sz="4" w:space="0" w:color="auto"/>
            </w:tcBorders>
            <w:shd w:val="clear" w:color="auto" w:fill="auto"/>
            <w:noWrap/>
            <w:vAlign w:val="center"/>
            <w:hideMark/>
          </w:tcPr>
          <w:p w14:paraId="529DBE64"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-0.26</w:t>
            </w:r>
          </w:p>
        </w:tc>
        <w:tc>
          <w:tcPr>
            <w:tcW w:w="906" w:type="pct"/>
            <w:tcBorders>
              <w:top w:val="nil"/>
              <w:left w:val="nil"/>
              <w:bottom w:val="single" w:sz="4" w:space="0" w:color="auto"/>
              <w:right w:val="single" w:sz="4" w:space="0" w:color="auto"/>
            </w:tcBorders>
            <w:shd w:val="clear" w:color="auto" w:fill="auto"/>
            <w:noWrap/>
            <w:vAlign w:val="center"/>
            <w:hideMark/>
          </w:tcPr>
          <w:p w14:paraId="089DD6A0"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-0.1%</w:t>
            </w:r>
          </w:p>
        </w:tc>
        <w:tc>
          <w:tcPr>
            <w:tcW w:w="375" w:type="pct"/>
            <w:tcBorders>
              <w:top w:val="nil"/>
              <w:left w:val="nil"/>
              <w:bottom w:val="single" w:sz="4" w:space="0" w:color="auto"/>
              <w:right w:val="single" w:sz="4" w:space="0" w:color="auto"/>
            </w:tcBorders>
            <w:vAlign w:val="center"/>
          </w:tcPr>
          <w:p w14:paraId="2A3F78DD"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0.5%</w:t>
            </w:r>
          </w:p>
        </w:tc>
      </w:tr>
      <w:tr w:rsidR="005D660E" w:rsidRPr="009A1A33" w14:paraId="402F166E" w14:textId="77777777" w:rsidTr="009A1A33">
        <w:trPr>
          <w:trHeight w:val="300"/>
        </w:trPr>
        <w:tc>
          <w:tcPr>
            <w:tcW w:w="2093" w:type="pct"/>
            <w:tcBorders>
              <w:top w:val="nil"/>
              <w:left w:val="single" w:sz="4" w:space="0" w:color="auto"/>
              <w:bottom w:val="single" w:sz="4" w:space="0" w:color="auto"/>
              <w:right w:val="single" w:sz="4" w:space="0" w:color="auto"/>
            </w:tcBorders>
            <w:shd w:val="clear" w:color="auto" w:fill="auto"/>
            <w:noWrap/>
            <w:vAlign w:val="center"/>
            <w:hideMark/>
          </w:tcPr>
          <w:p w14:paraId="5CA5F16F"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61  -  Educational services; private</w:t>
            </w:r>
          </w:p>
        </w:tc>
        <w:tc>
          <w:tcPr>
            <w:tcW w:w="955" w:type="pct"/>
            <w:tcBorders>
              <w:top w:val="nil"/>
              <w:left w:val="nil"/>
              <w:bottom w:val="single" w:sz="4" w:space="0" w:color="auto"/>
              <w:right w:val="single" w:sz="4" w:space="0" w:color="auto"/>
            </w:tcBorders>
            <w:shd w:val="clear" w:color="auto" w:fill="auto"/>
            <w:noWrap/>
            <w:vAlign w:val="center"/>
            <w:hideMark/>
          </w:tcPr>
          <w:p w14:paraId="652C197F"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-5.89</w:t>
            </w:r>
          </w:p>
        </w:tc>
        <w:tc>
          <w:tcPr>
            <w:tcW w:w="671" w:type="pct"/>
            <w:tcBorders>
              <w:top w:val="nil"/>
              <w:left w:val="nil"/>
              <w:bottom w:val="single" w:sz="4" w:space="0" w:color="auto"/>
              <w:right w:val="single" w:sz="4" w:space="0" w:color="auto"/>
            </w:tcBorders>
            <w:shd w:val="clear" w:color="auto" w:fill="auto"/>
            <w:noWrap/>
            <w:vAlign w:val="center"/>
            <w:hideMark/>
          </w:tcPr>
          <w:p w14:paraId="67DB05BC"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-0.09</w:t>
            </w:r>
          </w:p>
        </w:tc>
        <w:tc>
          <w:tcPr>
            <w:tcW w:w="906" w:type="pct"/>
            <w:tcBorders>
              <w:top w:val="nil"/>
              <w:left w:val="nil"/>
              <w:bottom w:val="single" w:sz="4" w:space="0" w:color="auto"/>
              <w:right w:val="single" w:sz="4" w:space="0" w:color="auto"/>
            </w:tcBorders>
            <w:shd w:val="clear" w:color="auto" w:fill="auto"/>
            <w:noWrap/>
            <w:vAlign w:val="center"/>
            <w:hideMark/>
          </w:tcPr>
          <w:p w14:paraId="5877ED04"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0.0%</w:t>
            </w:r>
          </w:p>
        </w:tc>
        <w:tc>
          <w:tcPr>
            <w:tcW w:w="375" w:type="pct"/>
            <w:tcBorders>
              <w:top w:val="nil"/>
              <w:left w:val="nil"/>
              <w:bottom w:val="single" w:sz="4" w:space="0" w:color="auto"/>
              <w:right w:val="single" w:sz="4" w:space="0" w:color="auto"/>
            </w:tcBorders>
            <w:vAlign w:val="center"/>
          </w:tcPr>
          <w:p w14:paraId="0BCC85A1"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0.5%</w:t>
            </w:r>
          </w:p>
        </w:tc>
      </w:tr>
      <w:tr w:rsidR="005D660E" w:rsidRPr="009A1A33" w14:paraId="01129647" w14:textId="77777777" w:rsidTr="009A1A33">
        <w:trPr>
          <w:trHeight w:val="300"/>
        </w:trPr>
        <w:tc>
          <w:tcPr>
            <w:tcW w:w="2093" w:type="pct"/>
            <w:tcBorders>
              <w:top w:val="nil"/>
              <w:left w:val="single" w:sz="4" w:space="0" w:color="auto"/>
              <w:bottom w:val="single" w:sz="4" w:space="0" w:color="auto"/>
              <w:right w:val="single" w:sz="4" w:space="0" w:color="auto"/>
            </w:tcBorders>
            <w:shd w:val="clear" w:color="auto" w:fill="auto"/>
            <w:noWrap/>
            <w:vAlign w:val="center"/>
            <w:hideMark/>
          </w:tcPr>
          <w:p w14:paraId="697C427D"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621  -  Ambulatory health care services</w:t>
            </w:r>
          </w:p>
        </w:tc>
        <w:tc>
          <w:tcPr>
            <w:tcW w:w="955" w:type="pct"/>
            <w:tcBorders>
              <w:top w:val="nil"/>
              <w:left w:val="nil"/>
              <w:bottom w:val="single" w:sz="4" w:space="0" w:color="auto"/>
              <w:right w:val="single" w:sz="4" w:space="0" w:color="auto"/>
            </w:tcBorders>
            <w:shd w:val="clear" w:color="auto" w:fill="auto"/>
            <w:noWrap/>
            <w:vAlign w:val="center"/>
            <w:hideMark/>
          </w:tcPr>
          <w:p w14:paraId="5F0FAF04"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-4.30</w:t>
            </w:r>
          </w:p>
        </w:tc>
        <w:tc>
          <w:tcPr>
            <w:tcW w:w="671" w:type="pct"/>
            <w:tcBorders>
              <w:top w:val="nil"/>
              <w:left w:val="nil"/>
              <w:bottom w:val="single" w:sz="4" w:space="0" w:color="auto"/>
              <w:right w:val="single" w:sz="4" w:space="0" w:color="auto"/>
            </w:tcBorders>
            <w:shd w:val="clear" w:color="auto" w:fill="auto"/>
            <w:noWrap/>
            <w:vAlign w:val="center"/>
            <w:hideMark/>
          </w:tcPr>
          <w:p w14:paraId="77BA2516"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-0.32</w:t>
            </w:r>
          </w:p>
        </w:tc>
        <w:tc>
          <w:tcPr>
            <w:tcW w:w="906" w:type="pct"/>
            <w:tcBorders>
              <w:top w:val="nil"/>
              <w:left w:val="nil"/>
              <w:bottom w:val="single" w:sz="4" w:space="0" w:color="auto"/>
              <w:right w:val="single" w:sz="4" w:space="0" w:color="auto"/>
            </w:tcBorders>
            <w:shd w:val="clear" w:color="auto" w:fill="auto"/>
            <w:noWrap/>
            <w:vAlign w:val="center"/>
            <w:hideMark/>
          </w:tcPr>
          <w:p w14:paraId="3B2DA7C4"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-0.2%</w:t>
            </w:r>
          </w:p>
        </w:tc>
        <w:tc>
          <w:tcPr>
            <w:tcW w:w="375" w:type="pct"/>
            <w:tcBorders>
              <w:top w:val="nil"/>
              <w:left w:val="nil"/>
              <w:bottom w:val="single" w:sz="4" w:space="0" w:color="auto"/>
              <w:right w:val="single" w:sz="4" w:space="0" w:color="auto"/>
            </w:tcBorders>
            <w:vAlign w:val="center"/>
          </w:tcPr>
          <w:p w14:paraId="6189DDE5"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0.6%</w:t>
            </w:r>
          </w:p>
        </w:tc>
      </w:tr>
      <w:tr w:rsidR="005D660E" w:rsidRPr="009A1A33" w14:paraId="1DB5D2A4" w14:textId="77777777" w:rsidTr="009A1A33">
        <w:trPr>
          <w:trHeight w:val="300"/>
        </w:trPr>
        <w:tc>
          <w:tcPr>
            <w:tcW w:w="2093" w:type="pct"/>
            <w:tcBorders>
              <w:top w:val="nil"/>
              <w:left w:val="single" w:sz="4" w:space="0" w:color="auto"/>
              <w:bottom w:val="single" w:sz="4" w:space="0" w:color="auto"/>
              <w:right w:val="single" w:sz="4" w:space="0" w:color="auto"/>
            </w:tcBorders>
            <w:shd w:val="clear" w:color="auto" w:fill="auto"/>
            <w:noWrap/>
            <w:vAlign w:val="center"/>
            <w:hideMark/>
          </w:tcPr>
          <w:p w14:paraId="411BCD7A"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622  -  Hospitals; private</w:t>
            </w:r>
          </w:p>
        </w:tc>
        <w:tc>
          <w:tcPr>
            <w:tcW w:w="955" w:type="pct"/>
            <w:tcBorders>
              <w:top w:val="nil"/>
              <w:left w:val="nil"/>
              <w:bottom w:val="single" w:sz="4" w:space="0" w:color="auto"/>
              <w:right w:val="single" w:sz="4" w:space="0" w:color="auto"/>
            </w:tcBorders>
            <w:shd w:val="clear" w:color="auto" w:fill="auto"/>
            <w:noWrap/>
            <w:vAlign w:val="center"/>
            <w:hideMark/>
          </w:tcPr>
          <w:p w14:paraId="62A69730"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-8.51</w:t>
            </w:r>
          </w:p>
        </w:tc>
        <w:tc>
          <w:tcPr>
            <w:tcW w:w="671" w:type="pct"/>
            <w:tcBorders>
              <w:top w:val="nil"/>
              <w:left w:val="nil"/>
              <w:bottom w:val="single" w:sz="4" w:space="0" w:color="auto"/>
              <w:right w:val="single" w:sz="4" w:space="0" w:color="auto"/>
            </w:tcBorders>
            <w:shd w:val="clear" w:color="auto" w:fill="auto"/>
            <w:noWrap/>
            <w:vAlign w:val="center"/>
            <w:hideMark/>
          </w:tcPr>
          <w:p w14:paraId="2C02F7E3"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-0.06</w:t>
            </w:r>
          </w:p>
        </w:tc>
        <w:tc>
          <w:tcPr>
            <w:tcW w:w="906" w:type="pct"/>
            <w:tcBorders>
              <w:top w:val="nil"/>
              <w:left w:val="nil"/>
              <w:bottom w:val="single" w:sz="4" w:space="0" w:color="auto"/>
              <w:right w:val="single" w:sz="4" w:space="0" w:color="auto"/>
            </w:tcBorders>
            <w:shd w:val="clear" w:color="auto" w:fill="auto"/>
            <w:noWrap/>
            <w:vAlign w:val="center"/>
            <w:hideMark/>
          </w:tcPr>
          <w:p w14:paraId="08EC8514"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0.0%</w:t>
            </w:r>
          </w:p>
        </w:tc>
        <w:tc>
          <w:tcPr>
            <w:tcW w:w="375" w:type="pct"/>
            <w:tcBorders>
              <w:top w:val="nil"/>
              <w:left w:val="nil"/>
              <w:bottom w:val="single" w:sz="4" w:space="0" w:color="auto"/>
              <w:right w:val="single" w:sz="4" w:space="0" w:color="auto"/>
            </w:tcBorders>
            <w:vAlign w:val="center"/>
          </w:tcPr>
          <w:p w14:paraId="74B9F9EC"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0.4%</w:t>
            </w:r>
          </w:p>
        </w:tc>
      </w:tr>
      <w:tr w:rsidR="005D660E" w:rsidRPr="009A1A33" w14:paraId="00BAE3FA" w14:textId="77777777" w:rsidTr="009A1A33">
        <w:trPr>
          <w:trHeight w:val="300"/>
        </w:trPr>
        <w:tc>
          <w:tcPr>
            <w:tcW w:w="2093" w:type="pct"/>
            <w:tcBorders>
              <w:top w:val="nil"/>
              <w:left w:val="single" w:sz="4" w:space="0" w:color="auto"/>
              <w:bottom w:val="single" w:sz="4" w:space="0" w:color="auto"/>
              <w:right w:val="single" w:sz="4" w:space="0" w:color="auto"/>
            </w:tcBorders>
            <w:shd w:val="clear" w:color="auto" w:fill="auto"/>
            <w:noWrap/>
            <w:vAlign w:val="center"/>
            <w:hideMark/>
          </w:tcPr>
          <w:p w14:paraId="635E9373"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623  -  Nursing and residential care facilities</w:t>
            </w:r>
          </w:p>
        </w:tc>
        <w:tc>
          <w:tcPr>
            <w:tcW w:w="955" w:type="pct"/>
            <w:tcBorders>
              <w:top w:val="nil"/>
              <w:left w:val="nil"/>
              <w:bottom w:val="single" w:sz="4" w:space="0" w:color="auto"/>
              <w:right w:val="single" w:sz="4" w:space="0" w:color="auto"/>
            </w:tcBorders>
            <w:shd w:val="clear" w:color="auto" w:fill="auto"/>
            <w:noWrap/>
            <w:vAlign w:val="center"/>
            <w:hideMark/>
          </w:tcPr>
          <w:p w14:paraId="3E4B939F"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-7.52</w:t>
            </w:r>
          </w:p>
        </w:tc>
        <w:tc>
          <w:tcPr>
            <w:tcW w:w="671" w:type="pct"/>
            <w:tcBorders>
              <w:top w:val="nil"/>
              <w:left w:val="nil"/>
              <w:bottom w:val="single" w:sz="4" w:space="0" w:color="auto"/>
              <w:right w:val="single" w:sz="4" w:space="0" w:color="auto"/>
            </w:tcBorders>
            <w:shd w:val="clear" w:color="auto" w:fill="auto"/>
            <w:noWrap/>
            <w:vAlign w:val="center"/>
            <w:hideMark/>
          </w:tcPr>
          <w:p w14:paraId="746B035D"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-0.24</w:t>
            </w:r>
          </w:p>
        </w:tc>
        <w:tc>
          <w:tcPr>
            <w:tcW w:w="906" w:type="pct"/>
            <w:tcBorders>
              <w:top w:val="nil"/>
              <w:left w:val="nil"/>
              <w:bottom w:val="single" w:sz="4" w:space="0" w:color="auto"/>
              <w:right w:val="single" w:sz="4" w:space="0" w:color="auto"/>
            </w:tcBorders>
            <w:shd w:val="clear" w:color="auto" w:fill="auto"/>
            <w:noWrap/>
            <w:vAlign w:val="center"/>
            <w:hideMark/>
          </w:tcPr>
          <w:p w14:paraId="486D075D"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-0.6%</w:t>
            </w:r>
          </w:p>
        </w:tc>
        <w:tc>
          <w:tcPr>
            <w:tcW w:w="375" w:type="pct"/>
            <w:tcBorders>
              <w:top w:val="nil"/>
              <w:left w:val="nil"/>
              <w:bottom w:val="single" w:sz="4" w:space="0" w:color="auto"/>
              <w:right w:val="single" w:sz="4" w:space="0" w:color="auto"/>
            </w:tcBorders>
            <w:vAlign w:val="center"/>
          </w:tcPr>
          <w:p w14:paraId="19C048F0"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2.7%</w:t>
            </w:r>
          </w:p>
        </w:tc>
      </w:tr>
      <w:tr w:rsidR="005D660E" w:rsidRPr="009A1A33" w14:paraId="74AC6AAB" w14:textId="77777777" w:rsidTr="009A1A33">
        <w:trPr>
          <w:trHeight w:val="300"/>
        </w:trPr>
        <w:tc>
          <w:tcPr>
            <w:tcW w:w="2093" w:type="pct"/>
            <w:tcBorders>
              <w:top w:val="nil"/>
              <w:left w:val="single" w:sz="4" w:space="0" w:color="auto"/>
              <w:bottom w:val="single" w:sz="4" w:space="0" w:color="auto"/>
              <w:right w:val="single" w:sz="4" w:space="0" w:color="auto"/>
            </w:tcBorders>
            <w:shd w:val="clear" w:color="auto" w:fill="auto"/>
            <w:noWrap/>
            <w:vAlign w:val="center"/>
            <w:hideMark/>
          </w:tcPr>
          <w:p w14:paraId="1CC8978F"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624  -  Social assistance</w:t>
            </w:r>
          </w:p>
        </w:tc>
        <w:tc>
          <w:tcPr>
            <w:tcW w:w="955" w:type="pct"/>
            <w:tcBorders>
              <w:top w:val="nil"/>
              <w:left w:val="nil"/>
              <w:bottom w:val="single" w:sz="4" w:space="0" w:color="auto"/>
              <w:right w:val="single" w:sz="4" w:space="0" w:color="auto"/>
            </w:tcBorders>
            <w:shd w:val="clear" w:color="auto" w:fill="auto"/>
            <w:noWrap/>
            <w:vAlign w:val="center"/>
            <w:hideMark/>
          </w:tcPr>
          <w:p w14:paraId="566B0318"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-5.19</w:t>
            </w:r>
          </w:p>
        </w:tc>
        <w:tc>
          <w:tcPr>
            <w:tcW w:w="671" w:type="pct"/>
            <w:tcBorders>
              <w:top w:val="nil"/>
              <w:left w:val="nil"/>
              <w:bottom w:val="single" w:sz="4" w:space="0" w:color="auto"/>
              <w:right w:val="single" w:sz="4" w:space="0" w:color="auto"/>
            </w:tcBorders>
            <w:shd w:val="clear" w:color="auto" w:fill="auto"/>
            <w:noWrap/>
            <w:vAlign w:val="center"/>
            <w:hideMark/>
          </w:tcPr>
          <w:p w14:paraId="62629342"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-0.19</w:t>
            </w:r>
          </w:p>
        </w:tc>
        <w:tc>
          <w:tcPr>
            <w:tcW w:w="906" w:type="pct"/>
            <w:tcBorders>
              <w:top w:val="nil"/>
              <w:left w:val="nil"/>
              <w:bottom w:val="single" w:sz="4" w:space="0" w:color="auto"/>
              <w:right w:val="single" w:sz="4" w:space="0" w:color="auto"/>
            </w:tcBorders>
            <w:shd w:val="clear" w:color="auto" w:fill="auto"/>
            <w:noWrap/>
            <w:vAlign w:val="center"/>
            <w:hideMark/>
          </w:tcPr>
          <w:p w14:paraId="7AB843E8"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-0.3%</w:t>
            </w:r>
          </w:p>
        </w:tc>
        <w:tc>
          <w:tcPr>
            <w:tcW w:w="375" w:type="pct"/>
            <w:tcBorders>
              <w:top w:val="nil"/>
              <w:left w:val="nil"/>
              <w:bottom w:val="single" w:sz="4" w:space="0" w:color="auto"/>
              <w:right w:val="single" w:sz="4" w:space="0" w:color="auto"/>
            </w:tcBorders>
            <w:vAlign w:val="center"/>
          </w:tcPr>
          <w:p w14:paraId="0A1221EE"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1.5%</w:t>
            </w:r>
          </w:p>
        </w:tc>
      </w:tr>
      <w:tr w:rsidR="005D660E" w:rsidRPr="009A1A33" w14:paraId="10408A1F" w14:textId="77777777" w:rsidTr="009A1A33">
        <w:trPr>
          <w:trHeight w:val="300"/>
        </w:trPr>
        <w:tc>
          <w:tcPr>
            <w:tcW w:w="2093" w:type="pct"/>
            <w:tcBorders>
              <w:top w:val="nil"/>
              <w:left w:val="single" w:sz="4" w:space="0" w:color="auto"/>
              <w:bottom w:val="single" w:sz="4" w:space="0" w:color="auto"/>
              <w:right w:val="single" w:sz="4" w:space="0" w:color="auto"/>
            </w:tcBorders>
            <w:shd w:val="clear" w:color="auto" w:fill="auto"/>
            <w:noWrap/>
            <w:vAlign w:val="center"/>
            <w:hideMark/>
          </w:tcPr>
          <w:p w14:paraId="15851FB4"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711  -  Performing arts and spectator sports</w:t>
            </w:r>
          </w:p>
        </w:tc>
        <w:tc>
          <w:tcPr>
            <w:tcW w:w="955" w:type="pct"/>
            <w:tcBorders>
              <w:top w:val="nil"/>
              <w:left w:val="nil"/>
              <w:bottom w:val="single" w:sz="4" w:space="0" w:color="auto"/>
              <w:right w:val="single" w:sz="4" w:space="0" w:color="auto"/>
            </w:tcBorders>
            <w:shd w:val="clear" w:color="auto" w:fill="auto"/>
            <w:noWrap/>
            <w:vAlign w:val="center"/>
            <w:hideMark/>
          </w:tcPr>
          <w:p w14:paraId="2F1E005A"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-1.98</w:t>
            </w:r>
          </w:p>
        </w:tc>
        <w:tc>
          <w:tcPr>
            <w:tcW w:w="671" w:type="pct"/>
            <w:tcBorders>
              <w:top w:val="nil"/>
              <w:left w:val="nil"/>
              <w:bottom w:val="single" w:sz="4" w:space="0" w:color="auto"/>
              <w:right w:val="single" w:sz="4" w:space="0" w:color="auto"/>
            </w:tcBorders>
            <w:shd w:val="clear" w:color="auto" w:fill="auto"/>
            <w:noWrap/>
            <w:vAlign w:val="center"/>
            <w:hideMark/>
          </w:tcPr>
          <w:p w14:paraId="2D004CDF"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-0.16</w:t>
            </w:r>
          </w:p>
        </w:tc>
        <w:tc>
          <w:tcPr>
            <w:tcW w:w="906" w:type="pct"/>
            <w:tcBorders>
              <w:top w:val="nil"/>
              <w:left w:val="nil"/>
              <w:bottom w:val="single" w:sz="4" w:space="0" w:color="auto"/>
              <w:right w:val="single" w:sz="4" w:space="0" w:color="auto"/>
            </w:tcBorders>
            <w:shd w:val="clear" w:color="auto" w:fill="auto"/>
            <w:noWrap/>
            <w:vAlign w:val="center"/>
            <w:hideMark/>
          </w:tcPr>
          <w:p w14:paraId="7F91C81F"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-0.3%</w:t>
            </w:r>
          </w:p>
        </w:tc>
        <w:tc>
          <w:tcPr>
            <w:tcW w:w="375" w:type="pct"/>
            <w:tcBorders>
              <w:top w:val="nil"/>
              <w:left w:val="nil"/>
              <w:bottom w:val="single" w:sz="4" w:space="0" w:color="auto"/>
              <w:right w:val="single" w:sz="4" w:space="0" w:color="auto"/>
            </w:tcBorders>
            <w:vAlign w:val="center"/>
          </w:tcPr>
          <w:p w14:paraId="16B7478C"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1.6%</w:t>
            </w:r>
          </w:p>
        </w:tc>
      </w:tr>
      <w:tr w:rsidR="005D660E" w:rsidRPr="009A1A33" w14:paraId="688DC41C" w14:textId="77777777" w:rsidTr="009A1A33">
        <w:trPr>
          <w:trHeight w:val="300"/>
        </w:trPr>
        <w:tc>
          <w:tcPr>
            <w:tcW w:w="2093" w:type="pct"/>
            <w:tcBorders>
              <w:top w:val="nil"/>
              <w:left w:val="single" w:sz="4" w:space="0" w:color="auto"/>
              <w:bottom w:val="single" w:sz="4" w:space="0" w:color="auto"/>
              <w:right w:val="single" w:sz="4" w:space="0" w:color="auto"/>
            </w:tcBorders>
            <w:shd w:val="clear" w:color="auto" w:fill="auto"/>
            <w:noWrap/>
            <w:vAlign w:val="center"/>
            <w:hideMark/>
          </w:tcPr>
          <w:p w14:paraId="16FF8CF3"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lastRenderedPageBreak/>
              <w:t>712  -  Museums, historical sites, zoos, and parks</w:t>
            </w:r>
          </w:p>
        </w:tc>
        <w:tc>
          <w:tcPr>
            <w:tcW w:w="955" w:type="pct"/>
            <w:tcBorders>
              <w:top w:val="nil"/>
              <w:left w:val="nil"/>
              <w:bottom w:val="single" w:sz="4" w:space="0" w:color="auto"/>
              <w:right w:val="single" w:sz="4" w:space="0" w:color="auto"/>
            </w:tcBorders>
            <w:shd w:val="clear" w:color="auto" w:fill="auto"/>
            <w:noWrap/>
            <w:vAlign w:val="center"/>
            <w:hideMark/>
          </w:tcPr>
          <w:p w14:paraId="64CEF6E7"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-4.58</w:t>
            </w:r>
          </w:p>
        </w:tc>
        <w:tc>
          <w:tcPr>
            <w:tcW w:w="671" w:type="pct"/>
            <w:tcBorders>
              <w:top w:val="nil"/>
              <w:left w:val="nil"/>
              <w:bottom w:val="single" w:sz="4" w:space="0" w:color="auto"/>
              <w:right w:val="single" w:sz="4" w:space="0" w:color="auto"/>
            </w:tcBorders>
            <w:shd w:val="clear" w:color="auto" w:fill="auto"/>
            <w:noWrap/>
            <w:vAlign w:val="center"/>
            <w:hideMark/>
          </w:tcPr>
          <w:p w14:paraId="72E2F7B2"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-0.09</w:t>
            </w:r>
          </w:p>
        </w:tc>
        <w:tc>
          <w:tcPr>
            <w:tcW w:w="906" w:type="pct"/>
            <w:tcBorders>
              <w:top w:val="nil"/>
              <w:left w:val="nil"/>
              <w:bottom w:val="single" w:sz="4" w:space="0" w:color="auto"/>
              <w:right w:val="single" w:sz="4" w:space="0" w:color="auto"/>
            </w:tcBorders>
            <w:shd w:val="clear" w:color="auto" w:fill="auto"/>
            <w:noWrap/>
            <w:vAlign w:val="center"/>
            <w:hideMark/>
          </w:tcPr>
          <w:p w14:paraId="08456A91"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-0.1%</w:t>
            </w:r>
          </w:p>
        </w:tc>
        <w:tc>
          <w:tcPr>
            <w:tcW w:w="375" w:type="pct"/>
            <w:tcBorders>
              <w:top w:val="nil"/>
              <w:left w:val="nil"/>
              <w:bottom w:val="single" w:sz="4" w:space="0" w:color="auto"/>
              <w:right w:val="single" w:sz="4" w:space="0" w:color="auto"/>
            </w:tcBorders>
            <w:vAlign w:val="center"/>
          </w:tcPr>
          <w:p w14:paraId="6A15FCBD"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1.6%</w:t>
            </w:r>
          </w:p>
        </w:tc>
      </w:tr>
      <w:tr w:rsidR="005D660E" w:rsidRPr="009A1A33" w14:paraId="55E8CE93" w14:textId="77777777" w:rsidTr="009A1A33">
        <w:trPr>
          <w:trHeight w:val="300"/>
        </w:trPr>
        <w:tc>
          <w:tcPr>
            <w:tcW w:w="2093" w:type="pct"/>
            <w:tcBorders>
              <w:top w:val="nil"/>
              <w:left w:val="single" w:sz="4" w:space="0" w:color="auto"/>
              <w:bottom w:val="single" w:sz="4" w:space="0" w:color="auto"/>
              <w:right w:val="single" w:sz="4" w:space="0" w:color="auto"/>
            </w:tcBorders>
            <w:shd w:val="clear" w:color="auto" w:fill="auto"/>
            <w:noWrap/>
            <w:vAlign w:val="center"/>
            <w:hideMark/>
          </w:tcPr>
          <w:p w14:paraId="21A96421"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713  -  Amusement, gambling, and recreation</w:t>
            </w:r>
          </w:p>
        </w:tc>
        <w:tc>
          <w:tcPr>
            <w:tcW w:w="955" w:type="pct"/>
            <w:tcBorders>
              <w:top w:val="nil"/>
              <w:left w:val="nil"/>
              <w:bottom w:val="single" w:sz="4" w:space="0" w:color="auto"/>
              <w:right w:val="single" w:sz="4" w:space="0" w:color="auto"/>
            </w:tcBorders>
            <w:shd w:val="clear" w:color="auto" w:fill="auto"/>
            <w:noWrap/>
            <w:vAlign w:val="center"/>
            <w:hideMark/>
          </w:tcPr>
          <w:p w14:paraId="7A73066C"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-2.52</w:t>
            </w:r>
          </w:p>
        </w:tc>
        <w:tc>
          <w:tcPr>
            <w:tcW w:w="671" w:type="pct"/>
            <w:tcBorders>
              <w:top w:val="nil"/>
              <w:left w:val="nil"/>
              <w:bottom w:val="single" w:sz="4" w:space="0" w:color="auto"/>
              <w:right w:val="single" w:sz="4" w:space="0" w:color="auto"/>
            </w:tcBorders>
            <w:shd w:val="clear" w:color="auto" w:fill="auto"/>
            <w:noWrap/>
            <w:vAlign w:val="center"/>
            <w:hideMark/>
          </w:tcPr>
          <w:p w14:paraId="29CA6588"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-0.18</w:t>
            </w:r>
          </w:p>
        </w:tc>
        <w:tc>
          <w:tcPr>
            <w:tcW w:w="906" w:type="pct"/>
            <w:tcBorders>
              <w:top w:val="nil"/>
              <w:left w:val="nil"/>
              <w:bottom w:val="single" w:sz="4" w:space="0" w:color="auto"/>
              <w:right w:val="single" w:sz="4" w:space="0" w:color="auto"/>
            </w:tcBorders>
            <w:shd w:val="clear" w:color="auto" w:fill="auto"/>
            <w:noWrap/>
            <w:vAlign w:val="center"/>
            <w:hideMark/>
          </w:tcPr>
          <w:p w14:paraId="54A5D577"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-0.7%</w:t>
            </w:r>
          </w:p>
        </w:tc>
        <w:tc>
          <w:tcPr>
            <w:tcW w:w="375" w:type="pct"/>
            <w:tcBorders>
              <w:top w:val="nil"/>
              <w:left w:val="nil"/>
              <w:bottom w:val="single" w:sz="4" w:space="0" w:color="auto"/>
              <w:right w:val="single" w:sz="4" w:space="0" w:color="auto"/>
            </w:tcBorders>
            <w:vAlign w:val="center"/>
          </w:tcPr>
          <w:p w14:paraId="78FB25DF"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4.2%</w:t>
            </w:r>
          </w:p>
        </w:tc>
      </w:tr>
      <w:tr w:rsidR="005D660E" w:rsidRPr="009A1A33" w14:paraId="46B5E069" w14:textId="77777777" w:rsidTr="009A1A33">
        <w:trPr>
          <w:trHeight w:val="300"/>
        </w:trPr>
        <w:tc>
          <w:tcPr>
            <w:tcW w:w="2093" w:type="pct"/>
            <w:tcBorders>
              <w:top w:val="nil"/>
              <w:left w:val="single" w:sz="4" w:space="0" w:color="auto"/>
              <w:bottom w:val="single" w:sz="4" w:space="0" w:color="auto"/>
              <w:right w:val="single" w:sz="4" w:space="0" w:color="auto"/>
            </w:tcBorders>
            <w:shd w:val="clear" w:color="auto" w:fill="auto"/>
            <w:noWrap/>
            <w:vAlign w:val="center"/>
            <w:hideMark/>
          </w:tcPr>
          <w:p w14:paraId="5F49D343"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721  -  Accommodation</w:t>
            </w:r>
          </w:p>
        </w:tc>
        <w:tc>
          <w:tcPr>
            <w:tcW w:w="955" w:type="pct"/>
            <w:tcBorders>
              <w:top w:val="nil"/>
              <w:left w:val="nil"/>
              <w:bottom w:val="single" w:sz="4" w:space="0" w:color="auto"/>
              <w:right w:val="single" w:sz="4" w:space="0" w:color="auto"/>
            </w:tcBorders>
            <w:shd w:val="clear" w:color="auto" w:fill="auto"/>
            <w:noWrap/>
            <w:vAlign w:val="center"/>
            <w:hideMark/>
          </w:tcPr>
          <w:p w14:paraId="2E3AA6D4"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-2.02</w:t>
            </w:r>
          </w:p>
        </w:tc>
        <w:tc>
          <w:tcPr>
            <w:tcW w:w="671" w:type="pct"/>
            <w:tcBorders>
              <w:top w:val="nil"/>
              <w:left w:val="nil"/>
              <w:bottom w:val="single" w:sz="4" w:space="0" w:color="auto"/>
              <w:right w:val="single" w:sz="4" w:space="0" w:color="auto"/>
            </w:tcBorders>
            <w:shd w:val="clear" w:color="auto" w:fill="auto"/>
            <w:noWrap/>
            <w:vAlign w:val="center"/>
            <w:hideMark/>
          </w:tcPr>
          <w:p w14:paraId="1B1EE5AA"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-0.16</w:t>
            </w:r>
          </w:p>
        </w:tc>
        <w:tc>
          <w:tcPr>
            <w:tcW w:w="906" w:type="pct"/>
            <w:tcBorders>
              <w:top w:val="nil"/>
              <w:left w:val="nil"/>
              <w:bottom w:val="single" w:sz="4" w:space="0" w:color="auto"/>
              <w:right w:val="single" w:sz="4" w:space="0" w:color="auto"/>
            </w:tcBorders>
            <w:shd w:val="clear" w:color="auto" w:fill="auto"/>
            <w:noWrap/>
            <w:vAlign w:val="center"/>
            <w:hideMark/>
          </w:tcPr>
          <w:p w14:paraId="0B5D6BA6"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-0.3%</w:t>
            </w:r>
          </w:p>
        </w:tc>
        <w:tc>
          <w:tcPr>
            <w:tcW w:w="375" w:type="pct"/>
            <w:tcBorders>
              <w:top w:val="nil"/>
              <w:left w:val="nil"/>
              <w:bottom w:val="single" w:sz="4" w:space="0" w:color="auto"/>
              <w:right w:val="single" w:sz="4" w:space="0" w:color="auto"/>
            </w:tcBorders>
            <w:vAlign w:val="center"/>
          </w:tcPr>
          <w:p w14:paraId="19F77E52"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2.2%</w:t>
            </w:r>
          </w:p>
        </w:tc>
      </w:tr>
      <w:tr w:rsidR="005D660E" w:rsidRPr="009A1A33" w14:paraId="6B16560B" w14:textId="77777777" w:rsidTr="009A1A33">
        <w:trPr>
          <w:trHeight w:val="300"/>
        </w:trPr>
        <w:tc>
          <w:tcPr>
            <w:tcW w:w="2093" w:type="pct"/>
            <w:tcBorders>
              <w:top w:val="nil"/>
              <w:left w:val="single" w:sz="4" w:space="0" w:color="auto"/>
              <w:bottom w:val="single" w:sz="4" w:space="0" w:color="auto"/>
              <w:right w:val="single" w:sz="4" w:space="0" w:color="auto"/>
            </w:tcBorders>
            <w:shd w:val="clear" w:color="auto" w:fill="auto"/>
            <w:noWrap/>
            <w:vAlign w:val="center"/>
            <w:hideMark/>
          </w:tcPr>
          <w:p w14:paraId="4A6F0711"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722  -  Food services and drinking places</w:t>
            </w:r>
          </w:p>
        </w:tc>
        <w:tc>
          <w:tcPr>
            <w:tcW w:w="955" w:type="pct"/>
            <w:tcBorders>
              <w:top w:val="nil"/>
              <w:left w:val="nil"/>
              <w:bottom w:val="single" w:sz="4" w:space="0" w:color="auto"/>
              <w:right w:val="single" w:sz="4" w:space="0" w:color="auto"/>
            </w:tcBorders>
            <w:shd w:val="clear" w:color="auto" w:fill="auto"/>
            <w:noWrap/>
            <w:vAlign w:val="center"/>
            <w:hideMark/>
          </w:tcPr>
          <w:p w14:paraId="206EF8BC"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-2.89</w:t>
            </w:r>
          </w:p>
        </w:tc>
        <w:tc>
          <w:tcPr>
            <w:tcW w:w="671" w:type="pct"/>
            <w:tcBorders>
              <w:top w:val="nil"/>
              <w:left w:val="nil"/>
              <w:bottom w:val="single" w:sz="4" w:space="0" w:color="auto"/>
              <w:right w:val="single" w:sz="4" w:space="0" w:color="auto"/>
            </w:tcBorders>
            <w:shd w:val="clear" w:color="auto" w:fill="auto"/>
            <w:noWrap/>
            <w:vAlign w:val="center"/>
            <w:hideMark/>
          </w:tcPr>
          <w:p w14:paraId="5C490ACE"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-0.22</w:t>
            </w:r>
          </w:p>
        </w:tc>
        <w:tc>
          <w:tcPr>
            <w:tcW w:w="906" w:type="pct"/>
            <w:tcBorders>
              <w:top w:val="nil"/>
              <w:left w:val="nil"/>
              <w:bottom w:val="single" w:sz="4" w:space="0" w:color="auto"/>
              <w:right w:val="single" w:sz="4" w:space="0" w:color="auto"/>
            </w:tcBorders>
            <w:shd w:val="clear" w:color="auto" w:fill="auto"/>
            <w:noWrap/>
            <w:vAlign w:val="center"/>
            <w:hideMark/>
          </w:tcPr>
          <w:p w14:paraId="793057C0"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-1.4%</w:t>
            </w:r>
          </w:p>
        </w:tc>
        <w:tc>
          <w:tcPr>
            <w:tcW w:w="375" w:type="pct"/>
            <w:tcBorders>
              <w:top w:val="nil"/>
              <w:left w:val="nil"/>
              <w:bottom w:val="single" w:sz="4" w:space="0" w:color="auto"/>
              <w:right w:val="single" w:sz="4" w:space="0" w:color="auto"/>
            </w:tcBorders>
            <w:vAlign w:val="center"/>
          </w:tcPr>
          <w:p w14:paraId="4EA35590"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6.4%</w:t>
            </w:r>
          </w:p>
        </w:tc>
      </w:tr>
      <w:tr w:rsidR="005D660E" w:rsidRPr="009A1A33" w14:paraId="3D4A3001" w14:textId="77777777" w:rsidTr="009A1A33">
        <w:trPr>
          <w:trHeight w:val="300"/>
        </w:trPr>
        <w:tc>
          <w:tcPr>
            <w:tcW w:w="2093" w:type="pct"/>
            <w:tcBorders>
              <w:top w:val="nil"/>
              <w:left w:val="single" w:sz="4" w:space="0" w:color="auto"/>
              <w:bottom w:val="single" w:sz="4" w:space="0" w:color="auto"/>
              <w:right w:val="single" w:sz="4" w:space="0" w:color="auto"/>
            </w:tcBorders>
            <w:shd w:val="clear" w:color="auto" w:fill="auto"/>
            <w:noWrap/>
            <w:vAlign w:val="center"/>
            <w:hideMark/>
          </w:tcPr>
          <w:p w14:paraId="52EFD0F1"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811  -  Repair and maintenance</w:t>
            </w:r>
          </w:p>
        </w:tc>
        <w:tc>
          <w:tcPr>
            <w:tcW w:w="955" w:type="pct"/>
            <w:tcBorders>
              <w:top w:val="nil"/>
              <w:left w:val="nil"/>
              <w:bottom w:val="single" w:sz="4" w:space="0" w:color="auto"/>
              <w:right w:val="single" w:sz="4" w:space="0" w:color="auto"/>
            </w:tcBorders>
            <w:shd w:val="clear" w:color="auto" w:fill="auto"/>
            <w:noWrap/>
            <w:vAlign w:val="center"/>
            <w:hideMark/>
          </w:tcPr>
          <w:p w14:paraId="552F8B96"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-2.98</w:t>
            </w:r>
          </w:p>
        </w:tc>
        <w:tc>
          <w:tcPr>
            <w:tcW w:w="671" w:type="pct"/>
            <w:tcBorders>
              <w:top w:val="nil"/>
              <w:left w:val="nil"/>
              <w:bottom w:val="single" w:sz="4" w:space="0" w:color="auto"/>
              <w:right w:val="single" w:sz="4" w:space="0" w:color="auto"/>
            </w:tcBorders>
            <w:shd w:val="clear" w:color="auto" w:fill="auto"/>
            <w:noWrap/>
            <w:vAlign w:val="center"/>
            <w:hideMark/>
          </w:tcPr>
          <w:p w14:paraId="1C0AD1C3"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-0.27</w:t>
            </w:r>
          </w:p>
        </w:tc>
        <w:tc>
          <w:tcPr>
            <w:tcW w:w="906" w:type="pct"/>
            <w:tcBorders>
              <w:top w:val="nil"/>
              <w:left w:val="nil"/>
              <w:bottom w:val="single" w:sz="4" w:space="0" w:color="auto"/>
              <w:right w:val="single" w:sz="4" w:space="0" w:color="auto"/>
            </w:tcBorders>
            <w:shd w:val="clear" w:color="auto" w:fill="auto"/>
            <w:noWrap/>
            <w:vAlign w:val="center"/>
            <w:hideMark/>
          </w:tcPr>
          <w:p w14:paraId="661DD844"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-0.5%</w:t>
            </w:r>
          </w:p>
        </w:tc>
        <w:tc>
          <w:tcPr>
            <w:tcW w:w="375" w:type="pct"/>
            <w:tcBorders>
              <w:top w:val="nil"/>
              <w:left w:val="nil"/>
              <w:bottom w:val="single" w:sz="4" w:space="0" w:color="auto"/>
              <w:right w:val="single" w:sz="4" w:space="0" w:color="auto"/>
            </w:tcBorders>
            <w:vAlign w:val="center"/>
          </w:tcPr>
          <w:p w14:paraId="21FE8BE9"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1.8%</w:t>
            </w:r>
          </w:p>
        </w:tc>
      </w:tr>
      <w:tr w:rsidR="005D660E" w:rsidRPr="009A1A33" w14:paraId="5D413732" w14:textId="77777777" w:rsidTr="009A1A33">
        <w:trPr>
          <w:trHeight w:val="300"/>
        </w:trPr>
        <w:tc>
          <w:tcPr>
            <w:tcW w:w="2093" w:type="pct"/>
            <w:tcBorders>
              <w:top w:val="nil"/>
              <w:left w:val="single" w:sz="4" w:space="0" w:color="auto"/>
              <w:bottom w:val="single" w:sz="4" w:space="0" w:color="auto"/>
              <w:right w:val="single" w:sz="4" w:space="0" w:color="auto"/>
            </w:tcBorders>
            <w:shd w:val="clear" w:color="auto" w:fill="auto"/>
            <w:noWrap/>
            <w:vAlign w:val="center"/>
            <w:hideMark/>
          </w:tcPr>
          <w:p w14:paraId="62205F57"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812  -  Personal and laundry services</w:t>
            </w:r>
          </w:p>
        </w:tc>
        <w:tc>
          <w:tcPr>
            <w:tcW w:w="955" w:type="pct"/>
            <w:tcBorders>
              <w:top w:val="nil"/>
              <w:left w:val="nil"/>
              <w:bottom w:val="single" w:sz="4" w:space="0" w:color="auto"/>
              <w:right w:val="single" w:sz="4" w:space="0" w:color="auto"/>
            </w:tcBorders>
            <w:shd w:val="clear" w:color="auto" w:fill="auto"/>
            <w:noWrap/>
            <w:vAlign w:val="center"/>
            <w:hideMark/>
          </w:tcPr>
          <w:p w14:paraId="0EF689AA"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-2.15</w:t>
            </w:r>
          </w:p>
        </w:tc>
        <w:tc>
          <w:tcPr>
            <w:tcW w:w="671" w:type="pct"/>
            <w:tcBorders>
              <w:top w:val="nil"/>
              <w:left w:val="nil"/>
              <w:bottom w:val="single" w:sz="4" w:space="0" w:color="auto"/>
              <w:right w:val="single" w:sz="4" w:space="0" w:color="auto"/>
            </w:tcBorders>
            <w:shd w:val="clear" w:color="auto" w:fill="auto"/>
            <w:noWrap/>
            <w:vAlign w:val="center"/>
            <w:hideMark/>
          </w:tcPr>
          <w:p w14:paraId="230BF84E"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-0.19</w:t>
            </w:r>
          </w:p>
        </w:tc>
        <w:tc>
          <w:tcPr>
            <w:tcW w:w="906" w:type="pct"/>
            <w:tcBorders>
              <w:top w:val="nil"/>
              <w:left w:val="nil"/>
              <w:bottom w:val="single" w:sz="4" w:space="0" w:color="auto"/>
              <w:right w:val="single" w:sz="4" w:space="0" w:color="auto"/>
            </w:tcBorders>
            <w:shd w:val="clear" w:color="auto" w:fill="auto"/>
            <w:noWrap/>
            <w:vAlign w:val="center"/>
            <w:hideMark/>
          </w:tcPr>
          <w:p w14:paraId="1D418EFF"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-0.7%</w:t>
            </w:r>
          </w:p>
        </w:tc>
        <w:tc>
          <w:tcPr>
            <w:tcW w:w="375" w:type="pct"/>
            <w:tcBorders>
              <w:top w:val="nil"/>
              <w:left w:val="nil"/>
              <w:bottom w:val="single" w:sz="4" w:space="0" w:color="auto"/>
              <w:right w:val="single" w:sz="4" w:space="0" w:color="auto"/>
            </w:tcBorders>
            <w:vAlign w:val="center"/>
          </w:tcPr>
          <w:p w14:paraId="77178B20"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3.6%</w:t>
            </w:r>
          </w:p>
        </w:tc>
      </w:tr>
      <w:tr w:rsidR="005D660E" w:rsidRPr="009A1A33" w14:paraId="754D3162" w14:textId="77777777" w:rsidTr="009A1A33">
        <w:trPr>
          <w:trHeight w:val="300"/>
        </w:trPr>
        <w:tc>
          <w:tcPr>
            <w:tcW w:w="2093" w:type="pct"/>
            <w:tcBorders>
              <w:top w:val="nil"/>
              <w:left w:val="single" w:sz="4" w:space="0" w:color="auto"/>
              <w:bottom w:val="single" w:sz="4" w:space="0" w:color="auto"/>
              <w:right w:val="single" w:sz="4" w:space="0" w:color="auto"/>
            </w:tcBorders>
            <w:shd w:val="clear" w:color="auto" w:fill="auto"/>
            <w:noWrap/>
            <w:vAlign w:val="center"/>
            <w:hideMark/>
          </w:tcPr>
          <w:p w14:paraId="29EF5AA6"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813  -  Membership associations and organizations</w:t>
            </w:r>
          </w:p>
        </w:tc>
        <w:tc>
          <w:tcPr>
            <w:tcW w:w="955" w:type="pct"/>
            <w:tcBorders>
              <w:top w:val="nil"/>
              <w:left w:val="nil"/>
              <w:bottom w:val="single" w:sz="4" w:space="0" w:color="auto"/>
              <w:right w:val="single" w:sz="4" w:space="0" w:color="auto"/>
            </w:tcBorders>
            <w:shd w:val="clear" w:color="auto" w:fill="auto"/>
            <w:noWrap/>
            <w:vAlign w:val="center"/>
            <w:hideMark/>
          </w:tcPr>
          <w:p w14:paraId="5E7551D8"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-4.38</w:t>
            </w:r>
          </w:p>
        </w:tc>
        <w:tc>
          <w:tcPr>
            <w:tcW w:w="671" w:type="pct"/>
            <w:tcBorders>
              <w:top w:val="nil"/>
              <w:left w:val="nil"/>
              <w:bottom w:val="single" w:sz="4" w:space="0" w:color="auto"/>
              <w:right w:val="single" w:sz="4" w:space="0" w:color="auto"/>
            </w:tcBorders>
            <w:shd w:val="clear" w:color="auto" w:fill="auto"/>
            <w:noWrap/>
            <w:vAlign w:val="center"/>
            <w:hideMark/>
          </w:tcPr>
          <w:p w14:paraId="55D1A681"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-0.26</w:t>
            </w:r>
          </w:p>
        </w:tc>
        <w:tc>
          <w:tcPr>
            <w:tcW w:w="906" w:type="pct"/>
            <w:tcBorders>
              <w:top w:val="nil"/>
              <w:left w:val="nil"/>
              <w:bottom w:val="single" w:sz="4" w:space="0" w:color="auto"/>
              <w:right w:val="single" w:sz="4" w:space="0" w:color="auto"/>
            </w:tcBorders>
            <w:shd w:val="clear" w:color="auto" w:fill="auto"/>
            <w:noWrap/>
            <w:vAlign w:val="center"/>
            <w:hideMark/>
          </w:tcPr>
          <w:p w14:paraId="66ED974D"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-0.1%</w:t>
            </w:r>
          </w:p>
        </w:tc>
        <w:tc>
          <w:tcPr>
            <w:tcW w:w="375" w:type="pct"/>
            <w:tcBorders>
              <w:top w:val="nil"/>
              <w:left w:val="nil"/>
              <w:bottom w:val="single" w:sz="4" w:space="0" w:color="auto"/>
              <w:right w:val="single" w:sz="4" w:space="0" w:color="auto"/>
            </w:tcBorders>
            <w:vAlign w:val="center"/>
          </w:tcPr>
          <w:p w14:paraId="43D24927" w14:textId="77777777" w:rsidR="005D660E" w:rsidRPr="009A1A33" w:rsidRDefault="005D660E" w:rsidP="005D660E">
            <w:pPr>
              <w:spacing w:after="0" w:line="240" w:lineRule="auto"/>
              <w:rPr>
                <w:rFonts w:ascii="Times New Roman" w:hAnsi="Times New Roman" w:cs="Times New Roman"/>
                <w:color w:val="000000"/>
                <w:sz w:val="20"/>
                <w:szCs w:val="20"/>
              </w:rPr>
            </w:pPr>
            <w:r w:rsidRPr="009A1A33">
              <w:rPr>
                <w:rFonts w:ascii="Times New Roman" w:hAnsi="Times New Roman" w:cs="Times New Roman"/>
                <w:color w:val="000000"/>
                <w:sz w:val="20"/>
                <w:szCs w:val="20"/>
              </w:rPr>
              <w:t>0.5%</w:t>
            </w:r>
          </w:p>
        </w:tc>
      </w:tr>
    </w:tbl>
    <w:p w14:paraId="2D6C8319" w14:textId="77777777" w:rsidR="005D660E" w:rsidRDefault="005D660E" w:rsidP="005D660E">
      <w:pPr>
        <w:ind w:firstLine="720"/>
        <w:rPr>
          <w:rFonts w:ascii="Times New Roman" w:hAnsi="Times New Roman" w:cs="Times New Roman"/>
        </w:rPr>
      </w:pPr>
    </w:p>
    <w:p w14:paraId="0B9CD5FD" w14:textId="77777777" w:rsidR="005D660E" w:rsidRPr="00921D4A" w:rsidRDefault="005D660E" w:rsidP="000047EA">
      <w:pPr>
        <w:ind w:firstLine="720"/>
        <w:rPr>
          <w:rFonts w:ascii="Times New Roman" w:hAnsi="Times New Roman" w:cs="Times New Roman"/>
          <w:sz w:val="24"/>
          <w:szCs w:val="24"/>
        </w:rPr>
      </w:pPr>
    </w:p>
    <w:sectPr w:rsidR="005D660E" w:rsidRPr="00921D4A" w:rsidSect="003C4E7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696D2" w14:textId="77777777" w:rsidR="00512493" w:rsidRDefault="00512493" w:rsidP="00C269CE">
      <w:pPr>
        <w:spacing w:after="0" w:line="240" w:lineRule="auto"/>
      </w:pPr>
      <w:r>
        <w:separator/>
      </w:r>
    </w:p>
  </w:endnote>
  <w:endnote w:type="continuationSeparator" w:id="0">
    <w:p w14:paraId="4CEA5AD8" w14:textId="77777777" w:rsidR="00512493" w:rsidRDefault="00512493" w:rsidP="00C26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no Pro">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553781811"/>
      <w:docPartObj>
        <w:docPartGallery w:val="Page Numbers (Bottom of Page)"/>
        <w:docPartUnique/>
      </w:docPartObj>
    </w:sdtPr>
    <w:sdtEndPr>
      <w:rPr>
        <w:noProof/>
      </w:rPr>
    </w:sdtEndPr>
    <w:sdtContent>
      <w:p w14:paraId="19378B5C" w14:textId="5084E203" w:rsidR="007F3CAB" w:rsidRPr="00CA2BEC" w:rsidRDefault="007F3CAB">
        <w:pPr>
          <w:pStyle w:val="Footer"/>
          <w:jc w:val="center"/>
          <w:rPr>
            <w:rFonts w:ascii="Times New Roman" w:hAnsi="Times New Roman" w:cs="Times New Roman"/>
          </w:rPr>
        </w:pPr>
        <w:r w:rsidRPr="00CA2BEC">
          <w:rPr>
            <w:rFonts w:ascii="Times New Roman" w:hAnsi="Times New Roman" w:cs="Times New Roman"/>
          </w:rPr>
          <w:fldChar w:fldCharType="begin"/>
        </w:r>
        <w:r w:rsidRPr="00CA2BEC">
          <w:rPr>
            <w:rFonts w:ascii="Times New Roman" w:hAnsi="Times New Roman" w:cs="Times New Roman"/>
          </w:rPr>
          <w:instrText xml:space="preserve"> PAGE   \* MERGEFORMAT </w:instrText>
        </w:r>
        <w:r w:rsidRPr="00CA2BEC">
          <w:rPr>
            <w:rFonts w:ascii="Times New Roman" w:hAnsi="Times New Roman" w:cs="Times New Roman"/>
          </w:rPr>
          <w:fldChar w:fldCharType="separate"/>
        </w:r>
        <w:r w:rsidR="000502DB">
          <w:rPr>
            <w:rFonts w:ascii="Times New Roman" w:hAnsi="Times New Roman" w:cs="Times New Roman"/>
            <w:noProof/>
          </w:rPr>
          <w:t>1</w:t>
        </w:r>
        <w:r w:rsidRPr="00CA2BEC">
          <w:rPr>
            <w:rFonts w:ascii="Times New Roman" w:hAnsi="Times New Roman" w:cs="Times New Roman"/>
            <w:noProof/>
          </w:rPr>
          <w:fldChar w:fldCharType="end"/>
        </w:r>
      </w:p>
    </w:sdtContent>
  </w:sdt>
  <w:p w14:paraId="49DBF50F" w14:textId="77777777" w:rsidR="007F3CAB" w:rsidRDefault="007F3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2D938" w14:textId="77777777" w:rsidR="00512493" w:rsidRDefault="00512493" w:rsidP="00C269CE">
      <w:pPr>
        <w:spacing w:after="0" w:line="240" w:lineRule="auto"/>
      </w:pPr>
      <w:r>
        <w:separator/>
      </w:r>
    </w:p>
  </w:footnote>
  <w:footnote w:type="continuationSeparator" w:id="0">
    <w:p w14:paraId="42E80307" w14:textId="77777777" w:rsidR="00512493" w:rsidRDefault="00512493" w:rsidP="00C269CE">
      <w:pPr>
        <w:spacing w:after="0" w:line="240" w:lineRule="auto"/>
      </w:pPr>
      <w:r>
        <w:continuationSeparator/>
      </w:r>
    </w:p>
  </w:footnote>
  <w:footnote w:id="1">
    <w:p w14:paraId="7D11CCA5" w14:textId="501062C5" w:rsidR="007F3CAB" w:rsidRPr="000B6734" w:rsidRDefault="007F3CAB" w:rsidP="00F6639F">
      <w:pPr>
        <w:spacing w:after="0" w:line="240" w:lineRule="auto"/>
        <w:rPr>
          <w:rFonts w:ascii="Times New Roman" w:hAnsi="Times New Roman" w:cs="Times New Roman"/>
        </w:rPr>
      </w:pPr>
      <w:r w:rsidRPr="000B6734">
        <w:rPr>
          <w:rStyle w:val="FootnoteReference"/>
          <w:rFonts w:ascii="Times New Roman" w:hAnsi="Times New Roman" w:cs="Times New Roman"/>
          <w:sz w:val="20"/>
          <w:szCs w:val="20"/>
        </w:rPr>
        <w:footnoteRef/>
      </w:r>
      <w:r w:rsidRPr="000B6734">
        <w:rPr>
          <w:rFonts w:ascii="Times New Roman" w:hAnsi="Times New Roman" w:cs="Times New Roman"/>
          <w:sz w:val="20"/>
          <w:szCs w:val="20"/>
        </w:rPr>
        <w:t xml:space="preserve"> The relatively consistent non-transparency by many CGE model builders concerning the mechanics and technical inner workings of such models</w:t>
      </w:r>
      <w:r>
        <w:rPr>
          <w:rFonts w:ascii="Times New Roman" w:hAnsi="Times New Roman" w:cs="Times New Roman"/>
          <w:sz w:val="20"/>
          <w:szCs w:val="20"/>
        </w:rPr>
        <w:t xml:space="preserve"> </w:t>
      </w:r>
      <w:r w:rsidRPr="000B6734">
        <w:rPr>
          <w:rFonts w:ascii="Times New Roman" w:hAnsi="Times New Roman" w:cs="Times New Roman"/>
          <w:sz w:val="20"/>
          <w:szCs w:val="20"/>
        </w:rPr>
        <w:t>(particularly the dynamic CGE models)</w:t>
      </w:r>
      <w:r>
        <w:rPr>
          <w:rFonts w:ascii="Times New Roman" w:hAnsi="Times New Roman" w:cs="Times New Roman"/>
          <w:sz w:val="20"/>
          <w:szCs w:val="20"/>
        </w:rPr>
        <w:t xml:space="preserve"> </w:t>
      </w:r>
      <w:r w:rsidRPr="000B6734">
        <w:rPr>
          <w:rFonts w:ascii="Times New Roman" w:hAnsi="Times New Roman" w:cs="Times New Roman"/>
          <w:sz w:val="20"/>
          <w:szCs w:val="20"/>
        </w:rPr>
        <w:t>help to fuel gratuitous criticisms of CGE models by economists who have a strong preference of evaluating a model’s estimates via their standard errors and confidence intervals. CGE model builders might begin to assuage some of the justified criticisms by</w:t>
      </w:r>
      <w:r>
        <w:rPr>
          <w:rFonts w:ascii="Times New Roman" w:hAnsi="Times New Roman" w:cs="Times New Roman"/>
          <w:sz w:val="20"/>
          <w:szCs w:val="20"/>
        </w:rPr>
        <w:t>, at a minimum,</w:t>
      </w:r>
      <w:r w:rsidRPr="000B6734">
        <w:rPr>
          <w:rFonts w:ascii="Times New Roman" w:hAnsi="Times New Roman" w:cs="Times New Roman"/>
          <w:sz w:val="20"/>
          <w:szCs w:val="20"/>
        </w:rPr>
        <w:t xml:space="preserve"> revealing </w:t>
      </w:r>
      <w:r>
        <w:rPr>
          <w:rFonts w:ascii="Times New Roman" w:hAnsi="Times New Roman" w:cs="Times New Roman"/>
          <w:sz w:val="20"/>
          <w:szCs w:val="20"/>
        </w:rPr>
        <w:t xml:space="preserve">all </w:t>
      </w:r>
      <w:r w:rsidRPr="000B6734">
        <w:rPr>
          <w:rFonts w:ascii="Times New Roman" w:hAnsi="Times New Roman" w:cs="Times New Roman"/>
          <w:sz w:val="20"/>
          <w:szCs w:val="20"/>
        </w:rPr>
        <w:t>elasticity values used in their model</w:t>
      </w:r>
      <w:r>
        <w:rPr>
          <w:rFonts w:ascii="Times New Roman" w:hAnsi="Times New Roman" w:cs="Times New Roman"/>
          <w:sz w:val="20"/>
          <w:szCs w:val="20"/>
        </w:rPr>
        <w:t xml:space="preserve"> and how these values are derived</w:t>
      </w:r>
      <w:r w:rsidRPr="000B6734">
        <w:rPr>
          <w:rFonts w:ascii="Times New Roman" w:hAnsi="Times New Roman" w:cs="Times New Roman"/>
          <w:sz w:val="20"/>
          <w:szCs w:val="20"/>
        </w:rPr>
        <w:t>. (</w:t>
      </w:r>
      <w:proofErr w:type="spellStart"/>
      <w:r w:rsidRPr="000B6734">
        <w:rPr>
          <w:rFonts w:ascii="Times New Roman" w:hAnsi="Times New Roman" w:cs="Times New Roman"/>
          <w:sz w:val="20"/>
          <w:szCs w:val="20"/>
        </w:rPr>
        <w:t>Mitra</w:t>
      </w:r>
      <w:proofErr w:type="spellEnd"/>
      <w:r w:rsidRPr="000B6734">
        <w:rPr>
          <w:rFonts w:ascii="Times New Roman" w:hAnsi="Times New Roman" w:cs="Times New Roman"/>
          <w:sz w:val="20"/>
          <w:szCs w:val="20"/>
        </w:rPr>
        <w:t>-Kahn, 2008</w:t>
      </w:r>
      <w:r>
        <w:rPr>
          <w:rFonts w:ascii="Times New Roman" w:hAnsi="Times New Roman" w:cs="Times New Roman"/>
          <w:sz w:val="20"/>
          <w:szCs w:val="20"/>
        </w:rPr>
        <w:t>)</w:t>
      </w:r>
    </w:p>
  </w:footnote>
  <w:footnote w:id="2">
    <w:p w14:paraId="57D5F8A7" w14:textId="07859C1F" w:rsidR="007F3CAB" w:rsidRPr="000B6734" w:rsidRDefault="007F3CAB" w:rsidP="00F6639F">
      <w:pPr>
        <w:pStyle w:val="FootnoteText"/>
        <w:rPr>
          <w:rFonts w:ascii="Times New Roman" w:hAnsi="Times New Roman" w:cs="Times New Roman"/>
        </w:rPr>
      </w:pPr>
      <w:r w:rsidRPr="000B6734">
        <w:rPr>
          <w:rStyle w:val="FootnoteReference"/>
          <w:rFonts w:ascii="Times New Roman" w:hAnsi="Times New Roman" w:cs="Times New Roman"/>
        </w:rPr>
        <w:footnoteRef/>
      </w:r>
      <w:r w:rsidRPr="000B6734">
        <w:rPr>
          <w:rFonts w:ascii="Times New Roman" w:hAnsi="Times New Roman" w:cs="Times New Roman"/>
        </w:rPr>
        <w:t xml:space="preserve"> Prominent CGE models have been built, maintained and utilized in organizations and institutions such as at the U.S. International Trade Commission, the Economic Research Service of the U.S. Department of Agriculture, and the World Bank. </w:t>
      </w:r>
      <w:r>
        <w:rPr>
          <w:rFonts w:ascii="Times New Roman" w:hAnsi="Times New Roman" w:cs="Times New Roman"/>
        </w:rPr>
        <w:t xml:space="preserve">Some CGE </w:t>
      </w:r>
      <w:r w:rsidRPr="000B6734">
        <w:rPr>
          <w:rFonts w:ascii="Times New Roman" w:hAnsi="Times New Roman" w:cs="Times New Roman"/>
        </w:rPr>
        <w:t>models factored heavily in the debate about NAFTA, the Kyoto Protocol, and the Trans-Pacific Partnership. (</w:t>
      </w:r>
      <w:proofErr w:type="spellStart"/>
      <w:r w:rsidRPr="000B6734">
        <w:rPr>
          <w:rFonts w:ascii="Times New Roman" w:hAnsi="Times New Roman" w:cs="Times New Roman"/>
        </w:rPr>
        <w:t>Burfisher</w:t>
      </w:r>
      <w:proofErr w:type="spellEnd"/>
      <w:r w:rsidRPr="000B6734">
        <w:rPr>
          <w:rFonts w:ascii="Times New Roman" w:hAnsi="Times New Roman" w:cs="Times New Roman"/>
        </w:rPr>
        <w:t>, 2016) The Patient Protection and Affordable Care Act was also analyzed via a CGE</w:t>
      </w:r>
      <w:r>
        <w:rPr>
          <w:rFonts w:ascii="Times New Roman" w:hAnsi="Times New Roman" w:cs="Times New Roman"/>
        </w:rPr>
        <w:t xml:space="preserve"> model</w:t>
      </w:r>
      <w:r w:rsidRPr="000B6734">
        <w:rPr>
          <w:rFonts w:ascii="Times New Roman" w:hAnsi="Times New Roman" w:cs="Times New Roman"/>
        </w:rPr>
        <w:t>. (</w:t>
      </w:r>
      <w:proofErr w:type="spellStart"/>
      <w:r w:rsidRPr="000B6734">
        <w:rPr>
          <w:rFonts w:ascii="Times New Roman" w:hAnsi="Times New Roman" w:cs="Times New Roman"/>
        </w:rPr>
        <w:t>Ciaschini</w:t>
      </w:r>
      <w:proofErr w:type="spellEnd"/>
      <w:r w:rsidRPr="000B6734">
        <w:rPr>
          <w:rFonts w:ascii="Times New Roman" w:hAnsi="Times New Roman" w:cs="Times New Roman"/>
        </w:rPr>
        <w:t xml:space="preserve">, </w:t>
      </w:r>
      <w:proofErr w:type="spellStart"/>
      <w:r w:rsidRPr="000B6734">
        <w:rPr>
          <w:rFonts w:ascii="Times New Roman" w:hAnsi="Times New Roman" w:cs="Times New Roman"/>
        </w:rPr>
        <w:t>Pretaroli</w:t>
      </w:r>
      <w:proofErr w:type="spellEnd"/>
      <w:r w:rsidRPr="000B6734">
        <w:rPr>
          <w:rFonts w:ascii="Times New Roman" w:hAnsi="Times New Roman" w:cs="Times New Roman"/>
        </w:rPr>
        <w:t xml:space="preserve"> and </w:t>
      </w:r>
      <w:proofErr w:type="spellStart"/>
      <w:r w:rsidRPr="000B6734">
        <w:rPr>
          <w:rFonts w:ascii="Times New Roman" w:hAnsi="Times New Roman" w:cs="Times New Roman"/>
        </w:rPr>
        <w:t>Socci</w:t>
      </w:r>
      <w:proofErr w:type="spellEnd"/>
      <w:r w:rsidRPr="000B6734">
        <w:rPr>
          <w:rFonts w:ascii="Times New Roman" w:hAnsi="Times New Roman" w:cs="Times New Roman"/>
        </w:rPr>
        <w:t>, 2014)</w:t>
      </w:r>
    </w:p>
    <w:p w14:paraId="46B10698" w14:textId="77777777" w:rsidR="007F3CAB" w:rsidRPr="009F77F6" w:rsidRDefault="007F3CAB" w:rsidP="00A14802">
      <w:pPr>
        <w:pStyle w:val="FootnoteText"/>
        <w:rPr>
          <w:sz w:val="16"/>
          <w:szCs w:val="16"/>
        </w:rPr>
      </w:pPr>
    </w:p>
  </w:footnote>
  <w:footnote w:id="3">
    <w:p w14:paraId="6CF36863" w14:textId="77777777" w:rsidR="007F3CAB" w:rsidRPr="000B6734" w:rsidRDefault="007F3CAB">
      <w:pPr>
        <w:pStyle w:val="FootnoteText"/>
        <w:rPr>
          <w:rFonts w:ascii="Times New Roman" w:hAnsi="Times New Roman" w:cs="Times New Roman"/>
        </w:rPr>
      </w:pPr>
      <w:r w:rsidRPr="000B6734">
        <w:rPr>
          <w:rStyle w:val="FootnoteReference"/>
          <w:rFonts w:ascii="Times New Roman" w:hAnsi="Times New Roman" w:cs="Times New Roman"/>
        </w:rPr>
        <w:footnoteRef/>
      </w:r>
      <w:r w:rsidRPr="000B6734">
        <w:rPr>
          <w:rFonts w:ascii="Times New Roman" w:hAnsi="Times New Roman" w:cs="Times New Roman"/>
        </w:rPr>
        <w:t xml:space="preserve"> Data used in our study are from the OES May 2014 estimates for DC, when the DC minimum wage was $8.25.</w:t>
      </w:r>
    </w:p>
  </w:footnote>
  <w:footnote w:id="4">
    <w:p w14:paraId="6A29A833" w14:textId="59A423E2" w:rsidR="007F3CAB" w:rsidRPr="007D52EC" w:rsidRDefault="007F3CAB" w:rsidP="00232BB6">
      <w:pPr>
        <w:pStyle w:val="FootnoteText"/>
        <w:rPr>
          <w:rFonts w:cs="Times New Roman"/>
          <w:sz w:val="16"/>
          <w:szCs w:val="16"/>
        </w:rPr>
      </w:pPr>
      <w:r w:rsidRPr="000B6734">
        <w:rPr>
          <w:rStyle w:val="FootnoteReference"/>
          <w:rFonts w:ascii="Times New Roman" w:hAnsi="Times New Roman" w:cs="Times New Roman"/>
        </w:rPr>
        <w:footnoteRef/>
      </w:r>
      <w:r w:rsidRPr="000B6734">
        <w:rPr>
          <w:rFonts w:ascii="Times New Roman" w:hAnsi="Times New Roman" w:cs="Times New Roman"/>
        </w:rPr>
        <w:t xml:space="preserve"> The OES data includes all part-time and full-time workers who are paid a wage or salary, but does not cover self-employed workers, sole proprietors, household workers, or unpaid family workers. </w:t>
      </w:r>
      <w:hyperlink r:id="rId1" w:anchor="overview" w:history="1">
        <w:r w:rsidRPr="000B6734">
          <w:rPr>
            <w:rStyle w:val="Hyperlink"/>
            <w:rFonts w:ascii="Times New Roman" w:hAnsi="Times New Roman" w:cs="Times New Roman"/>
          </w:rPr>
          <w:t>http://www.bls.gov/oes/oes_ques.htm#overview</w:t>
        </w:r>
      </w:hyperlink>
    </w:p>
  </w:footnote>
  <w:footnote w:id="5">
    <w:p w14:paraId="5B269FC4" w14:textId="31471D18" w:rsidR="007F3CAB" w:rsidRPr="000B6734" w:rsidRDefault="007F3CAB" w:rsidP="000D66B8">
      <w:pPr>
        <w:pStyle w:val="FootnoteText"/>
        <w:rPr>
          <w:rFonts w:ascii="Times New Roman" w:hAnsi="Times New Roman" w:cs="Times New Roman"/>
        </w:rPr>
      </w:pPr>
      <w:r w:rsidRPr="000B6734">
        <w:rPr>
          <w:rStyle w:val="FootnoteReference"/>
          <w:rFonts w:ascii="Times New Roman" w:hAnsi="Times New Roman" w:cs="Times New Roman"/>
        </w:rPr>
        <w:footnoteRef/>
      </w:r>
      <w:r w:rsidRPr="000B6734">
        <w:rPr>
          <w:rFonts w:ascii="Times New Roman" w:hAnsi="Times New Roman" w:cs="Times New Roman"/>
        </w:rPr>
        <w:t xml:space="preserve"> We also calculated the wage distribution for ninety-five (95) 3-digit SOC occupations used this more precise distribution as an input into the CGE.</w:t>
      </w:r>
    </w:p>
  </w:footnote>
  <w:footnote w:id="6">
    <w:p w14:paraId="50E24367" w14:textId="22E0D7FA" w:rsidR="007F3CAB" w:rsidRPr="000B6734" w:rsidRDefault="007F3CAB">
      <w:pPr>
        <w:pStyle w:val="FootnoteText"/>
        <w:rPr>
          <w:rFonts w:ascii="Times New Roman" w:hAnsi="Times New Roman" w:cs="Times New Roman"/>
        </w:rPr>
      </w:pPr>
      <w:r w:rsidRPr="000B6734">
        <w:rPr>
          <w:rStyle w:val="FootnoteReference"/>
          <w:rFonts w:ascii="Times New Roman" w:hAnsi="Times New Roman" w:cs="Times New Roman"/>
        </w:rPr>
        <w:footnoteRef/>
      </w:r>
      <w:r w:rsidRPr="000B6734">
        <w:rPr>
          <w:rFonts w:ascii="Times New Roman" w:hAnsi="Times New Roman" w:cs="Times New Roman"/>
        </w:rPr>
        <w:t xml:space="preserve"> The National Industry-Occupation Employment Matrix is developed by BLS and depicts the occupational employment structure of different industries. For each industry, it provides the percentage of total employment accounted for by each detailed occupation.</w:t>
      </w:r>
    </w:p>
  </w:footnote>
  <w:footnote w:id="7">
    <w:p w14:paraId="75A7AB9C" w14:textId="6F5E4615" w:rsidR="007F3CAB" w:rsidRPr="00B11EB4" w:rsidRDefault="007F3CAB" w:rsidP="00AE2019">
      <w:pPr>
        <w:pStyle w:val="FootnoteText"/>
        <w:rPr>
          <w:rFonts w:ascii="Times New Roman" w:hAnsi="Times New Roman" w:cs="Times New Roman"/>
        </w:rPr>
      </w:pPr>
      <w:r w:rsidRPr="00B11EB4">
        <w:rPr>
          <w:rStyle w:val="FootnoteReference"/>
          <w:rFonts w:ascii="Times New Roman" w:hAnsi="Times New Roman" w:cs="Times New Roman"/>
        </w:rPr>
        <w:footnoteRef/>
      </w:r>
      <w:hyperlink r:id="rId2" w:history="1">
        <w:r w:rsidRPr="002D7DCA">
          <w:rPr>
            <w:rStyle w:val="Hyperlink"/>
            <w:rFonts w:ascii="Times New Roman" w:hAnsi="Times New Roman" w:cs="Times New Roman"/>
          </w:rPr>
          <w:t>http://www.remi.com/resources/documentation</w:t>
        </w:r>
      </w:hyperlink>
      <w:r>
        <w:rPr>
          <w:rFonts w:ascii="Times New Roman" w:hAnsi="Times New Roman" w:cs="Times New Roman"/>
        </w:rPr>
        <w:t>. REMI, i</w:t>
      </w:r>
      <w:r w:rsidRPr="00680849">
        <w:rPr>
          <w:rFonts w:ascii="Times New Roman" w:hAnsi="Times New Roman" w:cs="Times New Roman"/>
        </w:rPr>
        <w:t xml:space="preserve">n contrast to input-output models such as IMPLAN and RIMS II, </w:t>
      </w:r>
      <w:r>
        <w:rPr>
          <w:rFonts w:ascii="Times New Roman" w:hAnsi="Times New Roman" w:cs="Times New Roman"/>
        </w:rPr>
        <w:t xml:space="preserve">allows for </w:t>
      </w:r>
      <w:r w:rsidRPr="00680849">
        <w:rPr>
          <w:rFonts w:ascii="Times New Roman" w:hAnsi="Times New Roman" w:cs="Times New Roman"/>
        </w:rPr>
        <w:t>changes in relative factor costs such as changes in wages or the cost of capital</w:t>
      </w:r>
      <w:r>
        <w:rPr>
          <w:rFonts w:ascii="Times New Roman" w:hAnsi="Times New Roman" w:cs="Times New Roman"/>
        </w:rPr>
        <w:t>.</w:t>
      </w:r>
      <w:r w:rsidRPr="00680849">
        <w:rPr>
          <w:rFonts w:ascii="Times New Roman" w:hAnsi="Times New Roman" w:cs="Times New Roman"/>
        </w:rPr>
        <w:t xml:space="preserve"> If these econometric responses and dynamics are suppressed, the</w:t>
      </w:r>
      <w:r>
        <w:rPr>
          <w:rFonts w:ascii="Times New Roman" w:hAnsi="Times New Roman" w:cs="Times New Roman"/>
        </w:rPr>
        <w:t xml:space="preserve">n REMI becomes more similar to traditional </w:t>
      </w:r>
      <w:r w:rsidRPr="00680849">
        <w:rPr>
          <w:rFonts w:ascii="Times New Roman" w:hAnsi="Times New Roman" w:cs="Times New Roman"/>
        </w:rPr>
        <w:t>input-output type model</w:t>
      </w:r>
      <w:r>
        <w:rPr>
          <w:rFonts w:ascii="Times New Roman" w:hAnsi="Times New Roman" w:cs="Times New Roman"/>
        </w:rPr>
        <w:t>s</w:t>
      </w:r>
      <w:r w:rsidRPr="00680849">
        <w:rPr>
          <w:rFonts w:ascii="Times New Roman" w:hAnsi="Times New Roman" w:cs="Times New Roman"/>
        </w:rPr>
        <w:t>.</w:t>
      </w:r>
    </w:p>
  </w:footnote>
  <w:footnote w:id="8">
    <w:p w14:paraId="1C95059B" w14:textId="77777777" w:rsidR="007F3CAB" w:rsidRDefault="007F3CAB">
      <w:pPr>
        <w:pStyle w:val="FootnoteText"/>
      </w:pPr>
      <w:r w:rsidRPr="000B6734">
        <w:rPr>
          <w:rStyle w:val="FootnoteReference"/>
          <w:rFonts w:ascii="Times New Roman" w:hAnsi="Times New Roman" w:cs="Times New Roman"/>
        </w:rPr>
        <w:footnoteRef/>
      </w:r>
      <w:r w:rsidRPr="000B6734">
        <w:rPr>
          <w:rFonts w:ascii="Times New Roman" w:hAnsi="Times New Roman" w:cs="Times New Roman"/>
        </w:rPr>
        <w:t>REMI Inc. 2014</w:t>
      </w:r>
    </w:p>
  </w:footnote>
  <w:footnote w:id="9">
    <w:p w14:paraId="319FDA41" w14:textId="6984E89B" w:rsidR="007F3CAB" w:rsidRPr="00FF5819" w:rsidRDefault="007F3CAB" w:rsidP="00F6639F">
      <w:pPr>
        <w:pStyle w:val="NormalWeb"/>
        <w:spacing w:after="0" w:afterAutospacing="0"/>
        <w:rPr>
          <w:lang w:val="en"/>
        </w:rPr>
      </w:pPr>
      <w:r w:rsidRPr="0049094B">
        <w:rPr>
          <w:rStyle w:val="FootnoteReference"/>
        </w:rPr>
        <w:footnoteRef/>
      </w:r>
      <w:r w:rsidRPr="0049094B">
        <w:t xml:space="preserve"> </w:t>
      </w:r>
      <w:r w:rsidRPr="00962028">
        <w:rPr>
          <w:sz w:val="20"/>
          <w:szCs w:val="20"/>
          <w:lang w:val="en"/>
        </w:rPr>
        <w:t>A 30</w:t>
      </w:r>
      <w:r w:rsidRPr="000B6734">
        <w:rPr>
          <w:sz w:val="20"/>
          <w:szCs w:val="20"/>
        </w:rPr>
        <w:t xml:space="preserve">% cost saving is based on several studies on how higher wage </w:t>
      </w:r>
      <w:r>
        <w:rPr>
          <w:sz w:val="20"/>
          <w:szCs w:val="20"/>
        </w:rPr>
        <w:t xml:space="preserve">rates </w:t>
      </w:r>
      <w:r w:rsidRPr="000B6734">
        <w:rPr>
          <w:sz w:val="20"/>
          <w:szCs w:val="20"/>
        </w:rPr>
        <w:t xml:space="preserve">impact turnover and productivities. </w:t>
      </w:r>
      <w:proofErr w:type="spellStart"/>
      <w:r w:rsidRPr="000B6734">
        <w:rPr>
          <w:sz w:val="20"/>
          <w:szCs w:val="20"/>
        </w:rPr>
        <w:t>Fairris</w:t>
      </w:r>
      <w:proofErr w:type="spellEnd"/>
      <w:r w:rsidRPr="000B6734">
        <w:rPr>
          <w:sz w:val="20"/>
          <w:szCs w:val="20"/>
          <w:lang w:val="en"/>
        </w:rPr>
        <w:t xml:space="preserve"> (2005) studied the effect of 1997 Los Angeles living wage policy (wage increase of about </w:t>
      </w:r>
      <w:r w:rsidRPr="000B6734">
        <w:rPr>
          <w:sz w:val="20"/>
          <w:szCs w:val="20"/>
        </w:rPr>
        <w:t>$.78 or $1.9 per hour depending on whether insurance is provided, average increase of about 15%)</w:t>
      </w:r>
      <w:r w:rsidRPr="000B6734">
        <w:rPr>
          <w:sz w:val="20"/>
          <w:szCs w:val="20"/>
          <w:lang w:val="en"/>
        </w:rPr>
        <w:t xml:space="preserve"> on workers turnover rate and found that</w:t>
      </w:r>
      <w:r w:rsidRPr="000B6734">
        <w:rPr>
          <w:sz w:val="20"/>
          <w:szCs w:val="20"/>
        </w:rPr>
        <w:t xml:space="preserve"> turnover reductions represent 16 percent of the cost of the wage increase for the average firm. </w:t>
      </w:r>
      <w:r w:rsidRPr="000B6734">
        <w:rPr>
          <w:rStyle w:val="element-invisible"/>
          <w:sz w:val="20"/>
          <w:szCs w:val="20"/>
          <w:bdr w:val="none" w:sz="0" w:space="0" w:color="auto" w:frame="1"/>
        </w:rPr>
        <w:t>Mas (2006)</w:t>
      </w:r>
      <w:r w:rsidRPr="000B6734">
        <w:rPr>
          <w:rStyle w:val="apple-converted-space"/>
          <w:sz w:val="20"/>
          <w:szCs w:val="20"/>
        </w:rPr>
        <w:t> </w:t>
      </w:r>
      <w:r w:rsidRPr="000B6734">
        <w:rPr>
          <w:sz w:val="20"/>
          <w:szCs w:val="20"/>
        </w:rPr>
        <w:t>analyzed the case of New Jersey police officers who were granted a wage increase of 17 percent, and found that they were 12 percent more productive in clearing cases than those who were refused the increase.</w:t>
      </w:r>
      <w:r>
        <w:rPr>
          <w:sz w:val="22"/>
          <w:szCs w:val="22"/>
        </w:rPr>
        <w:t xml:space="preserve"> </w:t>
      </w:r>
    </w:p>
  </w:footnote>
  <w:footnote w:id="10">
    <w:p w14:paraId="5C84C627" w14:textId="6EA8AEE7" w:rsidR="007F3CAB" w:rsidRPr="000B6734" w:rsidRDefault="007F3CAB" w:rsidP="00F6639F">
      <w:pPr>
        <w:pStyle w:val="FootnoteText"/>
        <w:rPr>
          <w:rFonts w:ascii="Times New Roman" w:hAnsi="Times New Roman" w:cs="Times New Roman"/>
        </w:rPr>
      </w:pPr>
      <w:r w:rsidRPr="000B6734">
        <w:rPr>
          <w:rStyle w:val="FootnoteReference"/>
          <w:rFonts w:ascii="Times New Roman" w:hAnsi="Times New Roman" w:cs="Times New Roman"/>
        </w:rPr>
        <w:footnoteRef/>
      </w:r>
      <w:r w:rsidRPr="000B6734">
        <w:rPr>
          <w:rFonts w:ascii="Times New Roman" w:hAnsi="Times New Roman" w:cs="Times New Roman"/>
        </w:rPr>
        <w:t xml:space="preserve"> In our simulation using DC income tax data, we found that a minimum wage worker in DC would pay a combined 15 percent federal and state marginal tax rate on their additional income, while the combined marginal tax rate for a typical DC consumer is about 33 percent. The saving</w:t>
      </w:r>
      <w:r w:rsidR="006B2745">
        <w:rPr>
          <w:rFonts w:ascii="Times New Roman" w:hAnsi="Times New Roman" w:cs="Times New Roman"/>
        </w:rPr>
        <w:t>s</w:t>
      </w:r>
      <w:r w:rsidRPr="000B6734">
        <w:rPr>
          <w:rFonts w:ascii="Times New Roman" w:hAnsi="Times New Roman" w:cs="Times New Roman"/>
        </w:rPr>
        <w:t xml:space="preserve"> rate difference is about 5 percent.</w:t>
      </w:r>
    </w:p>
  </w:footnote>
  <w:footnote w:id="11">
    <w:p w14:paraId="6CB2BE80" w14:textId="0B5869E6" w:rsidR="007F3CAB" w:rsidRPr="000B6734" w:rsidRDefault="007F3CAB" w:rsidP="0049094B">
      <w:pPr>
        <w:pStyle w:val="FootnoteText"/>
        <w:rPr>
          <w:rFonts w:ascii="Times New Roman" w:hAnsi="Times New Roman" w:cs="Times New Roman"/>
        </w:rPr>
      </w:pPr>
      <w:r w:rsidRPr="000B6734">
        <w:rPr>
          <w:rStyle w:val="FootnoteReference"/>
          <w:rFonts w:ascii="Times New Roman" w:hAnsi="Times New Roman" w:cs="Times New Roman"/>
        </w:rPr>
        <w:footnoteRef/>
      </w:r>
      <w:r w:rsidRPr="000B6734">
        <w:rPr>
          <w:rFonts w:ascii="Times New Roman" w:hAnsi="Times New Roman" w:cs="Times New Roman"/>
        </w:rPr>
        <w:t xml:space="preserve"> The 75 percent assumption is used to produce non-negative effect on employment to match m</w:t>
      </w:r>
      <w:r w:rsidR="00AA7448">
        <w:rPr>
          <w:rFonts w:ascii="Times New Roman" w:hAnsi="Times New Roman" w:cs="Times New Roman"/>
        </w:rPr>
        <w:t xml:space="preserve">any similar findings in </w:t>
      </w:r>
      <w:proofErr w:type="spellStart"/>
      <w:r w:rsidR="00AA7448">
        <w:rPr>
          <w:rFonts w:ascii="Times New Roman" w:hAnsi="Times New Roman" w:cs="Times New Roman"/>
        </w:rPr>
        <w:t>Dube</w:t>
      </w:r>
      <w:proofErr w:type="spellEnd"/>
      <w:r w:rsidR="00AA7448">
        <w:rPr>
          <w:rFonts w:ascii="Times New Roman" w:hAnsi="Times New Roman" w:cs="Times New Roman"/>
        </w:rPr>
        <w:t xml:space="preserve"> et</w:t>
      </w:r>
      <w:r w:rsidRPr="000B6734">
        <w:rPr>
          <w:rFonts w:ascii="Times New Roman" w:hAnsi="Times New Roman" w:cs="Times New Roman"/>
        </w:rPr>
        <w:t xml:space="preserve"> al</w:t>
      </w:r>
      <w:r w:rsidR="00AA7448">
        <w:rPr>
          <w:rFonts w:ascii="Times New Roman" w:hAnsi="Times New Roman" w:cs="Times New Roman"/>
        </w:rPr>
        <w:t>.</w:t>
      </w:r>
      <w:r w:rsidRPr="000B6734">
        <w:rPr>
          <w:rFonts w:ascii="Times New Roman" w:hAnsi="Times New Roman" w:cs="Times New Roman"/>
        </w:rPr>
        <w:t xml:space="preserve"> more need to add here.</w:t>
      </w:r>
    </w:p>
  </w:footnote>
  <w:footnote w:id="12">
    <w:p w14:paraId="24F7BA61" w14:textId="77777777" w:rsidR="007F3CAB" w:rsidRPr="007D52EC" w:rsidRDefault="007F3CAB" w:rsidP="00FA067A">
      <w:pPr>
        <w:pStyle w:val="FootnoteText"/>
        <w:rPr>
          <w:sz w:val="16"/>
          <w:szCs w:val="16"/>
        </w:rPr>
      </w:pPr>
      <w:r w:rsidRPr="000B6734">
        <w:rPr>
          <w:rStyle w:val="FootnoteReference"/>
          <w:rFonts w:ascii="Times New Roman" w:hAnsi="Times New Roman" w:cs="Times New Roman"/>
        </w:rPr>
        <w:footnoteRef/>
      </w:r>
      <w:r w:rsidRPr="000B6734">
        <w:rPr>
          <w:rFonts w:ascii="Times New Roman" w:hAnsi="Times New Roman" w:cs="Times New Roman"/>
        </w:rPr>
        <w:t xml:space="preserve"> Gould, Elise, </w:t>
      </w:r>
      <w:proofErr w:type="spellStart"/>
      <w:r w:rsidRPr="000B6734">
        <w:rPr>
          <w:rFonts w:ascii="Times New Roman" w:hAnsi="Times New Roman" w:cs="Times New Roman"/>
        </w:rPr>
        <w:t>Tanyell</w:t>
      </w:r>
      <w:proofErr w:type="spellEnd"/>
      <w:r w:rsidRPr="000B6734">
        <w:rPr>
          <w:rFonts w:ascii="Times New Roman" w:hAnsi="Times New Roman" w:cs="Times New Roman"/>
        </w:rPr>
        <w:t xml:space="preserve"> Cooke and Will Kimball. 2015. What Families Need To </w:t>
      </w:r>
      <w:proofErr w:type="gramStart"/>
      <w:r w:rsidRPr="000B6734">
        <w:rPr>
          <w:rFonts w:ascii="Times New Roman" w:hAnsi="Times New Roman" w:cs="Times New Roman"/>
        </w:rPr>
        <w:t>Get</w:t>
      </w:r>
      <w:proofErr w:type="gramEnd"/>
      <w:r w:rsidRPr="000B6734">
        <w:rPr>
          <w:rFonts w:ascii="Times New Roman" w:hAnsi="Times New Roman" w:cs="Times New Roman"/>
        </w:rPr>
        <w:t xml:space="preserve"> By: EPI’s 2015 Family Budget Calculator. Economic Policy Institute</w:t>
      </w:r>
      <w:r w:rsidRPr="007D52EC">
        <w:rPr>
          <w:sz w:val="16"/>
          <w:szCs w:val="16"/>
        </w:rPr>
        <w:t xml:space="preserve"> </w:t>
      </w:r>
    </w:p>
  </w:footnote>
  <w:footnote w:id="13">
    <w:p w14:paraId="4EB5D41C" w14:textId="77777777" w:rsidR="007F3CAB" w:rsidRPr="000B6734" w:rsidRDefault="007F3CAB" w:rsidP="00AD266D">
      <w:pPr>
        <w:pStyle w:val="FootnoteText"/>
        <w:rPr>
          <w:rFonts w:ascii="Times New Roman" w:hAnsi="Times New Roman" w:cs="Times New Roman"/>
        </w:rPr>
      </w:pPr>
      <w:r w:rsidRPr="000B6734">
        <w:rPr>
          <w:rStyle w:val="FootnoteReference"/>
          <w:rFonts w:ascii="Times New Roman" w:hAnsi="Times New Roman" w:cs="Times New Roman"/>
        </w:rPr>
        <w:footnoteRef/>
      </w:r>
      <w:r w:rsidRPr="000B6734">
        <w:rPr>
          <w:rFonts w:ascii="Times New Roman" w:hAnsi="Times New Roman" w:cs="Times New Roman"/>
        </w:rPr>
        <w:t xml:space="preserve">Hardy, Muhammad &amp; </w:t>
      </w:r>
      <w:proofErr w:type="spellStart"/>
      <w:r w:rsidRPr="000B6734">
        <w:rPr>
          <w:rFonts w:ascii="Times New Roman" w:hAnsi="Times New Roman" w:cs="Times New Roman"/>
        </w:rPr>
        <w:t>Samudra</w:t>
      </w:r>
      <w:proofErr w:type="spellEnd"/>
      <w:r w:rsidRPr="000B6734">
        <w:rPr>
          <w:rFonts w:ascii="Times New Roman" w:hAnsi="Times New Roman" w:cs="Times New Roman"/>
        </w:rPr>
        <w:t xml:space="preserve"> (2015)</w:t>
      </w:r>
    </w:p>
  </w:footnote>
  <w:footnote w:id="14">
    <w:p w14:paraId="75AA009D" w14:textId="40A96637" w:rsidR="006B2745" w:rsidRPr="00F6639F" w:rsidRDefault="006B2745" w:rsidP="006B2745">
      <w:pPr>
        <w:pStyle w:val="FootnoteText"/>
        <w:rPr>
          <w:rFonts w:ascii="Times New Roman" w:hAnsi="Times New Roman" w:cs="Times New Roman"/>
        </w:rPr>
      </w:pPr>
      <w:r w:rsidRPr="00F6639F">
        <w:rPr>
          <w:rStyle w:val="FootnoteReference"/>
          <w:rFonts w:ascii="Times New Roman" w:hAnsi="Times New Roman" w:cs="Times New Roman"/>
        </w:rPr>
        <w:footnoteRef/>
      </w:r>
      <w:r w:rsidRPr="00F6639F">
        <w:rPr>
          <w:rFonts w:ascii="Times New Roman" w:hAnsi="Times New Roman" w:cs="Times New Roman"/>
        </w:rPr>
        <w:t>66,968/</w:t>
      </w:r>
      <w:r>
        <w:rPr>
          <w:rFonts w:ascii="Times New Roman" w:hAnsi="Times New Roman" w:cs="Times New Roman"/>
        </w:rPr>
        <w:t>1.1024</w:t>
      </w:r>
      <w:r w:rsidRPr="00F6639F">
        <w:rPr>
          <w:rFonts w:ascii="Times New Roman" w:hAnsi="Times New Roman" w:cs="Times New Roman"/>
        </w:rPr>
        <w:t>=60,748</w:t>
      </w:r>
    </w:p>
  </w:footnote>
  <w:footnote w:id="15">
    <w:p w14:paraId="4B84CBC6" w14:textId="7B8E0352" w:rsidR="007F3CAB" w:rsidRPr="000B6734" w:rsidRDefault="007F3CAB" w:rsidP="00FA067A">
      <w:pPr>
        <w:pStyle w:val="FootnoteText"/>
        <w:rPr>
          <w:rFonts w:ascii="Times New Roman" w:hAnsi="Times New Roman" w:cs="Times New Roman"/>
        </w:rPr>
      </w:pPr>
      <w:r w:rsidRPr="000B6734">
        <w:rPr>
          <w:rStyle w:val="FootnoteReference"/>
          <w:rFonts w:ascii="Times New Roman" w:hAnsi="Times New Roman" w:cs="Times New Roman"/>
        </w:rPr>
        <w:footnoteRef/>
      </w:r>
      <w:r w:rsidRPr="000B6734">
        <w:rPr>
          <w:rFonts w:ascii="Times New Roman" w:hAnsi="Times New Roman" w:cs="Times New Roman"/>
        </w:rPr>
        <w:t xml:space="preserve"> It was assumed that filers with earnings less than $3,000 had extremely low annual income primarily because of the very few number of hours worked during the year and not because of low hourly wages. At the other end of the spectrum, the maximum annual wage income amount considered in this analysis for 201</w:t>
      </w:r>
      <w:r>
        <w:rPr>
          <w:rFonts w:ascii="Times New Roman" w:hAnsi="Times New Roman" w:cs="Times New Roman"/>
        </w:rPr>
        <w:t>4</w:t>
      </w:r>
      <w:r w:rsidRPr="000B6734">
        <w:rPr>
          <w:rFonts w:ascii="Times New Roman" w:hAnsi="Times New Roman" w:cs="Times New Roman"/>
        </w:rPr>
        <w:t xml:space="preserve"> is $32,000, which is the estimated annual income for full time workers working at an average hourly wage rate of $18 per hour. While it is expected that nearly all workers at hourly wages between $11.50 and $15 in 201</w:t>
      </w:r>
      <w:r>
        <w:rPr>
          <w:rFonts w:ascii="Times New Roman" w:hAnsi="Times New Roman" w:cs="Times New Roman"/>
        </w:rPr>
        <w:t>4</w:t>
      </w:r>
      <w:r w:rsidRPr="000B6734">
        <w:rPr>
          <w:rFonts w:ascii="Times New Roman" w:hAnsi="Times New Roman" w:cs="Times New Roman"/>
        </w:rPr>
        <w:t xml:space="preserve"> will see the largest increases in their annual earnings from the $15 MWP, this policy is also expected to cause a significant number of workers earning between $15 and $18 in 201</w:t>
      </w:r>
      <w:r>
        <w:rPr>
          <w:rFonts w:ascii="Times New Roman" w:hAnsi="Times New Roman" w:cs="Times New Roman"/>
        </w:rPr>
        <w:t>4</w:t>
      </w:r>
      <w:r w:rsidRPr="000B6734">
        <w:rPr>
          <w:rFonts w:ascii="Times New Roman" w:hAnsi="Times New Roman" w:cs="Times New Roman"/>
        </w:rPr>
        <w:t xml:space="preserve"> to experience nontrivial increases in their annual earnings.</w:t>
      </w:r>
    </w:p>
  </w:footnote>
  <w:footnote w:id="16">
    <w:p w14:paraId="408A45AB" w14:textId="1DE50594" w:rsidR="007F3CAB" w:rsidRPr="00D5089A" w:rsidRDefault="007F3CAB" w:rsidP="00FA067A">
      <w:pPr>
        <w:pStyle w:val="FootnoteText"/>
        <w:rPr>
          <w:rFonts w:ascii="Times New Roman" w:hAnsi="Times New Roman" w:cs="Times New Roman"/>
        </w:rPr>
      </w:pPr>
      <w:r w:rsidRPr="00B719B8">
        <w:rPr>
          <w:rFonts w:ascii="Times New Roman" w:hAnsi="Times New Roman" w:cs="Times New Roman"/>
          <w:vertAlign w:val="superscript"/>
        </w:rPr>
        <w:footnoteRef/>
      </w:r>
      <w:r w:rsidRPr="000B6734">
        <w:rPr>
          <w:rFonts w:ascii="Times New Roman" w:hAnsi="Times New Roman" w:cs="Times New Roman"/>
        </w:rPr>
        <w:t xml:space="preserve">  Income tax records do not indicate tax filers’ place of work or occupation.</w:t>
      </w:r>
    </w:p>
  </w:footnote>
  <w:footnote w:id="17">
    <w:p w14:paraId="6A71F33C" w14:textId="77777777" w:rsidR="007F3CAB" w:rsidRPr="000B6734" w:rsidRDefault="007F3CAB">
      <w:pPr>
        <w:pStyle w:val="FootnoteText"/>
        <w:rPr>
          <w:rFonts w:ascii="Times New Roman" w:hAnsi="Times New Roman" w:cs="Times New Roman"/>
        </w:rPr>
      </w:pPr>
      <w:r w:rsidRPr="000B6734">
        <w:rPr>
          <w:rStyle w:val="FootnoteReference"/>
          <w:rFonts w:ascii="Times New Roman" w:hAnsi="Times New Roman" w:cs="Times New Roman"/>
        </w:rPr>
        <w:footnoteRef/>
      </w:r>
      <w:r w:rsidRPr="000B6734">
        <w:rPr>
          <w:rFonts w:ascii="Times New Roman" w:hAnsi="Times New Roman" w:cs="Times New Roman"/>
        </w:rPr>
        <w:t xml:space="preserve"> It is not expected that city residents that are consequently unemployed by this policy will remain so indefinitely. Such residents are likely to eventually regain employment in the neighboring counties of Maryland and Virginia where the minimum wage is lower.</w:t>
      </w:r>
    </w:p>
  </w:footnote>
  <w:footnote w:id="18">
    <w:p w14:paraId="358BCEF5" w14:textId="6B7DA7F6" w:rsidR="007F3CAB" w:rsidRPr="000B6734" w:rsidRDefault="007F3CAB" w:rsidP="007800C3">
      <w:pPr>
        <w:pStyle w:val="FootnoteText"/>
        <w:rPr>
          <w:rFonts w:ascii="Times New Roman" w:hAnsi="Times New Roman" w:cs="Times New Roman"/>
        </w:rPr>
      </w:pPr>
      <w:r w:rsidRPr="000B6734">
        <w:rPr>
          <w:rFonts w:ascii="Times New Roman" w:hAnsi="Times New Roman" w:cs="Times New Roman"/>
          <w:vertAlign w:val="superscript"/>
        </w:rPr>
        <w:footnoteRef/>
      </w:r>
      <w:r w:rsidRPr="000B6734">
        <w:rPr>
          <w:rFonts w:ascii="Times New Roman" w:hAnsi="Times New Roman" w:cs="Times New Roman"/>
          <w:vertAlign w:val="superscript"/>
        </w:rPr>
        <w:t xml:space="preserve"> </w:t>
      </w:r>
      <w:r w:rsidRPr="000B6734">
        <w:rPr>
          <w:rFonts w:ascii="Times New Roman" w:hAnsi="Times New Roman" w:cs="Times New Roman"/>
        </w:rPr>
        <w:t xml:space="preserve">The IEM produces a total net change in wages and salaries ($192.2 million) for city residents in 2021 that is 3.6 percent higher than the CGE estimate of ($185.6 million). But, the IEM produces a total net change in DC income taxes ($3.6 million) for city residents in 2021 that is 41 percent lower than the CGE estimate of ($6.1 million). The considerably higher CGE estimate for the net increase in DC individual income tax revenue </w:t>
      </w:r>
      <w:r>
        <w:rPr>
          <w:rFonts w:ascii="Times New Roman" w:hAnsi="Times New Roman" w:cs="Times New Roman"/>
        </w:rPr>
        <w:t xml:space="preserve">likely </w:t>
      </w:r>
      <w:r w:rsidRPr="000B6734">
        <w:rPr>
          <w:rFonts w:ascii="Times New Roman" w:hAnsi="Times New Roman" w:cs="Times New Roman"/>
        </w:rPr>
        <w:t>stem</w:t>
      </w:r>
      <w:r>
        <w:rPr>
          <w:rFonts w:ascii="Times New Roman" w:hAnsi="Times New Roman" w:cs="Times New Roman"/>
        </w:rPr>
        <w:t>s</w:t>
      </w:r>
      <w:r w:rsidRPr="000B6734">
        <w:rPr>
          <w:rFonts w:ascii="Times New Roman" w:hAnsi="Times New Roman" w:cs="Times New Roman"/>
        </w:rPr>
        <w:t xml:space="preserve"> from an appreciably higher effective </w:t>
      </w:r>
      <w:r>
        <w:rPr>
          <w:rFonts w:ascii="Times New Roman" w:hAnsi="Times New Roman" w:cs="Times New Roman"/>
        </w:rPr>
        <w:t xml:space="preserve">DC </w:t>
      </w:r>
      <w:r w:rsidRPr="000B6734">
        <w:rPr>
          <w:rFonts w:ascii="Times New Roman" w:hAnsi="Times New Roman" w:cs="Times New Roman"/>
        </w:rPr>
        <w:t>income tax rate embedded within the CGE model.</w:t>
      </w:r>
      <w:r>
        <w:rPr>
          <w:rFonts w:ascii="Times New Roman" w:hAnsi="Times New Roman" w:cs="Times New Roman"/>
        </w:rPr>
        <w:t xml:space="preserve"> (Fahimullah et al., 2017)</w:t>
      </w:r>
      <w:r w:rsidRPr="000B6734">
        <w:rPr>
          <w:rFonts w:ascii="Times New Roman" w:hAnsi="Times New Roman" w:cs="Times New Roman"/>
        </w:rPr>
        <w:t xml:space="preserve"> </w:t>
      </w:r>
    </w:p>
  </w:footnote>
  <w:footnote w:id="19">
    <w:p w14:paraId="4F8F6E43" w14:textId="1FC8B4CC" w:rsidR="007F3CAB" w:rsidRPr="000B6734" w:rsidRDefault="007F3CAB">
      <w:pPr>
        <w:pStyle w:val="FootnoteText"/>
        <w:rPr>
          <w:rFonts w:ascii="Times New Roman" w:hAnsi="Times New Roman" w:cs="Times New Roman"/>
        </w:rPr>
      </w:pPr>
      <w:r w:rsidRPr="000B6734">
        <w:rPr>
          <w:rStyle w:val="FootnoteReference"/>
          <w:rFonts w:ascii="Times New Roman" w:hAnsi="Times New Roman" w:cs="Times New Roman"/>
        </w:rPr>
        <w:footnoteRef/>
      </w:r>
      <w:r w:rsidRPr="000B6734">
        <w:rPr>
          <w:rFonts w:ascii="Times New Roman" w:hAnsi="Times New Roman" w:cs="Times New Roman"/>
        </w:rPr>
        <w:t xml:space="preserve"> This analysis also adjusts the Internal Revenue Service Earned Income Tax Credit schedule for inflation so that the appropriate 2021 tax credit amount can be estimated for each eligible tax filer in this study with respect to income level, family size and marriage status for the years under investigation.</w:t>
      </w:r>
    </w:p>
  </w:footnote>
  <w:footnote w:id="20">
    <w:p w14:paraId="4C85D156" w14:textId="77777777" w:rsidR="007F3CAB" w:rsidRPr="000B6734" w:rsidRDefault="007F3CAB" w:rsidP="007800C3">
      <w:pPr>
        <w:pStyle w:val="FootnoteText"/>
        <w:rPr>
          <w:rFonts w:ascii="Times New Roman" w:hAnsi="Times New Roman" w:cs="Times New Roman"/>
        </w:rPr>
      </w:pPr>
      <w:r w:rsidRPr="000B6734">
        <w:rPr>
          <w:rStyle w:val="FootnoteReference"/>
          <w:rFonts w:ascii="Times New Roman" w:hAnsi="Times New Roman" w:cs="Times New Roman"/>
        </w:rPr>
        <w:footnoteRef/>
      </w:r>
      <w:r w:rsidRPr="000B6734">
        <w:rPr>
          <w:rFonts w:ascii="Times New Roman" w:hAnsi="Times New Roman" w:cs="Times New Roman"/>
        </w:rPr>
        <w:t>The model simulates that in 2021 there will actually be 4,490 fewer DC residents in the EITC program due to the estimated 803 EITC recipients who lose jobs and 3,673 childless workers who will earn more annual income than the federal EITC allows for this subgroup of filers.</w:t>
      </w:r>
    </w:p>
  </w:footnote>
  <w:footnote w:id="21">
    <w:p w14:paraId="44BCB7A5" w14:textId="6E78915F" w:rsidR="007F3CAB" w:rsidRPr="007D52EC" w:rsidRDefault="007F3CAB" w:rsidP="007800C3">
      <w:pPr>
        <w:pStyle w:val="FootnoteText"/>
        <w:rPr>
          <w:sz w:val="16"/>
          <w:szCs w:val="16"/>
        </w:rPr>
      </w:pPr>
      <w:r w:rsidRPr="000B6734">
        <w:rPr>
          <w:rStyle w:val="FootnoteReference"/>
          <w:rFonts w:ascii="Times New Roman" w:hAnsi="Times New Roman" w:cs="Times New Roman"/>
        </w:rPr>
        <w:footnoteRef/>
      </w:r>
      <w:r w:rsidRPr="000B6734">
        <w:rPr>
          <w:rFonts w:ascii="Times New Roman" w:hAnsi="Times New Roman" w:cs="Times New Roman"/>
        </w:rPr>
        <w:t xml:space="preserve"> For example, the 2015 federal EITC Schedule indicates that an unmarried EITC recipient with one child in the phase out portion of the schedule would lose 15.98 cents in the federal credit for every additional dollar increase in annual wage and salary. </w:t>
      </w:r>
    </w:p>
  </w:footnote>
  <w:footnote w:id="22">
    <w:p w14:paraId="16DE01E5" w14:textId="77777777" w:rsidR="007F3CAB" w:rsidRPr="000B6734" w:rsidRDefault="007F3CAB" w:rsidP="00C10504">
      <w:pPr>
        <w:pStyle w:val="FootnoteText"/>
        <w:rPr>
          <w:rFonts w:ascii="Times New Roman" w:hAnsi="Times New Roman" w:cs="Times New Roman"/>
        </w:rPr>
      </w:pPr>
      <w:r w:rsidRPr="000B6734">
        <w:rPr>
          <w:rStyle w:val="FootnoteReference"/>
          <w:rFonts w:ascii="Times New Roman" w:hAnsi="Times New Roman" w:cs="Times New Roman"/>
        </w:rPr>
        <w:footnoteRef/>
      </w:r>
      <w:r w:rsidRPr="000B6734">
        <w:rPr>
          <w:rFonts w:ascii="Times New Roman" w:hAnsi="Times New Roman" w:cs="Times New Roman"/>
        </w:rPr>
        <w:t xml:space="preserve"> It is likely that the 1,074 DC residents that lose their DC jobs will eventually gain employment (notwithstanding a national economic slowdown) in their respective industry but in one of the neighboring counties in Maryland and Virginia without such a high mandatory minimum wage. </w:t>
      </w:r>
    </w:p>
  </w:footnote>
  <w:footnote w:id="23">
    <w:p w14:paraId="6D9290E7" w14:textId="2517B647" w:rsidR="007F3CAB" w:rsidRPr="000B6734" w:rsidRDefault="007F3CAB">
      <w:pPr>
        <w:pStyle w:val="FootnoteText"/>
        <w:rPr>
          <w:rFonts w:ascii="Times New Roman" w:hAnsi="Times New Roman" w:cs="Times New Roman"/>
        </w:rPr>
      </w:pPr>
      <w:r w:rsidRPr="000B6734">
        <w:rPr>
          <w:rStyle w:val="FootnoteReference"/>
          <w:rFonts w:ascii="Times New Roman" w:hAnsi="Times New Roman" w:cs="Times New Roman"/>
        </w:rPr>
        <w:footnoteRef/>
      </w:r>
      <w:r w:rsidRPr="000B6734">
        <w:rPr>
          <w:rFonts w:ascii="Times New Roman" w:hAnsi="Times New Roman" w:cs="Times New Roman"/>
        </w:rPr>
        <w:t xml:space="preserve"> US Department of Housing and Urban Development, Program Income Limits, 2016.</w:t>
      </w:r>
    </w:p>
  </w:footnote>
  <w:footnote w:id="24">
    <w:p w14:paraId="5BF8A197" w14:textId="77777777" w:rsidR="007F3CAB" w:rsidRPr="007F3CAB" w:rsidRDefault="007F3CAB" w:rsidP="008463CA">
      <w:pPr>
        <w:pStyle w:val="FootnoteText"/>
        <w:rPr>
          <w:rFonts w:ascii="Times New Roman" w:hAnsi="Times New Roman" w:cs="Times New Roman"/>
        </w:rPr>
      </w:pPr>
      <w:r w:rsidRPr="007F3CAB">
        <w:rPr>
          <w:rStyle w:val="FootnoteReference"/>
          <w:rFonts w:ascii="Times New Roman" w:hAnsi="Times New Roman" w:cs="Times New Roman"/>
        </w:rPr>
        <w:footnoteRef/>
      </w:r>
      <w:r w:rsidRPr="007F3CAB">
        <w:rPr>
          <w:rFonts w:ascii="Times New Roman" w:hAnsi="Times New Roman" w:cs="Times New Roman"/>
        </w:rPr>
        <w:t xml:space="preserve"> </w:t>
      </w:r>
      <w:hyperlink r:id="rId3" w:history="1">
        <w:r w:rsidRPr="007F3CAB">
          <w:rPr>
            <w:rStyle w:val="Hyperlink"/>
            <w:rFonts w:ascii="Times New Roman" w:hAnsi="Times New Roman" w:cs="Times New Roman"/>
          </w:rPr>
          <w:t>https://www.fns.usda.gov/snap/fact-sheet-resources-income-and-benefits</w:t>
        </w:r>
      </w:hyperlink>
      <w:r w:rsidRPr="007F3CAB">
        <w:rPr>
          <w:rFonts w:ascii="Times New Roman" w:hAnsi="Times New Roman" w:cs="Times New Roman"/>
        </w:rPr>
        <w:t xml:space="preserve"> </w:t>
      </w:r>
    </w:p>
  </w:footnote>
  <w:footnote w:id="25">
    <w:p w14:paraId="0968A800" w14:textId="77777777" w:rsidR="007F3CAB" w:rsidRPr="005C7F07" w:rsidRDefault="007F3CAB" w:rsidP="00561A85">
      <w:pPr>
        <w:rPr>
          <w:rFonts w:ascii="Times New Roman" w:hAnsi="Times New Roman" w:cs="Times New Roman"/>
          <w:sz w:val="20"/>
          <w:szCs w:val="20"/>
        </w:rPr>
      </w:pPr>
      <w:r w:rsidRPr="000B6734">
        <w:rPr>
          <w:rStyle w:val="FootnoteReference"/>
          <w:rFonts w:ascii="Times New Roman" w:hAnsi="Times New Roman" w:cs="Times New Roman"/>
          <w:sz w:val="20"/>
          <w:szCs w:val="20"/>
        </w:rPr>
        <w:footnoteRef/>
      </w:r>
      <w:r w:rsidRPr="000B6734">
        <w:rPr>
          <w:rFonts w:ascii="Times New Roman" w:hAnsi="Times New Roman" w:cs="Times New Roman"/>
          <w:sz w:val="20"/>
          <w:szCs w:val="20"/>
        </w:rPr>
        <w:t>In this analysis, we designated residents that earned between $3,000 and $10,000 as undoubtedly part-time workers, and residents that earned more than $10,000 as full-time workers. In 2021, without the $15 MWP there were 12,192 part-time earners in the simulation, but with the significant income gains under the new policy there were only 7,635 part-time workers in the analysis</w:t>
      </w:r>
    </w:p>
    <w:p w14:paraId="0F01B2F0" w14:textId="77777777" w:rsidR="007F3CAB" w:rsidRDefault="007F3CAB" w:rsidP="00561A8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1E6D8D"/>
    <w:multiLevelType w:val="hybridMultilevel"/>
    <w:tmpl w:val="0B28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7C45A2"/>
    <w:multiLevelType w:val="hybridMultilevel"/>
    <w:tmpl w:val="490A81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311876"/>
    <w:multiLevelType w:val="hybridMultilevel"/>
    <w:tmpl w:val="5E844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4D3A48"/>
    <w:multiLevelType w:val="hybridMultilevel"/>
    <w:tmpl w:val="55BA4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C15D15"/>
    <w:multiLevelType w:val="hybridMultilevel"/>
    <w:tmpl w:val="7A68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330C4B"/>
    <w:multiLevelType w:val="hybridMultilevel"/>
    <w:tmpl w:val="B056889C"/>
    <w:lvl w:ilvl="0" w:tplc="C546A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153F66"/>
    <w:multiLevelType w:val="hybridMultilevel"/>
    <w:tmpl w:val="7D4C59AE"/>
    <w:lvl w:ilvl="0" w:tplc="D4C8AE68">
      <w:start w:val="3"/>
      <w:numFmt w:val="upperRoman"/>
      <w:lvlText w:val="%1."/>
      <w:lvlJc w:val="left"/>
      <w:pPr>
        <w:ind w:left="1440" w:hanging="720"/>
      </w:pPr>
      <w:rPr>
        <w:rFonts w:hint="default"/>
        <w:b/>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901BF8"/>
    <w:multiLevelType w:val="hybridMultilevel"/>
    <w:tmpl w:val="B5FAAF6A"/>
    <w:lvl w:ilvl="0" w:tplc="0592ED8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8B6005"/>
    <w:multiLevelType w:val="hybridMultilevel"/>
    <w:tmpl w:val="BD40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A66F4E"/>
    <w:multiLevelType w:val="hybridMultilevel"/>
    <w:tmpl w:val="801406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E80E34"/>
    <w:multiLevelType w:val="hybridMultilevel"/>
    <w:tmpl w:val="D01E9B3C"/>
    <w:lvl w:ilvl="0" w:tplc="2E9A3D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2"/>
  </w:num>
  <w:num w:numId="5">
    <w:abstractNumId w:val="1"/>
  </w:num>
  <w:num w:numId="6">
    <w:abstractNumId w:val="0"/>
  </w:num>
  <w:num w:numId="7">
    <w:abstractNumId w:val="10"/>
  </w:num>
  <w:num w:numId="8">
    <w:abstractNumId w:val="7"/>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7A"/>
    <w:rsid w:val="000008DC"/>
    <w:rsid w:val="000047EA"/>
    <w:rsid w:val="00005D3A"/>
    <w:rsid w:val="00006D6E"/>
    <w:rsid w:val="000263C7"/>
    <w:rsid w:val="00030466"/>
    <w:rsid w:val="00031871"/>
    <w:rsid w:val="00037B0B"/>
    <w:rsid w:val="00042D9A"/>
    <w:rsid w:val="000473FA"/>
    <w:rsid w:val="000502DB"/>
    <w:rsid w:val="00050E47"/>
    <w:rsid w:val="000530BD"/>
    <w:rsid w:val="00055150"/>
    <w:rsid w:val="000555FA"/>
    <w:rsid w:val="00060239"/>
    <w:rsid w:val="00061442"/>
    <w:rsid w:val="0006261B"/>
    <w:rsid w:val="00066B22"/>
    <w:rsid w:val="00073846"/>
    <w:rsid w:val="00083530"/>
    <w:rsid w:val="00083DCC"/>
    <w:rsid w:val="00087970"/>
    <w:rsid w:val="00093423"/>
    <w:rsid w:val="000935F4"/>
    <w:rsid w:val="000A7097"/>
    <w:rsid w:val="000A7970"/>
    <w:rsid w:val="000B2A4E"/>
    <w:rsid w:val="000B58AF"/>
    <w:rsid w:val="000B6734"/>
    <w:rsid w:val="000B7DC9"/>
    <w:rsid w:val="000C0173"/>
    <w:rsid w:val="000C78F8"/>
    <w:rsid w:val="000D01E3"/>
    <w:rsid w:val="000D329E"/>
    <w:rsid w:val="000D66B8"/>
    <w:rsid w:val="000E272C"/>
    <w:rsid w:val="000E50B4"/>
    <w:rsid w:val="000F45C7"/>
    <w:rsid w:val="000F4C19"/>
    <w:rsid w:val="000F6618"/>
    <w:rsid w:val="00111027"/>
    <w:rsid w:val="00114170"/>
    <w:rsid w:val="0011453E"/>
    <w:rsid w:val="00117E59"/>
    <w:rsid w:val="0012671B"/>
    <w:rsid w:val="00131B21"/>
    <w:rsid w:val="00144E49"/>
    <w:rsid w:val="0014740F"/>
    <w:rsid w:val="00160CC7"/>
    <w:rsid w:val="00165D2A"/>
    <w:rsid w:val="001670D2"/>
    <w:rsid w:val="00172986"/>
    <w:rsid w:val="001763D5"/>
    <w:rsid w:val="001779BB"/>
    <w:rsid w:val="00181DA0"/>
    <w:rsid w:val="00190159"/>
    <w:rsid w:val="001A07A9"/>
    <w:rsid w:val="001A52C1"/>
    <w:rsid w:val="001A779A"/>
    <w:rsid w:val="001B3F42"/>
    <w:rsid w:val="001B6207"/>
    <w:rsid w:val="001C3878"/>
    <w:rsid w:val="001C4B3A"/>
    <w:rsid w:val="001C55B5"/>
    <w:rsid w:val="001C76D8"/>
    <w:rsid w:val="001D1218"/>
    <w:rsid w:val="001D7B91"/>
    <w:rsid w:val="001E04FB"/>
    <w:rsid w:val="001F7EE8"/>
    <w:rsid w:val="0021019F"/>
    <w:rsid w:val="0021121E"/>
    <w:rsid w:val="0021315A"/>
    <w:rsid w:val="0022126C"/>
    <w:rsid w:val="00231C79"/>
    <w:rsid w:val="00231F87"/>
    <w:rsid w:val="00232BB6"/>
    <w:rsid w:val="00241934"/>
    <w:rsid w:val="00245EF0"/>
    <w:rsid w:val="00257A0F"/>
    <w:rsid w:val="002755F4"/>
    <w:rsid w:val="00277900"/>
    <w:rsid w:val="00286D07"/>
    <w:rsid w:val="00290FE4"/>
    <w:rsid w:val="00293AA5"/>
    <w:rsid w:val="00294E02"/>
    <w:rsid w:val="00295979"/>
    <w:rsid w:val="002A0167"/>
    <w:rsid w:val="002A471D"/>
    <w:rsid w:val="002B0BC6"/>
    <w:rsid w:val="002B64DF"/>
    <w:rsid w:val="002B7424"/>
    <w:rsid w:val="002B7ADF"/>
    <w:rsid w:val="002D073E"/>
    <w:rsid w:val="002E3E58"/>
    <w:rsid w:val="002F0E80"/>
    <w:rsid w:val="002F4B41"/>
    <w:rsid w:val="00300D1F"/>
    <w:rsid w:val="0030131A"/>
    <w:rsid w:val="00303B29"/>
    <w:rsid w:val="00303FB3"/>
    <w:rsid w:val="00304A36"/>
    <w:rsid w:val="00305BC6"/>
    <w:rsid w:val="0030685A"/>
    <w:rsid w:val="00313A6F"/>
    <w:rsid w:val="00333730"/>
    <w:rsid w:val="00337F2B"/>
    <w:rsid w:val="00340A2F"/>
    <w:rsid w:val="003418A3"/>
    <w:rsid w:val="003437E3"/>
    <w:rsid w:val="003441BB"/>
    <w:rsid w:val="00352D8B"/>
    <w:rsid w:val="00355BA0"/>
    <w:rsid w:val="00363C76"/>
    <w:rsid w:val="00367BBB"/>
    <w:rsid w:val="003728ED"/>
    <w:rsid w:val="00377690"/>
    <w:rsid w:val="003861A0"/>
    <w:rsid w:val="00394E47"/>
    <w:rsid w:val="003A4BA7"/>
    <w:rsid w:val="003A5CA0"/>
    <w:rsid w:val="003B1744"/>
    <w:rsid w:val="003B3B7C"/>
    <w:rsid w:val="003B459C"/>
    <w:rsid w:val="003C4E7E"/>
    <w:rsid w:val="003C6194"/>
    <w:rsid w:val="003C6BB4"/>
    <w:rsid w:val="003D22BB"/>
    <w:rsid w:val="003D3314"/>
    <w:rsid w:val="003D7ABA"/>
    <w:rsid w:val="003E335B"/>
    <w:rsid w:val="003F1429"/>
    <w:rsid w:val="0040104C"/>
    <w:rsid w:val="00403688"/>
    <w:rsid w:val="00404A61"/>
    <w:rsid w:val="00405007"/>
    <w:rsid w:val="00412C18"/>
    <w:rsid w:val="00420F5F"/>
    <w:rsid w:val="004216DC"/>
    <w:rsid w:val="00422291"/>
    <w:rsid w:val="00426E35"/>
    <w:rsid w:val="0043218F"/>
    <w:rsid w:val="0043263F"/>
    <w:rsid w:val="00434FF9"/>
    <w:rsid w:val="004350B0"/>
    <w:rsid w:val="00444A92"/>
    <w:rsid w:val="00450372"/>
    <w:rsid w:val="004535B2"/>
    <w:rsid w:val="0046315D"/>
    <w:rsid w:val="0046402C"/>
    <w:rsid w:val="00466589"/>
    <w:rsid w:val="00466CDC"/>
    <w:rsid w:val="004672CB"/>
    <w:rsid w:val="00481D5B"/>
    <w:rsid w:val="00481F8F"/>
    <w:rsid w:val="00486951"/>
    <w:rsid w:val="0049094B"/>
    <w:rsid w:val="004909DF"/>
    <w:rsid w:val="004918F7"/>
    <w:rsid w:val="00493DAF"/>
    <w:rsid w:val="004A0852"/>
    <w:rsid w:val="004A14A0"/>
    <w:rsid w:val="004A2E3F"/>
    <w:rsid w:val="004A32A2"/>
    <w:rsid w:val="004A3A91"/>
    <w:rsid w:val="004A7430"/>
    <w:rsid w:val="004B0A3B"/>
    <w:rsid w:val="004B2A3E"/>
    <w:rsid w:val="004B3FD7"/>
    <w:rsid w:val="004B5DC1"/>
    <w:rsid w:val="004C1B6C"/>
    <w:rsid w:val="004C3211"/>
    <w:rsid w:val="004C4BDF"/>
    <w:rsid w:val="004C51CC"/>
    <w:rsid w:val="004E2709"/>
    <w:rsid w:val="004F0D15"/>
    <w:rsid w:val="004F4158"/>
    <w:rsid w:val="004F7EEE"/>
    <w:rsid w:val="0050737B"/>
    <w:rsid w:val="00512493"/>
    <w:rsid w:val="00513D93"/>
    <w:rsid w:val="00514B20"/>
    <w:rsid w:val="00522253"/>
    <w:rsid w:val="00527C29"/>
    <w:rsid w:val="00534105"/>
    <w:rsid w:val="00535626"/>
    <w:rsid w:val="00536A98"/>
    <w:rsid w:val="00536D7B"/>
    <w:rsid w:val="00541B8B"/>
    <w:rsid w:val="00547C00"/>
    <w:rsid w:val="0055341B"/>
    <w:rsid w:val="00560C3D"/>
    <w:rsid w:val="00561A85"/>
    <w:rsid w:val="005652F0"/>
    <w:rsid w:val="005727D3"/>
    <w:rsid w:val="0057505A"/>
    <w:rsid w:val="00583A3C"/>
    <w:rsid w:val="00590E44"/>
    <w:rsid w:val="005929A4"/>
    <w:rsid w:val="00594757"/>
    <w:rsid w:val="00596C82"/>
    <w:rsid w:val="005B1370"/>
    <w:rsid w:val="005B1549"/>
    <w:rsid w:val="005B56FD"/>
    <w:rsid w:val="005B574D"/>
    <w:rsid w:val="005B748C"/>
    <w:rsid w:val="005C27C9"/>
    <w:rsid w:val="005C39DC"/>
    <w:rsid w:val="005C733D"/>
    <w:rsid w:val="005C7B78"/>
    <w:rsid w:val="005C7F07"/>
    <w:rsid w:val="005D06BA"/>
    <w:rsid w:val="005D660E"/>
    <w:rsid w:val="005D69FA"/>
    <w:rsid w:val="005E205C"/>
    <w:rsid w:val="005E6DC2"/>
    <w:rsid w:val="005F1461"/>
    <w:rsid w:val="00600EBF"/>
    <w:rsid w:val="006031B6"/>
    <w:rsid w:val="006047B6"/>
    <w:rsid w:val="006048F5"/>
    <w:rsid w:val="0060544C"/>
    <w:rsid w:val="00610133"/>
    <w:rsid w:val="006103E1"/>
    <w:rsid w:val="00622559"/>
    <w:rsid w:val="006237EE"/>
    <w:rsid w:val="00643CA1"/>
    <w:rsid w:val="00645CA2"/>
    <w:rsid w:val="00647A92"/>
    <w:rsid w:val="00647BAA"/>
    <w:rsid w:val="00666D81"/>
    <w:rsid w:val="006731C7"/>
    <w:rsid w:val="00680849"/>
    <w:rsid w:val="00682DF7"/>
    <w:rsid w:val="00684AB6"/>
    <w:rsid w:val="00691DA9"/>
    <w:rsid w:val="006961B0"/>
    <w:rsid w:val="006A7D8D"/>
    <w:rsid w:val="006B264B"/>
    <w:rsid w:val="006B2745"/>
    <w:rsid w:val="006E06FB"/>
    <w:rsid w:val="006E3C70"/>
    <w:rsid w:val="006F6017"/>
    <w:rsid w:val="006F60DE"/>
    <w:rsid w:val="006F7D8E"/>
    <w:rsid w:val="007032C0"/>
    <w:rsid w:val="007043C8"/>
    <w:rsid w:val="00704933"/>
    <w:rsid w:val="0070762D"/>
    <w:rsid w:val="00712537"/>
    <w:rsid w:val="00716ED0"/>
    <w:rsid w:val="00722CFA"/>
    <w:rsid w:val="007245F4"/>
    <w:rsid w:val="00724D6F"/>
    <w:rsid w:val="00737842"/>
    <w:rsid w:val="00746574"/>
    <w:rsid w:val="0075726E"/>
    <w:rsid w:val="00764CD8"/>
    <w:rsid w:val="00767C27"/>
    <w:rsid w:val="00770E9E"/>
    <w:rsid w:val="00774B5B"/>
    <w:rsid w:val="007800C3"/>
    <w:rsid w:val="00781598"/>
    <w:rsid w:val="00781BAE"/>
    <w:rsid w:val="007839EA"/>
    <w:rsid w:val="00787325"/>
    <w:rsid w:val="00793423"/>
    <w:rsid w:val="00794C38"/>
    <w:rsid w:val="007978D1"/>
    <w:rsid w:val="007B4973"/>
    <w:rsid w:val="007C625C"/>
    <w:rsid w:val="007D3F73"/>
    <w:rsid w:val="007D52EC"/>
    <w:rsid w:val="007F36ED"/>
    <w:rsid w:val="007F3CAB"/>
    <w:rsid w:val="0080334E"/>
    <w:rsid w:val="00805ACE"/>
    <w:rsid w:val="00820346"/>
    <w:rsid w:val="00820AF9"/>
    <w:rsid w:val="00822A63"/>
    <w:rsid w:val="00837763"/>
    <w:rsid w:val="00840B7A"/>
    <w:rsid w:val="008424DA"/>
    <w:rsid w:val="00843AB5"/>
    <w:rsid w:val="008463CA"/>
    <w:rsid w:val="00853D12"/>
    <w:rsid w:val="00854634"/>
    <w:rsid w:val="008562DD"/>
    <w:rsid w:val="00862E8F"/>
    <w:rsid w:val="00866BB3"/>
    <w:rsid w:val="00877C07"/>
    <w:rsid w:val="0088072E"/>
    <w:rsid w:val="00881176"/>
    <w:rsid w:val="008840B8"/>
    <w:rsid w:val="00887665"/>
    <w:rsid w:val="00897957"/>
    <w:rsid w:val="008A196E"/>
    <w:rsid w:val="008A4CAC"/>
    <w:rsid w:val="008A62E5"/>
    <w:rsid w:val="008A6907"/>
    <w:rsid w:val="008A7031"/>
    <w:rsid w:val="008B31C2"/>
    <w:rsid w:val="008B4155"/>
    <w:rsid w:val="008C4A37"/>
    <w:rsid w:val="008D582B"/>
    <w:rsid w:val="008D5EAA"/>
    <w:rsid w:val="008E592D"/>
    <w:rsid w:val="008E7895"/>
    <w:rsid w:val="008F1ACF"/>
    <w:rsid w:val="008F5EF7"/>
    <w:rsid w:val="008F6830"/>
    <w:rsid w:val="00900FEF"/>
    <w:rsid w:val="0090109D"/>
    <w:rsid w:val="00903A8D"/>
    <w:rsid w:val="00904231"/>
    <w:rsid w:val="00906FB3"/>
    <w:rsid w:val="009178B5"/>
    <w:rsid w:val="00920B05"/>
    <w:rsid w:val="00921D4A"/>
    <w:rsid w:val="00932555"/>
    <w:rsid w:val="009402C3"/>
    <w:rsid w:val="00941386"/>
    <w:rsid w:val="00942891"/>
    <w:rsid w:val="0095404D"/>
    <w:rsid w:val="009545C7"/>
    <w:rsid w:val="009577B4"/>
    <w:rsid w:val="00957CB9"/>
    <w:rsid w:val="0096025D"/>
    <w:rsid w:val="00960D9B"/>
    <w:rsid w:val="009614CA"/>
    <w:rsid w:val="00962028"/>
    <w:rsid w:val="009652CB"/>
    <w:rsid w:val="00967F8B"/>
    <w:rsid w:val="00971182"/>
    <w:rsid w:val="0098353E"/>
    <w:rsid w:val="00987AC4"/>
    <w:rsid w:val="00987B12"/>
    <w:rsid w:val="009A0CC0"/>
    <w:rsid w:val="009A1A33"/>
    <w:rsid w:val="009A2C64"/>
    <w:rsid w:val="009A319B"/>
    <w:rsid w:val="009B0E55"/>
    <w:rsid w:val="009B2F87"/>
    <w:rsid w:val="009C1AB0"/>
    <w:rsid w:val="009C43A6"/>
    <w:rsid w:val="009C6EAF"/>
    <w:rsid w:val="009D2347"/>
    <w:rsid w:val="009E5527"/>
    <w:rsid w:val="009F0189"/>
    <w:rsid w:val="009F058F"/>
    <w:rsid w:val="009F0695"/>
    <w:rsid w:val="009F77F6"/>
    <w:rsid w:val="00A00903"/>
    <w:rsid w:val="00A030B8"/>
    <w:rsid w:val="00A05315"/>
    <w:rsid w:val="00A06227"/>
    <w:rsid w:val="00A06B74"/>
    <w:rsid w:val="00A071D0"/>
    <w:rsid w:val="00A076BA"/>
    <w:rsid w:val="00A10B3D"/>
    <w:rsid w:val="00A11E56"/>
    <w:rsid w:val="00A14802"/>
    <w:rsid w:val="00A15E9C"/>
    <w:rsid w:val="00A16855"/>
    <w:rsid w:val="00A17422"/>
    <w:rsid w:val="00A174AA"/>
    <w:rsid w:val="00A17DEF"/>
    <w:rsid w:val="00A24413"/>
    <w:rsid w:val="00A26B5F"/>
    <w:rsid w:val="00A44D14"/>
    <w:rsid w:val="00A52B18"/>
    <w:rsid w:val="00A57B15"/>
    <w:rsid w:val="00A67516"/>
    <w:rsid w:val="00A75D07"/>
    <w:rsid w:val="00A80746"/>
    <w:rsid w:val="00A8462F"/>
    <w:rsid w:val="00A87D3E"/>
    <w:rsid w:val="00A92496"/>
    <w:rsid w:val="00AA108E"/>
    <w:rsid w:val="00AA7448"/>
    <w:rsid w:val="00AB0E4E"/>
    <w:rsid w:val="00AB68C3"/>
    <w:rsid w:val="00AC684B"/>
    <w:rsid w:val="00AD266D"/>
    <w:rsid w:val="00AD2E8F"/>
    <w:rsid w:val="00AD3FCC"/>
    <w:rsid w:val="00AD470E"/>
    <w:rsid w:val="00AD56FF"/>
    <w:rsid w:val="00AD6DF0"/>
    <w:rsid w:val="00AE1FAB"/>
    <w:rsid w:val="00AE2019"/>
    <w:rsid w:val="00AE2B30"/>
    <w:rsid w:val="00AE3965"/>
    <w:rsid w:val="00AE5B6C"/>
    <w:rsid w:val="00AE71C4"/>
    <w:rsid w:val="00AF266B"/>
    <w:rsid w:val="00B0565D"/>
    <w:rsid w:val="00B11C8C"/>
    <w:rsid w:val="00B274F3"/>
    <w:rsid w:val="00B34FAF"/>
    <w:rsid w:val="00B4468B"/>
    <w:rsid w:val="00B46C29"/>
    <w:rsid w:val="00B52A83"/>
    <w:rsid w:val="00B53611"/>
    <w:rsid w:val="00B551F0"/>
    <w:rsid w:val="00B55ECB"/>
    <w:rsid w:val="00B62E5E"/>
    <w:rsid w:val="00B6614B"/>
    <w:rsid w:val="00B66170"/>
    <w:rsid w:val="00B673F1"/>
    <w:rsid w:val="00B719B8"/>
    <w:rsid w:val="00B73453"/>
    <w:rsid w:val="00B7422B"/>
    <w:rsid w:val="00B74FF3"/>
    <w:rsid w:val="00B77338"/>
    <w:rsid w:val="00B87517"/>
    <w:rsid w:val="00B91D19"/>
    <w:rsid w:val="00BA2FEA"/>
    <w:rsid w:val="00BA473B"/>
    <w:rsid w:val="00BA50C8"/>
    <w:rsid w:val="00BA6B0A"/>
    <w:rsid w:val="00BB1133"/>
    <w:rsid w:val="00BB4E2F"/>
    <w:rsid w:val="00BC1155"/>
    <w:rsid w:val="00BC7AC8"/>
    <w:rsid w:val="00BD0C2B"/>
    <w:rsid w:val="00BD322C"/>
    <w:rsid w:val="00BD3E12"/>
    <w:rsid w:val="00BD5496"/>
    <w:rsid w:val="00BE1F46"/>
    <w:rsid w:val="00BE7D48"/>
    <w:rsid w:val="00BF1996"/>
    <w:rsid w:val="00C01408"/>
    <w:rsid w:val="00C0324E"/>
    <w:rsid w:val="00C04800"/>
    <w:rsid w:val="00C07E53"/>
    <w:rsid w:val="00C1042A"/>
    <w:rsid w:val="00C10504"/>
    <w:rsid w:val="00C11EC0"/>
    <w:rsid w:val="00C13D57"/>
    <w:rsid w:val="00C15644"/>
    <w:rsid w:val="00C246DC"/>
    <w:rsid w:val="00C269CE"/>
    <w:rsid w:val="00C3125F"/>
    <w:rsid w:val="00C3473C"/>
    <w:rsid w:val="00C41455"/>
    <w:rsid w:val="00C5153B"/>
    <w:rsid w:val="00C535AC"/>
    <w:rsid w:val="00C55809"/>
    <w:rsid w:val="00C62535"/>
    <w:rsid w:val="00C62590"/>
    <w:rsid w:val="00C63FA0"/>
    <w:rsid w:val="00C72D24"/>
    <w:rsid w:val="00C775C1"/>
    <w:rsid w:val="00C83714"/>
    <w:rsid w:val="00CA2BEC"/>
    <w:rsid w:val="00CA411E"/>
    <w:rsid w:val="00CA7501"/>
    <w:rsid w:val="00CC0D77"/>
    <w:rsid w:val="00CC1ED9"/>
    <w:rsid w:val="00CC789E"/>
    <w:rsid w:val="00CC7D03"/>
    <w:rsid w:val="00CD0692"/>
    <w:rsid w:val="00CE2D7B"/>
    <w:rsid w:val="00CE32E3"/>
    <w:rsid w:val="00CE35AE"/>
    <w:rsid w:val="00CE4E10"/>
    <w:rsid w:val="00CE7F3C"/>
    <w:rsid w:val="00CF0860"/>
    <w:rsid w:val="00CF2E64"/>
    <w:rsid w:val="00CF75F8"/>
    <w:rsid w:val="00D10A40"/>
    <w:rsid w:val="00D13C73"/>
    <w:rsid w:val="00D16050"/>
    <w:rsid w:val="00D20ADB"/>
    <w:rsid w:val="00D333D0"/>
    <w:rsid w:val="00D3596E"/>
    <w:rsid w:val="00D40CC0"/>
    <w:rsid w:val="00D41A89"/>
    <w:rsid w:val="00D46430"/>
    <w:rsid w:val="00D50B6B"/>
    <w:rsid w:val="00D536E7"/>
    <w:rsid w:val="00D57B82"/>
    <w:rsid w:val="00D60229"/>
    <w:rsid w:val="00D60AAE"/>
    <w:rsid w:val="00D644BB"/>
    <w:rsid w:val="00D64904"/>
    <w:rsid w:val="00D70D1F"/>
    <w:rsid w:val="00D74068"/>
    <w:rsid w:val="00D825EB"/>
    <w:rsid w:val="00D84C39"/>
    <w:rsid w:val="00D87F6C"/>
    <w:rsid w:val="00D939CD"/>
    <w:rsid w:val="00D94325"/>
    <w:rsid w:val="00D94405"/>
    <w:rsid w:val="00D95247"/>
    <w:rsid w:val="00D9551F"/>
    <w:rsid w:val="00DA0A2D"/>
    <w:rsid w:val="00DA52CC"/>
    <w:rsid w:val="00DB1BFB"/>
    <w:rsid w:val="00DB36C4"/>
    <w:rsid w:val="00DB5F19"/>
    <w:rsid w:val="00DC11A4"/>
    <w:rsid w:val="00DC30C0"/>
    <w:rsid w:val="00DD150C"/>
    <w:rsid w:val="00DD58F2"/>
    <w:rsid w:val="00DD6E3F"/>
    <w:rsid w:val="00DE72F6"/>
    <w:rsid w:val="00DF0B33"/>
    <w:rsid w:val="00E11A2A"/>
    <w:rsid w:val="00E13D9F"/>
    <w:rsid w:val="00E1785F"/>
    <w:rsid w:val="00E2469C"/>
    <w:rsid w:val="00E24918"/>
    <w:rsid w:val="00E26CDB"/>
    <w:rsid w:val="00E30948"/>
    <w:rsid w:val="00E3131F"/>
    <w:rsid w:val="00E33979"/>
    <w:rsid w:val="00E47BB8"/>
    <w:rsid w:val="00E47BC7"/>
    <w:rsid w:val="00E613C3"/>
    <w:rsid w:val="00E62F06"/>
    <w:rsid w:val="00E636B3"/>
    <w:rsid w:val="00E649C3"/>
    <w:rsid w:val="00E65001"/>
    <w:rsid w:val="00E6512B"/>
    <w:rsid w:val="00E657C1"/>
    <w:rsid w:val="00E67FCE"/>
    <w:rsid w:val="00E72532"/>
    <w:rsid w:val="00E82443"/>
    <w:rsid w:val="00E84F31"/>
    <w:rsid w:val="00E95BF0"/>
    <w:rsid w:val="00EA26EB"/>
    <w:rsid w:val="00EA43A7"/>
    <w:rsid w:val="00EA46D9"/>
    <w:rsid w:val="00EA49C9"/>
    <w:rsid w:val="00EB00DC"/>
    <w:rsid w:val="00EB01FE"/>
    <w:rsid w:val="00EC188F"/>
    <w:rsid w:val="00EC1C5B"/>
    <w:rsid w:val="00EC5709"/>
    <w:rsid w:val="00EC5FE2"/>
    <w:rsid w:val="00ED07F2"/>
    <w:rsid w:val="00ED14E2"/>
    <w:rsid w:val="00ED4120"/>
    <w:rsid w:val="00ED5ABB"/>
    <w:rsid w:val="00EE1944"/>
    <w:rsid w:val="00EF2419"/>
    <w:rsid w:val="00EF3597"/>
    <w:rsid w:val="00EF65A3"/>
    <w:rsid w:val="00F02658"/>
    <w:rsid w:val="00F07F14"/>
    <w:rsid w:val="00F10C12"/>
    <w:rsid w:val="00F1644D"/>
    <w:rsid w:val="00F21165"/>
    <w:rsid w:val="00F22E7F"/>
    <w:rsid w:val="00F269B7"/>
    <w:rsid w:val="00F273D6"/>
    <w:rsid w:val="00F32679"/>
    <w:rsid w:val="00F35A91"/>
    <w:rsid w:val="00F36504"/>
    <w:rsid w:val="00F4325B"/>
    <w:rsid w:val="00F45CAD"/>
    <w:rsid w:val="00F5761F"/>
    <w:rsid w:val="00F637E0"/>
    <w:rsid w:val="00F6639F"/>
    <w:rsid w:val="00F70DCE"/>
    <w:rsid w:val="00F72C5F"/>
    <w:rsid w:val="00F764B1"/>
    <w:rsid w:val="00F84C2E"/>
    <w:rsid w:val="00F915E9"/>
    <w:rsid w:val="00F92278"/>
    <w:rsid w:val="00F953D0"/>
    <w:rsid w:val="00F95928"/>
    <w:rsid w:val="00F969C9"/>
    <w:rsid w:val="00FA067A"/>
    <w:rsid w:val="00FA0FA0"/>
    <w:rsid w:val="00FA2D54"/>
    <w:rsid w:val="00FA3ACF"/>
    <w:rsid w:val="00FA5E7E"/>
    <w:rsid w:val="00FA6245"/>
    <w:rsid w:val="00FA686D"/>
    <w:rsid w:val="00FB3521"/>
    <w:rsid w:val="00FB5A4D"/>
    <w:rsid w:val="00FC5CD6"/>
    <w:rsid w:val="00FD051B"/>
    <w:rsid w:val="00FD1196"/>
    <w:rsid w:val="00FD2629"/>
    <w:rsid w:val="00FD304D"/>
    <w:rsid w:val="00FD5494"/>
    <w:rsid w:val="00FE121F"/>
    <w:rsid w:val="00FE4EC1"/>
    <w:rsid w:val="00FE6172"/>
    <w:rsid w:val="00FE769A"/>
    <w:rsid w:val="00FF2D08"/>
    <w:rsid w:val="00FF33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ED0A"/>
  <w15:docId w15:val="{231EADCC-80B9-49B6-9230-50D7BCF7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6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9CE"/>
    <w:pPr>
      <w:spacing w:after="0" w:line="240" w:lineRule="auto"/>
    </w:pPr>
  </w:style>
  <w:style w:type="paragraph" w:styleId="FootnoteText">
    <w:name w:val="footnote text"/>
    <w:basedOn w:val="Normal"/>
    <w:link w:val="FootnoteTextChar"/>
    <w:uiPriority w:val="99"/>
    <w:unhideWhenUsed/>
    <w:rsid w:val="00C269CE"/>
    <w:pPr>
      <w:spacing w:after="0" w:line="240" w:lineRule="auto"/>
    </w:pPr>
    <w:rPr>
      <w:sz w:val="20"/>
      <w:szCs w:val="20"/>
    </w:rPr>
  </w:style>
  <w:style w:type="character" w:customStyle="1" w:styleId="FootnoteTextChar">
    <w:name w:val="Footnote Text Char"/>
    <w:basedOn w:val="DefaultParagraphFont"/>
    <w:link w:val="FootnoteText"/>
    <w:uiPriority w:val="99"/>
    <w:rsid w:val="00C269CE"/>
    <w:rPr>
      <w:sz w:val="20"/>
      <w:szCs w:val="20"/>
    </w:rPr>
  </w:style>
  <w:style w:type="character" w:styleId="FootnoteReference">
    <w:name w:val="footnote reference"/>
    <w:basedOn w:val="DefaultParagraphFont"/>
    <w:uiPriority w:val="99"/>
    <w:unhideWhenUsed/>
    <w:rsid w:val="00C269CE"/>
    <w:rPr>
      <w:vertAlign w:val="superscript"/>
    </w:rPr>
  </w:style>
  <w:style w:type="paragraph" w:styleId="ListParagraph">
    <w:name w:val="List Paragraph"/>
    <w:basedOn w:val="Normal"/>
    <w:uiPriority w:val="34"/>
    <w:qFormat/>
    <w:rsid w:val="001B3F42"/>
    <w:pPr>
      <w:ind w:left="720"/>
      <w:contextualSpacing/>
    </w:pPr>
  </w:style>
  <w:style w:type="paragraph" w:styleId="BalloonText">
    <w:name w:val="Balloon Text"/>
    <w:basedOn w:val="Normal"/>
    <w:link w:val="BalloonTextChar"/>
    <w:uiPriority w:val="99"/>
    <w:semiHidden/>
    <w:unhideWhenUsed/>
    <w:rsid w:val="00305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BC6"/>
    <w:rPr>
      <w:rFonts w:ascii="Segoe UI" w:hAnsi="Segoe UI" w:cs="Segoe UI"/>
      <w:sz w:val="18"/>
      <w:szCs w:val="18"/>
    </w:rPr>
  </w:style>
  <w:style w:type="character" w:styleId="CommentReference">
    <w:name w:val="annotation reference"/>
    <w:basedOn w:val="DefaultParagraphFont"/>
    <w:uiPriority w:val="99"/>
    <w:semiHidden/>
    <w:unhideWhenUsed/>
    <w:rsid w:val="0088072E"/>
    <w:rPr>
      <w:sz w:val="16"/>
      <w:szCs w:val="16"/>
    </w:rPr>
  </w:style>
  <w:style w:type="paragraph" w:styleId="CommentText">
    <w:name w:val="annotation text"/>
    <w:basedOn w:val="Normal"/>
    <w:link w:val="CommentTextChar"/>
    <w:uiPriority w:val="99"/>
    <w:semiHidden/>
    <w:unhideWhenUsed/>
    <w:rsid w:val="0088072E"/>
    <w:pPr>
      <w:spacing w:line="240" w:lineRule="auto"/>
    </w:pPr>
    <w:rPr>
      <w:sz w:val="20"/>
      <w:szCs w:val="20"/>
    </w:rPr>
  </w:style>
  <w:style w:type="character" w:customStyle="1" w:styleId="CommentTextChar">
    <w:name w:val="Comment Text Char"/>
    <w:basedOn w:val="DefaultParagraphFont"/>
    <w:link w:val="CommentText"/>
    <w:uiPriority w:val="99"/>
    <w:semiHidden/>
    <w:rsid w:val="0088072E"/>
    <w:rPr>
      <w:sz w:val="20"/>
      <w:szCs w:val="20"/>
    </w:rPr>
  </w:style>
  <w:style w:type="paragraph" w:styleId="CommentSubject">
    <w:name w:val="annotation subject"/>
    <w:basedOn w:val="CommentText"/>
    <w:next w:val="CommentText"/>
    <w:link w:val="CommentSubjectChar"/>
    <w:uiPriority w:val="99"/>
    <w:semiHidden/>
    <w:unhideWhenUsed/>
    <w:rsid w:val="0088072E"/>
    <w:rPr>
      <w:b/>
      <w:bCs/>
    </w:rPr>
  </w:style>
  <w:style w:type="character" w:customStyle="1" w:styleId="CommentSubjectChar">
    <w:name w:val="Comment Subject Char"/>
    <w:basedOn w:val="CommentTextChar"/>
    <w:link w:val="CommentSubject"/>
    <w:uiPriority w:val="99"/>
    <w:semiHidden/>
    <w:rsid w:val="0088072E"/>
    <w:rPr>
      <w:b/>
      <w:bCs/>
      <w:sz w:val="20"/>
      <w:szCs w:val="20"/>
    </w:rPr>
  </w:style>
  <w:style w:type="table" w:styleId="TableGrid">
    <w:name w:val="Table Grid"/>
    <w:basedOn w:val="TableNormal"/>
    <w:uiPriority w:val="59"/>
    <w:rsid w:val="00F76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64B1"/>
    <w:rPr>
      <w:color w:val="0000FF" w:themeColor="hyperlink"/>
      <w:u w:val="single"/>
    </w:rPr>
  </w:style>
  <w:style w:type="character" w:customStyle="1" w:styleId="UnresolvedMention1">
    <w:name w:val="Unresolved Mention1"/>
    <w:basedOn w:val="DefaultParagraphFont"/>
    <w:uiPriority w:val="99"/>
    <w:semiHidden/>
    <w:unhideWhenUsed/>
    <w:rsid w:val="00232BB6"/>
    <w:rPr>
      <w:color w:val="808080"/>
      <w:shd w:val="clear" w:color="auto" w:fill="E6E6E6"/>
    </w:rPr>
  </w:style>
  <w:style w:type="paragraph" w:styleId="NormalWeb">
    <w:name w:val="Normal (Web)"/>
    <w:basedOn w:val="Normal"/>
    <w:uiPriority w:val="99"/>
    <w:unhideWhenUsed/>
    <w:rsid w:val="000473F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5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8F2"/>
  </w:style>
  <w:style w:type="paragraph" w:styleId="Footer">
    <w:name w:val="footer"/>
    <w:basedOn w:val="Normal"/>
    <w:link w:val="FooterChar"/>
    <w:uiPriority w:val="99"/>
    <w:unhideWhenUsed/>
    <w:rsid w:val="00DD5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8F2"/>
  </w:style>
  <w:style w:type="paragraph" w:customStyle="1" w:styleId="Default">
    <w:name w:val="Default"/>
    <w:rsid w:val="0049094B"/>
    <w:pPr>
      <w:autoSpaceDE w:val="0"/>
      <w:autoSpaceDN w:val="0"/>
      <w:adjustRightInd w:val="0"/>
      <w:spacing w:after="0" w:line="240" w:lineRule="auto"/>
    </w:pPr>
    <w:rPr>
      <w:rFonts w:ascii="Arno Pro" w:hAnsi="Arno Pro" w:cs="Arno Pro"/>
      <w:color w:val="000000"/>
      <w:sz w:val="24"/>
      <w:szCs w:val="24"/>
    </w:rPr>
  </w:style>
  <w:style w:type="character" w:customStyle="1" w:styleId="apple-converted-space">
    <w:name w:val="apple-converted-space"/>
    <w:basedOn w:val="DefaultParagraphFont"/>
    <w:rsid w:val="0049094B"/>
  </w:style>
  <w:style w:type="character" w:customStyle="1" w:styleId="element-invisible">
    <w:name w:val="element-invisible"/>
    <w:basedOn w:val="DefaultParagraphFont"/>
    <w:rsid w:val="0049094B"/>
  </w:style>
  <w:style w:type="character" w:customStyle="1" w:styleId="UnresolvedMention2">
    <w:name w:val="Unresolved Mention2"/>
    <w:basedOn w:val="DefaultParagraphFont"/>
    <w:uiPriority w:val="99"/>
    <w:semiHidden/>
    <w:unhideWhenUsed/>
    <w:rsid w:val="00680849"/>
    <w:rPr>
      <w:color w:val="808080"/>
      <w:shd w:val="clear" w:color="auto" w:fill="E6E6E6"/>
    </w:rPr>
  </w:style>
  <w:style w:type="character" w:customStyle="1" w:styleId="UnresolvedMention3">
    <w:name w:val="Unresolved Mention3"/>
    <w:basedOn w:val="DefaultParagraphFont"/>
    <w:uiPriority w:val="99"/>
    <w:semiHidden/>
    <w:unhideWhenUsed/>
    <w:rsid w:val="005D660E"/>
    <w:rPr>
      <w:color w:val="808080"/>
      <w:shd w:val="clear" w:color="auto" w:fill="E6E6E6"/>
    </w:rPr>
  </w:style>
  <w:style w:type="character" w:customStyle="1" w:styleId="nlmstring-name">
    <w:name w:val="nlm_string-name"/>
    <w:basedOn w:val="DefaultParagraphFont"/>
    <w:rsid w:val="005D660E"/>
  </w:style>
  <w:style w:type="character" w:customStyle="1" w:styleId="journalname">
    <w:name w:val="journalname"/>
    <w:basedOn w:val="DefaultParagraphFont"/>
    <w:rsid w:val="005D660E"/>
  </w:style>
  <w:style w:type="character" w:customStyle="1" w:styleId="year">
    <w:name w:val="year"/>
    <w:basedOn w:val="DefaultParagraphFont"/>
    <w:rsid w:val="005D660E"/>
  </w:style>
  <w:style w:type="character" w:customStyle="1" w:styleId="volume">
    <w:name w:val="volume"/>
    <w:basedOn w:val="DefaultParagraphFont"/>
    <w:rsid w:val="005D660E"/>
  </w:style>
  <w:style w:type="character" w:customStyle="1" w:styleId="page">
    <w:name w:val="page"/>
    <w:basedOn w:val="DefaultParagraphFont"/>
    <w:rsid w:val="005D660E"/>
  </w:style>
  <w:style w:type="paragraph" w:styleId="Caption">
    <w:name w:val="caption"/>
    <w:basedOn w:val="Normal"/>
    <w:next w:val="Normal"/>
    <w:uiPriority w:val="35"/>
    <w:semiHidden/>
    <w:unhideWhenUsed/>
    <w:qFormat/>
    <w:rsid w:val="00645CA2"/>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95428">
      <w:bodyDiv w:val="1"/>
      <w:marLeft w:val="0"/>
      <w:marRight w:val="0"/>
      <w:marTop w:val="0"/>
      <w:marBottom w:val="0"/>
      <w:divBdr>
        <w:top w:val="none" w:sz="0" w:space="0" w:color="auto"/>
        <w:left w:val="none" w:sz="0" w:space="0" w:color="auto"/>
        <w:bottom w:val="none" w:sz="0" w:space="0" w:color="auto"/>
        <w:right w:val="none" w:sz="0" w:space="0" w:color="auto"/>
      </w:divBdr>
    </w:div>
    <w:div w:id="664363244">
      <w:bodyDiv w:val="1"/>
      <w:marLeft w:val="0"/>
      <w:marRight w:val="0"/>
      <w:marTop w:val="0"/>
      <w:marBottom w:val="0"/>
      <w:divBdr>
        <w:top w:val="none" w:sz="0" w:space="0" w:color="auto"/>
        <w:left w:val="none" w:sz="0" w:space="0" w:color="auto"/>
        <w:bottom w:val="none" w:sz="0" w:space="0" w:color="auto"/>
        <w:right w:val="none" w:sz="0" w:space="0" w:color="auto"/>
      </w:divBdr>
    </w:div>
    <w:div w:id="847014715">
      <w:bodyDiv w:val="1"/>
      <w:marLeft w:val="0"/>
      <w:marRight w:val="0"/>
      <w:marTop w:val="0"/>
      <w:marBottom w:val="0"/>
      <w:divBdr>
        <w:top w:val="none" w:sz="0" w:space="0" w:color="auto"/>
        <w:left w:val="none" w:sz="0" w:space="0" w:color="auto"/>
        <w:bottom w:val="none" w:sz="0" w:space="0" w:color="auto"/>
        <w:right w:val="none" w:sz="0" w:space="0" w:color="auto"/>
      </w:divBdr>
    </w:div>
    <w:div w:id="1933395847">
      <w:bodyDiv w:val="1"/>
      <w:marLeft w:val="0"/>
      <w:marRight w:val="0"/>
      <w:marTop w:val="0"/>
      <w:marBottom w:val="0"/>
      <w:divBdr>
        <w:top w:val="none" w:sz="0" w:space="0" w:color="auto"/>
        <w:left w:val="none" w:sz="0" w:space="0" w:color="auto"/>
        <w:bottom w:val="none" w:sz="0" w:space="0" w:color="auto"/>
        <w:right w:val="none" w:sz="0" w:space="0" w:color="auto"/>
      </w:divBdr>
    </w:div>
    <w:div w:id="1976594873">
      <w:bodyDiv w:val="1"/>
      <w:marLeft w:val="0"/>
      <w:marRight w:val="0"/>
      <w:marTop w:val="0"/>
      <w:marBottom w:val="0"/>
      <w:divBdr>
        <w:top w:val="none" w:sz="0" w:space="0" w:color="auto"/>
        <w:left w:val="none" w:sz="0" w:space="0" w:color="auto"/>
        <w:bottom w:val="none" w:sz="0" w:space="0" w:color="auto"/>
        <w:right w:val="none" w:sz="0" w:space="0" w:color="auto"/>
      </w:divBdr>
      <w:divsChild>
        <w:div w:id="1765613200">
          <w:marLeft w:val="0"/>
          <w:marRight w:val="0"/>
          <w:marTop w:val="0"/>
          <w:marBottom w:val="0"/>
          <w:divBdr>
            <w:top w:val="none" w:sz="0" w:space="0" w:color="auto"/>
            <w:left w:val="none" w:sz="0" w:space="0" w:color="auto"/>
            <w:bottom w:val="none" w:sz="0" w:space="0" w:color="auto"/>
            <w:right w:val="none" w:sz="0" w:space="0" w:color="auto"/>
          </w:divBdr>
        </w:div>
        <w:div w:id="2058385640">
          <w:marLeft w:val="0"/>
          <w:marRight w:val="0"/>
          <w:marTop w:val="0"/>
          <w:marBottom w:val="0"/>
          <w:divBdr>
            <w:top w:val="none" w:sz="0" w:space="0" w:color="auto"/>
            <w:left w:val="none" w:sz="0" w:space="0" w:color="auto"/>
            <w:bottom w:val="none" w:sz="0" w:space="0" w:color="auto"/>
            <w:right w:val="none" w:sz="0" w:space="0" w:color="auto"/>
          </w:divBdr>
        </w:div>
        <w:div w:id="69471716">
          <w:marLeft w:val="0"/>
          <w:marRight w:val="0"/>
          <w:marTop w:val="0"/>
          <w:marBottom w:val="0"/>
          <w:divBdr>
            <w:top w:val="none" w:sz="0" w:space="0" w:color="auto"/>
            <w:left w:val="none" w:sz="0" w:space="0" w:color="auto"/>
            <w:bottom w:val="none" w:sz="0" w:space="0" w:color="auto"/>
            <w:right w:val="none" w:sz="0" w:space="0" w:color="auto"/>
          </w:divBdr>
        </w:div>
        <w:div w:id="1752434109">
          <w:marLeft w:val="0"/>
          <w:marRight w:val="0"/>
          <w:marTop w:val="0"/>
          <w:marBottom w:val="0"/>
          <w:divBdr>
            <w:top w:val="none" w:sz="0" w:space="0" w:color="auto"/>
            <w:left w:val="none" w:sz="0" w:space="0" w:color="auto"/>
            <w:bottom w:val="none" w:sz="0" w:space="0" w:color="auto"/>
            <w:right w:val="none" w:sz="0" w:space="0" w:color="auto"/>
          </w:divBdr>
        </w:div>
        <w:div w:id="584195609">
          <w:marLeft w:val="0"/>
          <w:marRight w:val="0"/>
          <w:marTop w:val="0"/>
          <w:marBottom w:val="0"/>
          <w:divBdr>
            <w:top w:val="none" w:sz="0" w:space="0" w:color="auto"/>
            <w:left w:val="none" w:sz="0" w:space="0" w:color="auto"/>
            <w:bottom w:val="none" w:sz="0" w:space="0" w:color="auto"/>
            <w:right w:val="none" w:sz="0" w:space="0" w:color="auto"/>
          </w:divBdr>
        </w:div>
        <w:div w:id="690306136">
          <w:marLeft w:val="0"/>
          <w:marRight w:val="0"/>
          <w:marTop w:val="0"/>
          <w:marBottom w:val="0"/>
          <w:divBdr>
            <w:top w:val="none" w:sz="0" w:space="0" w:color="auto"/>
            <w:left w:val="none" w:sz="0" w:space="0" w:color="auto"/>
            <w:bottom w:val="none" w:sz="0" w:space="0" w:color="auto"/>
            <w:right w:val="none" w:sz="0" w:space="0" w:color="auto"/>
          </w:divBdr>
        </w:div>
        <w:div w:id="400638463">
          <w:marLeft w:val="0"/>
          <w:marRight w:val="0"/>
          <w:marTop w:val="0"/>
          <w:marBottom w:val="0"/>
          <w:divBdr>
            <w:top w:val="none" w:sz="0" w:space="0" w:color="auto"/>
            <w:left w:val="none" w:sz="0" w:space="0" w:color="auto"/>
            <w:bottom w:val="none" w:sz="0" w:space="0" w:color="auto"/>
            <w:right w:val="none" w:sz="0" w:space="0" w:color="auto"/>
          </w:divBdr>
        </w:div>
        <w:div w:id="1766728073">
          <w:marLeft w:val="0"/>
          <w:marRight w:val="0"/>
          <w:marTop w:val="0"/>
          <w:marBottom w:val="0"/>
          <w:divBdr>
            <w:top w:val="none" w:sz="0" w:space="0" w:color="auto"/>
            <w:left w:val="none" w:sz="0" w:space="0" w:color="auto"/>
            <w:bottom w:val="none" w:sz="0" w:space="0" w:color="auto"/>
            <w:right w:val="none" w:sz="0" w:space="0" w:color="auto"/>
          </w:divBdr>
        </w:div>
        <w:div w:id="178742277">
          <w:marLeft w:val="0"/>
          <w:marRight w:val="0"/>
          <w:marTop w:val="0"/>
          <w:marBottom w:val="0"/>
          <w:divBdr>
            <w:top w:val="none" w:sz="0" w:space="0" w:color="auto"/>
            <w:left w:val="none" w:sz="0" w:space="0" w:color="auto"/>
            <w:bottom w:val="none" w:sz="0" w:space="0" w:color="auto"/>
            <w:right w:val="none" w:sz="0" w:space="0" w:color="auto"/>
          </w:divBdr>
        </w:div>
        <w:div w:id="1238855900">
          <w:marLeft w:val="0"/>
          <w:marRight w:val="0"/>
          <w:marTop w:val="0"/>
          <w:marBottom w:val="0"/>
          <w:divBdr>
            <w:top w:val="none" w:sz="0" w:space="0" w:color="auto"/>
            <w:left w:val="none" w:sz="0" w:space="0" w:color="auto"/>
            <w:bottom w:val="none" w:sz="0" w:space="0" w:color="auto"/>
            <w:right w:val="none" w:sz="0" w:space="0" w:color="auto"/>
          </w:divBdr>
        </w:div>
        <w:div w:id="1528181449">
          <w:marLeft w:val="0"/>
          <w:marRight w:val="0"/>
          <w:marTop w:val="0"/>
          <w:marBottom w:val="0"/>
          <w:divBdr>
            <w:top w:val="none" w:sz="0" w:space="0" w:color="auto"/>
            <w:left w:val="none" w:sz="0" w:space="0" w:color="auto"/>
            <w:bottom w:val="none" w:sz="0" w:space="0" w:color="auto"/>
            <w:right w:val="none" w:sz="0" w:space="0" w:color="auto"/>
          </w:divBdr>
        </w:div>
        <w:div w:id="1798522733">
          <w:marLeft w:val="0"/>
          <w:marRight w:val="0"/>
          <w:marTop w:val="0"/>
          <w:marBottom w:val="0"/>
          <w:divBdr>
            <w:top w:val="none" w:sz="0" w:space="0" w:color="auto"/>
            <w:left w:val="none" w:sz="0" w:space="0" w:color="auto"/>
            <w:bottom w:val="none" w:sz="0" w:space="0" w:color="auto"/>
            <w:right w:val="none" w:sz="0" w:space="0" w:color="auto"/>
          </w:divBdr>
        </w:div>
        <w:div w:id="1295865954">
          <w:marLeft w:val="0"/>
          <w:marRight w:val="0"/>
          <w:marTop w:val="0"/>
          <w:marBottom w:val="0"/>
          <w:divBdr>
            <w:top w:val="none" w:sz="0" w:space="0" w:color="auto"/>
            <w:left w:val="none" w:sz="0" w:space="0" w:color="auto"/>
            <w:bottom w:val="none" w:sz="0" w:space="0" w:color="auto"/>
            <w:right w:val="none" w:sz="0" w:space="0" w:color="auto"/>
          </w:divBdr>
        </w:div>
        <w:div w:id="1284574792">
          <w:marLeft w:val="0"/>
          <w:marRight w:val="0"/>
          <w:marTop w:val="0"/>
          <w:marBottom w:val="0"/>
          <w:divBdr>
            <w:top w:val="none" w:sz="0" w:space="0" w:color="auto"/>
            <w:left w:val="none" w:sz="0" w:space="0" w:color="auto"/>
            <w:bottom w:val="none" w:sz="0" w:space="0" w:color="auto"/>
            <w:right w:val="none" w:sz="0" w:space="0" w:color="auto"/>
          </w:divBdr>
        </w:div>
        <w:div w:id="1907453252">
          <w:marLeft w:val="0"/>
          <w:marRight w:val="0"/>
          <w:marTop w:val="0"/>
          <w:marBottom w:val="0"/>
          <w:divBdr>
            <w:top w:val="none" w:sz="0" w:space="0" w:color="auto"/>
            <w:left w:val="none" w:sz="0" w:space="0" w:color="auto"/>
            <w:bottom w:val="none" w:sz="0" w:space="0" w:color="auto"/>
            <w:right w:val="none" w:sz="0" w:space="0" w:color="auto"/>
          </w:divBdr>
        </w:div>
        <w:div w:id="1726947479">
          <w:marLeft w:val="0"/>
          <w:marRight w:val="0"/>
          <w:marTop w:val="0"/>
          <w:marBottom w:val="0"/>
          <w:divBdr>
            <w:top w:val="none" w:sz="0" w:space="0" w:color="auto"/>
            <w:left w:val="none" w:sz="0" w:space="0" w:color="auto"/>
            <w:bottom w:val="none" w:sz="0" w:space="0" w:color="auto"/>
            <w:right w:val="none" w:sz="0" w:space="0" w:color="auto"/>
          </w:divBdr>
        </w:div>
        <w:div w:id="1069570180">
          <w:marLeft w:val="0"/>
          <w:marRight w:val="0"/>
          <w:marTop w:val="0"/>
          <w:marBottom w:val="0"/>
          <w:divBdr>
            <w:top w:val="none" w:sz="0" w:space="0" w:color="auto"/>
            <w:left w:val="none" w:sz="0" w:space="0" w:color="auto"/>
            <w:bottom w:val="none" w:sz="0" w:space="0" w:color="auto"/>
            <w:right w:val="none" w:sz="0" w:space="0" w:color="auto"/>
          </w:divBdr>
        </w:div>
        <w:div w:id="1707020025">
          <w:marLeft w:val="0"/>
          <w:marRight w:val="0"/>
          <w:marTop w:val="0"/>
          <w:marBottom w:val="0"/>
          <w:divBdr>
            <w:top w:val="none" w:sz="0" w:space="0" w:color="auto"/>
            <w:left w:val="none" w:sz="0" w:space="0" w:color="auto"/>
            <w:bottom w:val="none" w:sz="0" w:space="0" w:color="auto"/>
            <w:right w:val="none" w:sz="0" w:space="0" w:color="auto"/>
          </w:divBdr>
        </w:div>
        <w:div w:id="2109621776">
          <w:marLeft w:val="0"/>
          <w:marRight w:val="0"/>
          <w:marTop w:val="0"/>
          <w:marBottom w:val="0"/>
          <w:divBdr>
            <w:top w:val="none" w:sz="0" w:space="0" w:color="auto"/>
            <w:left w:val="none" w:sz="0" w:space="0" w:color="auto"/>
            <w:bottom w:val="none" w:sz="0" w:space="0" w:color="auto"/>
            <w:right w:val="none" w:sz="0" w:space="0" w:color="auto"/>
          </w:divBdr>
        </w:div>
        <w:div w:id="2061704115">
          <w:marLeft w:val="0"/>
          <w:marRight w:val="0"/>
          <w:marTop w:val="0"/>
          <w:marBottom w:val="0"/>
          <w:divBdr>
            <w:top w:val="none" w:sz="0" w:space="0" w:color="auto"/>
            <w:left w:val="none" w:sz="0" w:space="0" w:color="auto"/>
            <w:bottom w:val="none" w:sz="0" w:space="0" w:color="auto"/>
            <w:right w:val="none" w:sz="0" w:space="0" w:color="auto"/>
          </w:divBdr>
        </w:div>
        <w:div w:id="929048515">
          <w:marLeft w:val="0"/>
          <w:marRight w:val="0"/>
          <w:marTop w:val="0"/>
          <w:marBottom w:val="0"/>
          <w:divBdr>
            <w:top w:val="none" w:sz="0" w:space="0" w:color="auto"/>
            <w:left w:val="none" w:sz="0" w:space="0" w:color="auto"/>
            <w:bottom w:val="none" w:sz="0" w:space="0" w:color="auto"/>
            <w:right w:val="none" w:sz="0" w:space="0" w:color="auto"/>
          </w:divBdr>
        </w:div>
        <w:div w:id="2102330857">
          <w:marLeft w:val="0"/>
          <w:marRight w:val="0"/>
          <w:marTop w:val="0"/>
          <w:marBottom w:val="0"/>
          <w:divBdr>
            <w:top w:val="none" w:sz="0" w:space="0" w:color="auto"/>
            <w:left w:val="none" w:sz="0" w:space="0" w:color="auto"/>
            <w:bottom w:val="none" w:sz="0" w:space="0" w:color="auto"/>
            <w:right w:val="none" w:sz="0" w:space="0" w:color="auto"/>
          </w:divBdr>
        </w:div>
        <w:div w:id="1421754492">
          <w:marLeft w:val="0"/>
          <w:marRight w:val="0"/>
          <w:marTop w:val="0"/>
          <w:marBottom w:val="0"/>
          <w:divBdr>
            <w:top w:val="none" w:sz="0" w:space="0" w:color="auto"/>
            <w:left w:val="none" w:sz="0" w:space="0" w:color="auto"/>
            <w:bottom w:val="none" w:sz="0" w:space="0" w:color="auto"/>
            <w:right w:val="none" w:sz="0" w:space="0" w:color="auto"/>
          </w:divBdr>
        </w:div>
        <w:div w:id="1747069046">
          <w:marLeft w:val="0"/>
          <w:marRight w:val="0"/>
          <w:marTop w:val="0"/>
          <w:marBottom w:val="0"/>
          <w:divBdr>
            <w:top w:val="none" w:sz="0" w:space="0" w:color="auto"/>
            <w:left w:val="none" w:sz="0" w:space="0" w:color="auto"/>
            <w:bottom w:val="none" w:sz="0" w:space="0" w:color="auto"/>
            <w:right w:val="none" w:sz="0" w:space="0" w:color="auto"/>
          </w:divBdr>
        </w:div>
        <w:div w:id="1142698314">
          <w:marLeft w:val="0"/>
          <w:marRight w:val="0"/>
          <w:marTop w:val="0"/>
          <w:marBottom w:val="0"/>
          <w:divBdr>
            <w:top w:val="none" w:sz="0" w:space="0" w:color="auto"/>
            <w:left w:val="none" w:sz="0" w:space="0" w:color="auto"/>
            <w:bottom w:val="none" w:sz="0" w:space="0" w:color="auto"/>
            <w:right w:val="none" w:sz="0" w:space="0" w:color="auto"/>
          </w:divBdr>
        </w:div>
        <w:div w:id="203297684">
          <w:marLeft w:val="0"/>
          <w:marRight w:val="0"/>
          <w:marTop w:val="0"/>
          <w:marBottom w:val="0"/>
          <w:divBdr>
            <w:top w:val="none" w:sz="0" w:space="0" w:color="auto"/>
            <w:left w:val="none" w:sz="0" w:space="0" w:color="auto"/>
            <w:bottom w:val="none" w:sz="0" w:space="0" w:color="auto"/>
            <w:right w:val="none" w:sz="0" w:space="0" w:color="auto"/>
          </w:divBdr>
        </w:div>
        <w:div w:id="348919970">
          <w:marLeft w:val="0"/>
          <w:marRight w:val="0"/>
          <w:marTop w:val="0"/>
          <w:marBottom w:val="0"/>
          <w:divBdr>
            <w:top w:val="none" w:sz="0" w:space="0" w:color="auto"/>
            <w:left w:val="none" w:sz="0" w:space="0" w:color="auto"/>
            <w:bottom w:val="none" w:sz="0" w:space="0" w:color="auto"/>
            <w:right w:val="none" w:sz="0" w:space="0" w:color="auto"/>
          </w:divBdr>
        </w:div>
        <w:div w:id="142745194">
          <w:marLeft w:val="0"/>
          <w:marRight w:val="0"/>
          <w:marTop w:val="0"/>
          <w:marBottom w:val="0"/>
          <w:divBdr>
            <w:top w:val="none" w:sz="0" w:space="0" w:color="auto"/>
            <w:left w:val="none" w:sz="0" w:space="0" w:color="auto"/>
            <w:bottom w:val="none" w:sz="0" w:space="0" w:color="auto"/>
            <w:right w:val="none" w:sz="0" w:space="0" w:color="auto"/>
          </w:divBdr>
        </w:div>
        <w:div w:id="1524905421">
          <w:marLeft w:val="0"/>
          <w:marRight w:val="0"/>
          <w:marTop w:val="0"/>
          <w:marBottom w:val="0"/>
          <w:divBdr>
            <w:top w:val="none" w:sz="0" w:space="0" w:color="auto"/>
            <w:left w:val="none" w:sz="0" w:space="0" w:color="auto"/>
            <w:bottom w:val="none" w:sz="0" w:space="0" w:color="auto"/>
            <w:right w:val="none" w:sz="0" w:space="0" w:color="auto"/>
          </w:divBdr>
        </w:div>
        <w:div w:id="544176424">
          <w:marLeft w:val="0"/>
          <w:marRight w:val="0"/>
          <w:marTop w:val="0"/>
          <w:marBottom w:val="0"/>
          <w:divBdr>
            <w:top w:val="none" w:sz="0" w:space="0" w:color="auto"/>
            <w:left w:val="none" w:sz="0" w:space="0" w:color="auto"/>
            <w:bottom w:val="none" w:sz="0" w:space="0" w:color="auto"/>
            <w:right w:val="none" w:sz="0" w:space="0" w:color="auto"/>
          </w:divBdr>
        </w:div>
        <w:div w:id="278882732">
          <w:marLeft w:val="0"/>
          <w:marRight w:val="0"/>
          <w:marTop w:val="0"/>
          <w:marBottom w:val="0"/>
          <w:divBdr>
            <w:top w:val="none" w:sz="0" w:space="0" w:color="auto"/>
            <w:left w:val="none" w:sz="0" w:space="0" w:color="auto"/>
            <w:bottom w:val="none" w:sz="0" w:space="0" w:color="auto"/>
            <w:right w:val="none" w:sz="0" w:space="0" w:color="auto"/>
          </w:divBdr>
        </w:div>
        <w:div w:id="569930342">
          <w:marLeft w:val="0"/>
          <w:marRight w:val="0"/>
          <w:marTop w:val="0"/>
          <w:marBottom w:val="0"/>
          <w:divBdr>
            <w:top w:val="none" w:sz="0" w:space="0" w:color="auto"/>
            <w:left w:val="none" w:sz="0" w:space="0" w:color="auto"/>
            <w:bottom w:val="none" w:sz="0" w:space="0" w:color="auto"/>
            <w:right w:val="none" w:sz="0" w:space="0" w:color="auto"/>
          </w:divBdr>
        </w:div>
        <w:div w:id="1247182707">
          <w:marLeft w:val="0"/>
          <w:marRight w:val="0"/>
          <w:marTop w:val="0"/>
          <w:marBottom w:val="0"/>
          <w:divBdr>
            <w:top w:val="none" w:sz="0" w:space="0" w:color="auto"/>
            <w:left w:val="none" w:sz="0" w:space="0" w:color="auto"/>
            <w:bottom w:val="none" w:sz="0" w:space="0" w:color="auto"/>
            <w:right w:val="none" w:sz="0" w:space="0" w:color="auto"/>
          </w:divBdr>
        </w:div>
        <w:div w:id="328605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search?term=wayne+f.+cascio" TargetMode="Externa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mi.com/download/pi-v1-7-model-equations-2?wpdmdl=7421" TargetMode="External"/><Relationship Id="rId4" Type="http://schemas.openxmlformats.org/officeDocument/2006/relationships/settings" Target="settings.xml"/><Relationship Id="rId9" Type="http://schemas.openxmlformats.org/officeDocument/2006/relationships/hyperlink" Target="http://www.journals.uchicago.edu/doi/abs/10.1086/654155" TargetMode="External"/><Relationship Id="rId14" Type="http://schemas.openxmlformats.org/officeDocument/2006/relationships/chart" Target="charts/chart4.xml"/></Relationships>
</file>

<file path=word/_rels/footnotes.xml.rels><?xml version="1.0" encoding="UTF-8" standalone="yes"?>
<Relationships xmlns="http://schemas.openxmlformats.org/package/2006/relationships"><Relationship Id="rId3" Type="http://schemas.openxmlformats.org/officeDocument/2006/relationships/hyperlink" Target="https://www.fns.usda.gov/snap/fact-sheet-resources-income-and-benefits" TargetMode="External"/><Relationship Id="rId2" Type="http://schemas.openxmlformats.org/officeDocument/2006/relationships/hyperlink" Target="http://www.remi.com/resources/documentation" TargetMode="External"/><Relationship Id="rId1" Type="http://schemas.openxmlformats.org/officeDocument/2006/relationships/hyperlink" Target="http://www.bls.gov/oes/oes_ques.h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yigen_000\Desktop\min\DC%20Occupational%20Breakdown_15dollar_MinWage_usd18_40pct_inflation.xlsx" TargetMode="External"/><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3" Type="http://schemas.openxmlformats.org/officeDocument/2006/relationships/oleObject" Target="file:///\\OCFO-SANFS3\Groups\ECONTAX\NEW%20STRUCTURE\TAX%20REVENUE%20ANALYSIS\DMuhammad\DIG\Min%20wage\Fall%202017\Res%20Lob%20Losses.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OCFO-SANFS3\Groups\ECONTAX\NEW%20STRUCTURE\TAX%20REVENUE%20ANALYSIS\DMuhammad\DIG\Min%20wage\Fall%202017\Res%20Lob%20Losses.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1" Type="http://schemas.openxmlformats.org/officeDocument/2006/relationships/oleObject" Target="file:///\\OCFO-SANFS3\Groups\ECONTAX\NEW%20STRUCTURE\TAX%20REVENUE%20ANALYSIS\DMuhammad\DIG\Min%20wage\Fall%202017\Elasticity%20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4649890806570097"/>
          <c:y val="1.6530017081198198E-2"/>
          <c:w val="0.53368127492640005"/>
          <c:h val="0.82351893513310903"/>
        </c:manualLayout>
      </c:layout>
      <c:barChart>
        <c:barDir val="bar"/>
        <c:grouping val="stacked"/>
        <c:varyColors val="0"/>
        <c:ser>
          <c:idx val="0"/>
          <c:order val="0"/>
          <c:tx>
            <c:strRef>
              <c:f>'[DC Occupational Breakdown_15dollar_MinWage_usd18_40pct_inflation.xlsx]2digits NAICS (2)'!$F$1</c:f>
              <c:strCache>
                <c:ptCount val="1"/>
                <c:pt idx="0">
                  <c:v>2019 Impact with  spillover effects</c:v>
                </c:pt>
              </c:strCache>
            </c:strRef>
          </c:tx>
          <c:invertIfNegative val="0"/>
          <c:cat>
            <c:strRef>
              <c:f>'[DC Occupational Breakdown_15dollar_MinWage_usd18_40pct_inflation.xlsx]2digits NAICS (2)'!$B$2:$B$20</c:f>
              <c:strCache>
                <c:ptCount val="19"/>
                <c:pt idx="0">
                  <c:v>Accommodation and Food Services</c:v>
                </c:pt>
                <c:pt idx="1">
                  <c:v>Other Services</c:v>
                </c:pt>
                <c:pt idx="2">
                  <c:v>Health Care and Social Assistance</c:v>
                </c:pt>
                <c:pt idx="3">
                  <c:v>Retail trade</c:v>
                </c:pt>
                <c:pt idx="4">
                  <c:v>Administrative and Support and Waste Management and Remediation Services</c:v>
                </c:pt>
                <c:pt idx="5">
                  <c:v>Professional, scientific, and technical services</c:v>
                </c:pt>
                <c:pt idx="6">
                  <c:v>Educational services</c:v>
                </c:pt>
                <c:pt idx="7">
                  <c:v>Real Estate and Rental and Leasing</c:v>
                </c:pt>
                <c:pt idx="8">
                  <c:v>Arts, Entertainment, and Recreation</c:v>
                </c:pt>
                <c:pt idx="9">
                  <c:v>Finance and Insurance</c:v>
                </c:pt>
                <c:pt idx="10">
                  <c:v>Information</c:v>
                </c:pt>
                <c:pt idx="11">
                  <c:v>Construction</c:v>
                </c:pt>
                <c:pt idx="12">
                  <c:v>Transportation and Warehousing</c:v>
                </c:pt>
                <c:pt idx="13">
                  <c:v>Wholesale trade</c:v>
                </c:pt>
                <c:pt idx="14">
                  <c:v>Management of companies and enterprises</c:v>
                </c:pt>
                <c:pt idx="15">
                  <c:v>Manufacturing</c:v>
                </c:pt>
                <c:pt idx="16">
                  <c:v>Utilities</c:v>
                </c:pt>
                <c:pt idx="17">
                  <c:v>Mining, Quarrying, and Oil and Gas Extraction</c:v>
                </c:pt>
                <c:pt idx="18">
                  <c:v>Agriculture, Forestry, Fishing and Hunting</c:v>
                </c:pt>
              </c:strCache>
            </c:strRef>
          </c:cat>
          <c:val>
            <c:numRef>
              <c:f>'[DC Occupational Breakdown_15dollar_MinWage_usd18_40pct_inflation.xlsx]2digits NAICS (2)'!$F$2:$F$20</c:f>
              <c:numCache>
                <c:formatCode>"$"#,##0</c:formatCode>
                <c:ptCount val="19"/>
                <c:pt idx="0">
                  <c:v>171.7629835774147</c:v>
                </c:pt>
                <c:pt idx="1">
                  <c:v>63.413010030524013</c:v>
                </c:pt>
                <c:pt idx="2">
                  <c:v>51.136724966930011</c:v>
                </c:pt>
                <c:pt idx="3">
                  <c:v>41.410650909389133</c:v>
                </c:pt>
                <c:pt idx="4">
                  <c:v>27.735436029171279</c:v>
                </c:pt>
                <c:pt idx="5">
                  <c:v>26.40011353395667</c:v>
                </c:pt>
                <c:pt idx="6">
                  <c:v>20.606795308130501</c:v>
                </c:pt>
                <c:pt idx="7">
                  <c:v>17.80861318124499</c:v>
                </c:pt>
                <c:pt idx="8">
                  <c:v>12.83744516350065</c:v>
                </c:pt>
                <c:pt idx="9">
                  <c:v>6.0731267607262156</c:v>
                </c:pt>
                <c:pt idx="10">
                  <c:v>5.8401222074192267</c:v>
                </c:pt>
                <c:pt idx="11">
                  <c:v>5.5447994148735997</c:v>
                </c:pt>
                <c:pt idx="12">
                  <c:v>3.2450366485688771</c:v>
                </c:pt>
                <c:pt idx="13">
                  <c:v>2.0965500156619599</c:v>
                </c:pt>
                <c:pt idx="14">
                  <c:v>0.57987643687419699</c:v>
                </c:pt>
                <c:pt idx="15">
                  <c:v>0.50259866259881802</c:v>
                </c:pt>
                <c:pt idx="16">
                  <c:v>0.35356271579253401</c:v>
                </c:pt>
                <c:pt idx="17">
                  <c:v>6.8745069427263106E-2</c:v>
                </c:pt>
                <c:pt idx="18">
                  <c:v>1.5560297809012601E-2</c:v>
                </c:pt>
              </c:numCache>
            </c:numRef>
          </c:val>
          <c:extLst xmlns:c16r2="http://schemas.microsoft.com/office/drawing/2015/06/chart">
            <c:ext xmlns:c16="http://schemas.microsoft.com/office/drawing/2014/chart" uri="{C3380CC4-5D6E-409C-BE32-E72D297353CC}">
              <c16:uniqueId val="{00000000-0F29-4731-A7B7-0F1001971B0A}"/>
            </c:ext>
          </c:extLst>
        </c:ser>
        <c:ser>
          <c:idx val="1"/>
          <c:order val="1"/>
          <c:tx>
            <c:strRef>
              <c:f>'[DC Occupational Breakdown_15dollar_MinWage_usd18_40pct_inflation.xlsx]2digits NAICS (2)'!$G$1</c:f>
              <c:strCache>
                <c:ptCount val="1"/>
                <c:pt idx="0">
                  <c:v>Percentage</c:v>
                </c:pt>
              </c:strCache>
            </c:strRef>
          </c:tx>
          <c:spPr>
            <a:blipFill>
              <a:blip xmlns:r="http://schemas.openxmlformats.org/officeDocument/2006/relationships" r:embed="rId1"/>
              <a:tile tx="0" ty="0" sx="100000" sy="100000" flip="none" algn="tl"/>
            </a:blipFill>
            <a:ln>
              <a:solidFill>
                <a:schemeClr val="accent1"/>
              </a:solidFill>
            </a:ln>
          </c:spPr>
          <c:invertIfNegative val="0"/>
          <c:dLbls>
            <c:spPr>
              <a:noFill/>
              <a:ln>
                <a:noFill/>
              </a:ln>
              <a:effectLst/>
            </c:sp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val>
            <c:numRef>
              <c:f>'[DC Occupational Breakdown_15dollar_MinWage_usd18_40pct_inflation.xlsx]2digits NAICS (2)'!$G$2:$G$20</c:f>
              <c:numCache>
                <c:formatCode>0.00%</c:formatCode>
                <c:ptCount val="19"/>
                <c:pt idx="0">
                  <c:v>6.15903500962654E-2</c:v>
                </c:pt>
                <c:pt idx="1">
                  <c:v>8.3127220598794693E-3</c:v>
                </c:pt>
                <c:pt idx="2">
                  <c:v>1.05214164797106E-2</c:v>
                </c:pt>
                <c:pt idx="3">
                  <c:v>4.51887464323594E-2</c:v>
                </c:pt>
                <c:pt idx="4">
                  <c:v>9.4901006578712501E-3</c:v>
                </c:pt>
                <c:pt idx="5">
                  <c:v>1.5240322124734601E-3</c:v>
                </c:pt>
                <c:pt idx="6">
                  <c:v>6.0739794608410799E-3</c:v>
                </c:pt>
                <c:pt idx="7">
                  <c:v>1.53583696103491E-2</c:v>
                </c:pt>
                <c:pt idx="8">
                  <c:v>2.5299995001075399E-2</c:v>
                </c:pt>
                <c:pt idx="9">
                  <c:v>1.9787644077226001E-3</c:v>
                </c:pt>
                <c:pt idx="10">
                  <c:v>2.1903552154563998E-3</c:v>
                </c:pt>
                <c:pt idx="11">
                  <c:v>4.1319495197402502E-3</c:v>
                </c:pt>
                <c:pt idx="12">
                  <c:v>8.4676176608995506E-3</c:v>
                </c:pt>
                <c:pt idx="13">
                  <c:v>2.60378569568037E-3</c:v>
                </c:pt>
                <c:pt idx="14">
                  <c:v>9.4069814168342401E-4</c:v>
                </c:pt>
                <c:pt idx="15">
                  <c:v>3.4571851490515599E-3</c:v>
                </c:pt>
                <c:pt idx="16">
                  <c:v>1.6656116482274301E-3</c:v>
                </c:pt>
                <c:pt idx="17">
                  <c:v>0</c:v>
                </c:pt>
                <c:pt idx="18">
                  <c:v>0</c:v>
                </c:pt>
              </c:numCache>
            </c:numRef>
          </c:val>
          <c:extLst xmlns:c16r2="http://schemas.microsoft.com/office/drawing/2015/06/chart">
            <c:ext xmlns:c16="http://schemas.microsoft.com/office/drawing/2014/chart" uri="{C3380CC4-5D6E-409C-BE32-E72D297353CC}">
              <c16:uniqueId val="{00000001-0F29-4731-A7B7-0F1001971B0A}"/>
            </c:ext>
          </c:extLst>
        </c:ser>
        <c:dLbls>
          <c:showLegendKey val="0"/>
          <c:showVal val="0"/>
          <c:showCatName val="0"/>
          <c:showSerName val="0"/>
          <c:showPercent val="0"/>
          <c:showBubbleSize val="0"/>
        </c:dLbls>
        <c:gapWidth val="75"/>
        <c:overlap val="100"/>
        <c:axId val="128271984"/>
        <c:axId val="128269744"/>
      </c:barChart>
      <c:catAx>
        <c:axId val="128271984"/>
        <c:scaling>
          <c:orientation val="minMax"/>
        </c:scaling>
        <c:delete val="0"/>
        <c:axPos val="l"/>
        <c:numFmt formatCode="General" sourceLinked="0"/>
        <c:majorTickMark val="none"/>
        <c:minorTickMark val="none"/>
        <c:tickLblPos val="nextTo"/>
        <c:crossAx val="128269744"/>
        <c:crosses val="autoZero"/>
        <c:auto val="1"/>
        <c:lblAlgn val="ctr"/>
        <c:lblOffset val="100"/>
        <c:noMultiLvlLbl val="0"/>
      </c:catAx>
      <c:valAx>
        <c:axId val="128269744"/>
        <c:scaling>
          <c:orientation val="minMax"/>
        </c:scaling>
        <c:delete val="0"/>
        <c:axPos val="b"/>
        <c:majorGridlines>
          <c:spPr>
            <a:ln>
              <a:noFill/>
            </a:ln>
          </c:spPr>
        </c:majorGridlines>
        <c:numFmt formatCode="&quot;$&quot;#,##0" sourceLinked="1"/>
        <c:majorTickMark val="none"/>
        <c:minorTickMark val="none"/>
        <c:tickLblPos val="nextTo"/>
        <c:txPr>
          <a:bodyPr rot="5400000" vert="horz"/>
          <a:lstStyle/>
          <a:p>
            <a:pPr>
              <a:defRPr/>
            </a:pPr>
            <a:endParaRPr lang="en-US"/>
          </a:p>
        </c:txPr>
        <c:crossAx val="128271984"/>
        <c:crosses val="autoZero"/>
        <c:crossBetween val="between"/>
      </c:valAx>
    </c:plotArea>
    <c:plotVisOnly val="1"/>
    <c:dispBlanksAs val="gap"/>
    <c:showDLblsOverMax val="0"/>
  </c:chart>
  <c:spPr>
    <a:ln>
      <a:noFill/>
    </a:ln>
  </c:spPr>
  <c:txPr>
    <a:bodyPr/>
    <a:lstStyle/>
    <a:p>
      <a:pPr>
        <a:defRPr>
          <a:ln>
            <a:noFill/>
          </a:ln>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Resident</a:t>
            </a:r>
            <a:r>
              <a:rPr lang="en-US" baseline="0"/>
              <a:t> Job Loss by Scenario</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189617513654001"/>
          <c:y val="0.17634259259259299"/>
          <c:w val="0.81566391757013201"/>
          <c:h val="0.59581437736949605"/>
        </c:manualLayout>
      </c:layout>
      <c:lineChart>
        <c:grouping val="standard"/>
        <c:varyColors val="0"/>
        <c:ser>
          <c:idx val="0"/>
          <c:order val="0"/>
          <c:tx>
            <c:strRef>
              <c:f>Sheet1!$B$4</c:f>
              <c:strCache>
                <c:ptCount val="1"/>
                <c:pt idx="0">
                  <c:v>Scenario 1</c:v>
                </c:pt>
              </c:strCache>
            </c:strRef>
          </c:tx>
          <c:spPr>
            <a:ln w="19050" cap="rnd">
              <a:solidFill>
                <a:schemeClr val="accent1"/>
              </a:solidFill>
              <a:round/>
            </a:ln>
            <a:effectLst/>
          </c:spPr>
          <c:marker>
            <c:symbol val="none"/>
          </c:marker>
          <c:dLbls>
            <c:dLbl>
              <c:idx val="4"/>
              <c:layout>
                <c:manualLayout>
                  <c:x val="-0.22357162572453801"/>
                  <c:y val="0.196759259259259"/>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5F71491C-CF39-4157-8740-F1A2D811312E}" type="VALUE">
                      <a:rPr lang="en-US" sz="700"/>
                      <a:pPr>
                        <a:defRPr/>
                      </a:pPr>
                      <a:t>[VALUE]</a:t>
                    </a:fld>
                    <a:endParaRPr lang="en-US"/>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3B9-4199-ABC1-EAD4457F3F32}"/>
                </c:ext>
                <c:ext xmlns:c15="http://schemas.microsoft.com/office/drawing/2012/chart" uri="{CE6537A1-D6FC-4f65-9D91-7224C49458BB}">
                  <c15:layout>
                    <c:manualLayout>
                      <c:w val="8.0706596743030698E-2"/>
                      <c:h val="6.9375182268883007E-2"/>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Sheet1!$A$5:$A$20</c:f>
              <c:numCache>
                <c:formatCode>General</c:formatCode>
                <c:ptCount val="16"/>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pt idx="15">
                  <c:v>2032</c:v>
                </c:pt>
              </c:numCache>
            </c:numRef>
          </c:cat>
          <c:val>
            <c:numRef>
              <c:f>Sheet1!$B$5:$B$20</c:f>
              <c:numCache>
                <c:formatCode>#,##0</c:formatCode>
                <c:ptCount val="16"/>
                <c:pt idx="0">
                  <c:v>-90</c:v>
                </c:pt>
                <c:pt idx="1">
                  <c:v>-339</c:v>
                </c:pt>
                <c:pt idx="2">
                  <c:v>-660</c:v>
                </c:pt>
                <c:pt idx="3">
                  <c:v>-1040</c:v>
                </c:pt>
                <c:pt idx="4">
                  <c:v>-1347</c:v>
                </c:pt>
                <c:pt idx="5">
                  <c:v>-1595</c:v>
                </c:pt>
                <c:pt idx="6">
                  <c:v>-1805</c:v>
                </c:pt>
                <c:pt idx="7">
                  <c:v>-1977</c:v>
                </c:pt>
                <c:pt idx="8">
                  <c:v>-2120</c:v>
                </c:pt>
                <c:pt idx="9">
                  <c:v>-2213</c:v>
                </c:pt>
                <c:pt idx="10">
                  <c:v>-2316</c:v>
                </c:pt>
                <c:pt idx="11">
                  <c:v>-2390</c:v>
                </c:pt>
                <c:pt idx="12">
                  <c:v>-2461</c:v>
                </c:pt>
                <c:pt idx="13">
                  <c:v>-2534</c:v>
                </c:pt>
                <c:pt idx="14">
                  <c:v>-2617</c:v>
                </c:pt>
                <c:pt idx="15">
                  <c:v>-2690</c:v>
                </c:pt>
              </c:numCache>
            </c:numRef>
          </c:val>
          <c:smooth val="0"/>
          <c:extLst xmlns:c16r2="http://schemas.microsoft.com/office/drawing/2015/06/chart">
            <c:ext xmlns:c16="http://schemas.microsoft.com/office/drawing/2014/chart" uri="{C3380CC4-5D6E-409C-BE32-E72D297353CC}">
              <c16:uniqueId val="{00000001-83B9-4199-ABC1-EAD4457F3F32}"/>
            </c:ext>
          </c:extLst>
        </c:ser>
        <c:ser>
          <c:idx val="1"/>
          <c:order val="1"/>
          <c:tx>
            <c:strRef>
              <c:f>Sheet1!$C$4</c:f>
              <c:strCache>
                <c:ptCount val="1"/>
                <c:pt idx="0">
                  <c:v>Scenario 2</c:v>
                </c:pt>
              </c:strCache>
            </c:strRef>
          </c:tx>
          <c:spPr>
            <a:ln w="19050" cap="rnd">
              <a:solidFill>
                <a:schemeClr val="accent2"/>
              </a:solidFill>
              <a:round/>
            </a:ln>
            <a:effectLst/>
          </c:spPr>
          <c:marker>
            <c:symbol val="diamond"/>
            <c:size val="6"/>
            <c:spPr>
              <a:solidFill>
                <a:schemeClr val="accent2"/>
              </a:solidFill>
              <a:ln w="9525">
                <a:solidFill>
                  <a:schemeClr val="accent2"/>
                </a:solidFill>
              </a:ln>
              <a:effectLst/>
            </c:spPr>
          </c:marker>
          <c:dLbls>
            <c:dLbl>
              <c:idx val="4"/>
              <c:layout>
                <c:manualLayout>
                  <c:x val="2.7601435274634201E-2"/>
                  <c:y val="0.22222222222222199"/>
                </c:manualLayout>
              </c:layout>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3B9-4199-ABC1-EAD4457F3F32}"/>
                </c:ext>
                <c:ext xmlns:c15="http://schemas.microsoft.com/office/drawing/2012/chart" uri="{CE6537A1-D6FC-4f65-9D91-7224C49458BB}">
                  <c15:layout>
                    <c:manualLayout>
                      <c:w val="6.6491857576593996E-2"/>
                      <c:h val="4.4189997083697898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Sheet1!$A$5:$A$20</c:f>
              <c:numCache>
                <c:formatCode>General</c:formatCode>
                <c:ptCount val="16"/>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pt idx="15">
                  <c:v>2032</c:v>
                </c:pt>
              </c:numCache>
            </c:numRef>
          </c:cat>
          <c:val>
            <c:numRef>
              <c:f>Sheet1!$C$5:$C$20</c:f>
              <c:numCache>
                <c:formatCode>#,##0</c:formatCode>
                <c:ptCount val="16"/>
                <c:pt idx="0">
                  <c:v>-90</c:v>
                </c:pt>
                <c:pt idx="1">
                  <c:v>-339</c:v>
                </c:pt>
                <c:pt idx="2">
                  <c:v>-777</c:v>
                </c:pt>
                <c:pt idx="3">
                  <c:v>-1310</c:v>
                </c:pt>
                <c:pt idx="4">
                  <c:v>-1680</c:v>
                </c:pt>
                <c:pt idx="5">
                  <c:v>-2004</c:v>
                </c:pt>
                <c:pt idx="6">
                  <c:v>-2262</c:v>
                </c:pt>
                <c:pt idx="7">
                  <c:v>-2475</c:v>
                </c:pt>
                <c:pt idx="8">
                  <c:v>-2649</c:v>
                </c:pt>
                <c:pt idx="9">
                  <c:v>-2757</c:v>
                </c:pt>
                <c:pt idx="10">
                  <c:v>-2874</c:v>
                </c:pt>
                <c:pt idx="11">
                  <c:v>-2956</c:v>
                </c:pt>
                <c:pt idx="12">
                  <c:v>-3035</c:v>
                </c:pt>
                <c:pt idx="13">
                  <c:v>-3114</c:v>
                </c:pt>
                <c:pt idx="14">
                  <c:v>-3204</c:v>
                </c:pt>
                <c:pt idx="15">
                  <c:v>-3281</c:v>
                </c:pt>
              </c:numCache>
            </c:numRef>
          </c:val>
          <c:smooth val="0"/>
          <c:extLst xmlns:c16r2="http://schemas.microsoft.com/office/drawing/2015/06/chart">
            <c:ext xmlns:c16="http://schemas.microsoft.com/office/drawing/2014/chart" uri="{C3380CC4-5D6E-409C-BE32-E72D297353CC}">
              <c16:uniqueId val="{00000003-83B9-4199-ABC1-EAD4457F3F32}"/>
            </c:ext>
          </c:extLst>
        </c:ser>
        <c:ser>
          <c:idx val="2"/>
          <c:order val="2"/>
          <c:tx>
            <c:strRef>
              <c:f>Sheet1!$D$4</c:f>
              <c:strCache>
                <c:ptCount val="1"/>
                <c:pt idx="0">
                  <c:v>Scenario 3</c:v>
                </c:pt>
              </c:strCache>
            </c:strRef>
          </c:tx>
          <c:spPr>
            <a:ln w="19050" cap="rnd">
              <a:solidFill>
                <a:schemeClr val="accent3"/>
              </a:solidFill>
              <a:round/>
            </a:ln>
            <a:effectLst/>
          </c:spPr>
          <c:marker>
            <c:symbol val="x"/>
            <c:size val="6"/>
            <c:spPr>
              <a:noFill/>
              <a:ln w="9525">
                <a:solidFill>
                  <a:schemeClr val="accent3"/>
                </a:solidFill>
              </a:ln>
              <a:effectLst/>
            </c:spPr>
          </c:marker>
          <c:dLbls>
            <c:dLbl>
              <c:idx val="0"/>
              <c:delete val="1"/>
              <c:extLst xmlns:c16r2="http://schemas.microsoft.com/office/drawing/2015/06/chart">
                <c:ext xmlns:c16="http://schemas.microsoft.com/office/drawing/2014/chart" uri="{C3380CC4-5D6E-409C-BE32-E72D297353CC}">
                  <c16:uniqueId val="{00000004-83B9-4199-ABC1-EAD4457F3F32}"/>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5-83B9-4199-ABC1-EAD4457F3F32}"/>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6-83B9-4199-ABC1-EAD4457F3F32}"/>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7-83B9-4199-ABC1-EAD4457F3F32}"/>
                </c:ext>
                <c:ext xmlns:c15="http://schemas.microsoft.com/office/drawing/2012/chart" uri="{CE6537A1-D6FC-4f65-9D91-7224C49458BB}"/>
              </c:extLst>
            </c:dLbl>
            <c:dLbl>
              <c:idx val="4"/>
              <c:layout>
                <c:manualLayout>
                  <c:x val="-0.220811482197074"/>
                  <c:y val="6.9444444444443599E-3"/>
                </c:manualLayout>
              </c:layout>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83B9-4199-ABC1-EAD4457F3F32}"/>
                </c:ext>
                <c:ext xmlns:c15="http://schemas.microsoft.com/office/drawing/2012/chart" uri="{CE6537A1-D6FC-4f65-9D91-7224C49458BB}">
                  <c15:layout>
                    <c:manualLayout>
                      <c:w val="8.0706596743030698E-2"/>
                      <c:h val="6.0115923009623803E-2"/>
                    </c:manualLayout>
                  </c15:layout>
                </c:ext>
              </c:extLst>
            </c:dLbl>
            <c:dLbl>
              <c:idx val="5"/>
              <c:delete val="1"/>
              <c:extLst xmlns:c16r2="http://schemas.microsoft.com/office/drawing/2015/06/chart">
                <c:ext xmlns:c16="http://schemas.microsoft.com/office/drawing/2014/chart" uri="{C3380CC4-5D6E-409C-BE32-E72D297353CC}">
                  <c16:uniqueId val="{00000009-83B9-4199-ABC1-EAD4457F3F32}"/>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0A-83B9-4199-ABC1-EAD4457F3F32}"/>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0B-83B9-4199-ABC1-EAD4457F3F32}"/>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0C-83B9-4199-ABC1-EAD4457F3F32}"/>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0D-83B9-4199-ABC1-EAD4457F3F32}"/>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0E-83B9-4199-ABC1-EAD4457F3F32}"/>
                </c:ext>
                <c:ext xmlns:c15="http://schemas.microsoft.com/office/drawing/2012/chart" uri="{CE6537A1-D6FC-4f65-9D91-7224C49458BB}"/>
              </c:extLst>
            </c:dLbl>
            <c:dLbl>
              <c:idx val="11"/>
              <c:delete val="1"/>
              <c:extLst xmlns:c16r2="http://schemas.microsoft.com/office/drawing/2015/06/chart">
                <c:ext xmlns:c16="http://schemas.microsoft.com/office/drawing/2014/chart" uri="{C3380CC4-5D6E-409C-BE32-E72D297353CC}">
                  <c16:uniqueId val="{0000000F-83B9-4199-ABC1-EAD4457F3F32}"/>
                </c:ext>
                <c:ext xmlns:c15="http://schemas.microsoft.com/office/drawing/2012/chart" uri="{CE6537A1-D6FC-4f65-9D91-7224C49458BB}"/>
              </c:extLst>
            </c:dLbl>
            <c:dLbl>
              <c:idx val="12"/>
              <c:delete val="1"/>
              <c:extLst xmlns:c16r2="http://schemas.microsoft.com/office/drawing/2015/06/chart">
                <c:ext xmlns:c16="http://schemas.microsoft.com/office/drawing/2014/chart" uri="{C3380CC4-5D6E-409C-BE32-E72D297353CC}">
                  <c16:uniqueId val="{00000010-83B9-4199-ABC1-EAD4457F3F32}"/>
                </c:ext>
                <c:ext xmlns:c15="http://schemas.microsoft.com/office/drawing/2012/chart" uri="{CE6537A1-D6FC-4f65-9D91-7224C49458BB}"/>
              </c:extLst>
            </c:dLbl>
            <c:dLbl>
              <c:idx val="13"/>
              <c:delete val="1"/>
              <c:extLst xmlns:c16r2="http://schemas.microsoft.com/office/drawing/2015/06/chart">
                <c:ext xmlns:c16="http://schemas.microsoft.com/office/drawing/2014/chart" uri="{C3380CC4-5D6E-409C-BE32-E72D297353CC}">
                  <c16:uniqueId val="{00000011-83B9-4199-ABC1-EAD4457F3F32}"/>
                </c:ext>
                <c:ext xmlns:c15="http://schemas.microsoft.com/office/drawing/2012/chart" uri="{CE6537A1-D6FC-4f65-9D91-7224C49458BB}"/>
              </c:extLst>
            </c:dLbl>
            <c:dLbl>
              <c:idx val="14"/>
              <c:delete val="1"/>
              <c:extLst xmlns:c16r2="http://schemas.microsoft.com/office/drawing/2015/06/chart">
                <c:ext xmlns:c16="http://schemas.microsoft.com/office/drawing/2014/chart" uri="{C3380CC4-5D6E-409C-BE32-E72D297353CC}">
                  <c16:uniqueId val="{00000012-83B9-4199-ABC1-EAD4457F3F32}"/>
                </c:ext>
                <c:ext xmlns:c15="http://schemas.microsoft.com/office/drawing/2012/chart" uri="{CE6537A1-D6FC-4f65-9D91-7224C49458BB}"/>
              </c:extLst>
            </c:dLbl>
            <c:dLbl>
              <c:idx val="15"/>
              <c:delete val="1"/>
              <c:extLst xmlns:c16r2="http://schemas.microsoft.com/office/drawing/2015/06/chart">
                <c:ext xmlns:c16="http://schemas.microsoft.com/office/drawing/2014/chart" uri="{C3380CC4-5D6E-409C-BE32-E72D297353CC}">
                  <c16:uniqueId val="{00000013-83B9-4199-ABC1-EAD4457F3F3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Sheet1!$A$5:$A$20</c:f>
              <c:numCache>
                <c:formatCode>General</c:formatCode>
                <c:ptCount val="16"/>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pt idx="15">
                  <c:v>2032</c:v>
                </c:pt>
              </c:numCache>
            </c:numRef>
          </c:cat>
          <c:val>
            <c:numRef>
              <c:f>Sheet1!$D$5:$D$20</c:f>
              <c:numCache>
                <c:formatCode>#,##0</c:formatCode>
                <c:ptCount val="16"/>
                <c:pt idx="0">
                  <c:v>-58</c:v>
                </c:pt>
                <c:pt idx="1">
                  <c:v>-224</c:v>
                </c:pt>
                <c:pt idx="2">
                  <c:v>-520</c:v>
                </c:pt>
                <c:pt idx="3">
                  <c:v>-892</c:v>
                </c:pt>
                <c:pt idx="4">
                  <c:v>-1160</c:v>
                </c:pt>
                <c:pt idx="5">
                  <c:v>-1393</c:v>
                </c:pt>
                <c:pt idx="6">
                  <c:v>-1583</c:v>
                </c:pt>
                <c:pt idx="7">
                  <c:v>-1738</c:v>
                </c:pt>
                <c:pt idx="8">
                  <c:v>-1865</c:v>
                </c:pt>
                <c:pt idx="9">
                  <c:v>-1945</c:v>
                </c:pt>
                <c:pt idx="10">
                  <c:v>-2035</c:v>
                </c:pt>
                <c:pt idx="11">
                  <c:v>-2097</c:v>
                </c:pt>
                <c:pt idx="12">
                  <c:v>-2153</c:v>
                </c:pt>
                <c:pt idx="13">
                  <c:v>-2211</c:v>
                </c:pt>
                <c:pt idx="14">
                  <c:v>-2277</c:v>
                </c:pt>
                <c:pt idx="15">
                  <c:v>-2332</c:v>
                </c:pt>
              </c:numCache>
            </c:numRef>
          </c:val>
          <c:smooth val="0"/>
          <c:extLst xmlns:c16r2="http://schemas.microsoft.com/office/drawing/2015/06/chart">
            <c:ext xmlns:c16="http://schemas.microsoft.com/office/drawing/2014/chart" uri="{C3380CC4-5D6E-409C-BE32-E72D297353CC}">
              <c16:uniqueId val="{00000014-83B9-4199-ABC1-EAD4457F3F32}"/>
            </c:ext>
          </c:extLst>
        </c:ser>
        <c:ser>
          <c:idx val="3"/>
          <c:order val="3"/>
          <c:tx>
            <c:strRef>
              <c:f>Sheet1!$E$4</c:f>
              <c:strCache>
                <c:ptCount val="1"/>
                <c:pt idx="0">
                  <c:v>Scenario 4</c:v>
                </c:pt>
              </c:strCache>
            </c:strRef>
          </c:tx>
          <c:spPr>
            <a:ln w="19050" cap="rnd">
              <a:solidFill>
                <a:schemeClr val="accent4"/>
              </a:solidFill>
              <a:round/>
            </a:ln>
            <a:effectLst/>
          </c:spPr>
          <c:marker>
            <c:symbol val="circle"/>
            <c:size val="6"/>
            <c:spPr>
              <a:solidFill>
                <a:schemeClr val="accent4"/>
              </a:solidFill>
              <a:ln w="9525">
                <a:solidFill>
                  <a:schemeClr val="accent4"/>
                </a:solidFill>
              </a:ln>
              <a:effectLst/>
            </c:spPr>
          </c:marker>
          <c:dLbls>
            <c:dLbl>
              <c:idx val="4"/>
              <c:layout>
                <c:manualLayout>
                  <c:x val="8.2804305823902802E-2"/>
                  <c:y val="-1.85185185185185E-2"/>
                </c:manualLayout>
              </c:layout>
              <c:tx>
                <c:rich>
                  <a:bodyPr/>
                  <a:lstStyle/>
                  <a:p>
                    <a:fld id="{C9DE9351-9214-499F-ABDE-466534F4C38D}" type="VALUE">
                      <a:rPr lang="en-US" sz="700" baseline="0"/>
                      <a:pPr/>
                      <a:t>[VALUE]</a:t>
                    </a:fld>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83B9-4199-ABC1-EAD4457F3F32}"/>
                </c:ex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Sheet1!$A$5:$A$20</c:f>
              <c:numCache>
                <c:formatCode>General</c:formatCode>
                <c:ptCount val="16"/>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pt idx="15">
                  <c:v>2032</c:v>
                </c:pt>
              </c:numCache>
            </c:numRef>
          </c:cat>
          <c:val>
            <c:numRef>
              <c:f>Sheet1!$E$5:$E$20</c:f>
              <c:numCache>
                <c:formatCode>#,##0</c:formatCode>
                <c:ptCount val="16"/>
                <c:pt idx="0">
                  <c:v>-50</c:v>
                </c:pt>
                <c:pt idx="1">
                  <c:v>-197</c:v>
                </c:pt>
                <c:pt idx="2">
                  <c:v>-462</c:v>
                </c:pt>
                <c:pt idx="3">
                  <c:v>-810</c:v>
                </c:pt>
                <c:pt idx="4">
                  <c:v>-1074</c:v>
                </c:pt>
                <c:pt idx="5">
                  <c:v>-1306</c:v>
                </c:pt>
                <c:pt idx="6">
                  <c:v>-1496</c:v>
                </c:pt>
                <c:pt idx="7">
                  <c:v>-1651</c:v>
                </c:pt>
                <c:pt idx="8">
                  <c:v>-1779</c:v>
                </c:pt>
                <c:pt idx="9">
                  <c:v>-1860</c:v>
                </c:pt>
                <c:pt idx="10">
                  <c:v>-1951</c:v>
                </c:pt>
                <c:pt idx="11">
                  <c:v>-2014</c:v>
                </c:pt>
                <c:pt idx="12">
                  <c:v>-2071</c:v>
                </c:pt>
                <c:pt idx="13">
                  <c:v>-2128</c:v>
                </c:pt>
                <c:pt idx="14">
                  <c:v>-2193</c:v>
                </c:pt>
                <c:pt idx="15">
                  <c:v>-2248</c:v>
                </c:pt>
              </c:numCache>
            </c:numRef>
          </c:val>
          <c:smooth val="0"/>
          <c:extLst xmlns:c16r2="http://schemas.microsoft.com/office/drawing/2015/06/chart">
            <c:ext xmlns:c16="http://schemas.microsoft.com/office/drawing/2014/chart" uri="{C3380CC4-5D6E-409C-BE32-E72D297353CC}">
              <c16:uniqueId val="{00000016-83B9-4199-ABC1-EAD4457F3F32}"/>
            </c:ext>
          </c:extLst>
        </c:ser>
        <c:ser>
          <c:idx val="4"/>
          <c:order val="4"/>
          <c:tx>
            <c:strRef>
              <c:f>Sheet1!$F$4</c:f>
              <c:strCache>
                <c:ptCount val="1"/>
                <c:pt idx="0">
                  <c:v>Scenario 5</c:v>
                </c:pt>
              </c:strCache>
            </c:strRef>
          </c:tx>
          <c:spPr>
            <a:ln w="19050" cap="rnd">
              <a:solidFill>
                <a:schemeClr val="accent5"/>
              </a:solidFill>
              <a:round/>
            </a:ln>
            <a:effectLst/>
          </c:spPr>
          <c:marker>
            <c:symbol val="triangle"/>
            <c:size val="6"/>
            <c:spPr>
              <a:solidFill>
                <a:schemeClr val="accent5"/>
              </a:solidFill>
              <a:ln w="9525">
                <a:solidFill>
                  <a:schemeClr val="accent5"/>
                </a:solidFill>
              </a:ln>
              <a:effectLst/>
            </c:spPr>
          </c:marker>
          <c:dLbls>
            <c:dLbl>
              <c:idx val="4"/>
              <c:layout>
                <c:manualLayout>
                  <c:x val="-4.4162296439414897E-2"/>
                  <c:y val="-6.9444444444444503E-2"/>
                </c:manualLayout>
              </c:layout>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83B9-4199-ABC1-EAD4457F3F32}"/>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Sheet1!$A$5:$A$20</c:f>
              <c:numCache>
                <c:formatCode>General</c:formatCode>
                <c:ptCount val="16"/>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pt idx="15">
                  <c:v>2032</c:v>
                </c:pt>
              </c:numCache>
            </c:numRef>
          </c:cat>
          <c:val>
            <c:numRef>
              <c:f>Sheet1!$F$5:$F$20</c:f>
              <c:numCache>
                <c:formatCode>#,##0</c:formatCode>
                <c:ptCount val="16"/>
                <c:pt idx="0">
                  <c:v>8</c:v>
                </c:pt>
                <c:pt idx="1">
                  <c:v>14</c:v>
                </c:pt>
                <c:pt idx="2">
                  <c:v>13</c:v>
                </c:pt>
                <c:pt idx="3">
                  <c:v>-35</c:v>
                </c:pt>
                <c:pt idx="4">
                  <c:v>-109</c:v>
                </c:pt>
                <c:pt idx="5">
                  <c:v>-175</c:v>
                </c:pt>
                <c:pt idx="6">
                  <c:v>-233</c:v>
                </c:pt>
                <c:pt idx="7">
                  <c:v>-282</c:v>
                </c:pt>
                <c:pt idx="8">
                  <c:v>-326</c:v>
                </c:pt>
                <c:pt idx="9">
                  <c:v>-358</c:v>
                </c:pt>
                <c:pt idx="10">
                  <c:v>-388</c:v>
                </c:pt>
                <c:pt idx="11">
                  <c:v>-413</c:v>
                </c:pt>
                <c:pt idx="12">
                  <c:v>-431</c:v>
                </c:pt>
                <c:pt idx="13">
                  <c:v>-450</c:v>
                </c:pt>
                <c:pt idx="14">
                  <c:v>-467</c:v>
                </c:pt>
                <c:pt idx="15">
                  <c:v>-483</c:v>
                </c:pt>
              </c:numCache>
            </c:numRef>
          </c:val>
          <c:smooth val="0"/>
          <c:extLst xmlns:c16r2="http://schemas.microsoft.com/office/drawing/2015/06/chart">
            <c:ext xmlns:c16="http://schemas.microsoft.com/office/drawing/2014/chart" uri="{C3380CC4-5D6E-409C-BE32-E72D297353CC}">
              <c16:uniqueId val="{00000018-83B9-4199-ABC1-EAD4457F3F32}"/>
            </c:ext>
          </c:extLst>
        </c:ser>
        <c:dLbls>
          <c:showLegendKey val="0"/>
          <c:showVal val="0"/>
          <c:showCatName val="0"/>
          <c:showSerName val="0"/>
          <c:showPercent val="0"/>
          <c:showBubbleSize val="0"/>
        </c:dLbls>
        <c:smooth val="0"/>
        <c:axId val="205756672"/>
        <c:axId val="205757232"/>
      </c:lineChart>
      <c:catAx>
        <c:axId val="205756672"/>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baseline="0"/>
                  <a:t>Years</a:t>
                </a:r>
              </a:p>
            </c:rich>
          </c:tx>
          <c:layout>
            <c:manualLayout>
              <c:xMode val="edge"/>
              <c:yMode val="edge"/>
              <c:x val="0.45411880787879699"/>
              <c:y val="0.84781313794109103"/>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05757232"/>
        <c:crosses val="autoZero"/>
        <c:auto val="1"/>
        <c:lblAlgn val="ctr"/>
        <c:lblOffset val="100"/>
        <c:noMultiLvlLbl val="0"/>
      </c:catAx>
      <c:valAx>
        <c:axId val="2057572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baseline="0"/>
                  <a:t>Job Losses</a:t>
                </a:r>
              </a:p>
            </c:rich>
          </c:tx>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05756672"/>
        <c:crosses val="autoZero"/>
        <c:crossBetween val="between"/>
      </c:valAx>
      <c:spPr>
        <a:noFill/>
        <a:ln>
          <a:noFill/>
        </a:ln>
        <a:effectLst/>
      </c:spPr>
    </c:plotArea>
    <c:legend>
      <c:legendPos val="b"/>
      <c:layout>
        <c:manualLayout>
          <c:xMode val="edge"/>
          <c:yMode val="edge"/>
          <c:x val="6.3799525081639497E-2"/>
          <c:y val="0.92746609798775104"/>
          <c:w val="0.89999984788009002"/>
          <c:h val="7.2533902012248505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 Change</a:t>
            </a:r>
            <a:r>
              <a:rPr lang="en-US" baseline="0"/>
              <a:t> in DC GSP by Scenario in 2021 </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Sheet1!$B$4:$F$4</c:f>
              <c:strCache>
                <c:ptCount val="5"/>
                <c:pt idx="0">
                  <c:v>Scenario 1</c:v>
                </c:pt>
                <c:pt idx="1">
                  <c:v>Scenario 2</c:v>
                </c:pt>
                <c:pt idx="2">
                  <c:v>Scenario 3</c:v>
                </c:pt>
                <c:pt idx="3">
                  <c:v>Scenario 4</c:v>
                </c:pt>
                <c:pt idx="4">
                  <c:v>Scenario 5</c:v>
                </c:pt>
              </c:strCache>
            </c:strRef>
          </c:cat>
          <c:val>
            <c:numRef>
              <c:f>Sheet1!$P$28:$P$32</c:f>
              <c:numCache>
                <c:formatCode>0.00%</c:formatCode>
                <c:ptCount val="5"/>
                <c:pt idx="0">
                  <c:v>-3.42367393000653E-3</c:v>
                </c:pt>
                <c:pt idx="1">
                  <c:v>-4.2700610262887996E-3</c:v>
                </c:pt>
                <c:pt idx="2">
                  <c:v>-2.94837547053273E-3</c:v>
                </c:pt>
                <c:pt idx="3">
                  <c:v>-2.7297890132346198E-3</c:v>
                </c:pt>
                <c:pt idx="4">
                  <c:v>-2.77045626110417E-4</c:v>
                </c:pt>
              </c:numCache>
            </c:numRef>
          </c:val>
          <c:extLst xmlns:c16r2="http://schemas.microsoft.com/office/drawing/2015/06/chart">
            <c:ext xmlns:c16="http://schemas.microsoft.com/office/drawing/2014/chart" uri="{C3380CC4-5D6E-409C-BE32-E72D297353CC}">
              <c16:uniqueId val="{00000000-4A0C-4282-B143-582C7DCEAB0B}"/>
            </c:ext>
          </c:extLst>
        </c:ser>
        <c:dLbls>
          <c:showLegendKey val="0"/>
          <c:showVal val="0"/>
          <c:showCatName val="0"/>
          <c:showSerName val="0"/>
          <c:showPercent val="0"/>
          <c:showBubbleSize val="0"/>
        </c:dLbls>
        <c:gapWidth val="219"/>
        <c:overlap val="-27"/>
        <c:axId val="205759472"/>
        <c:axId val="205760032"/>
      </c:barChart>
      <c:catAx>
        <c:axId val="20575947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760032"/>
        <c:crosses val="autoZero"/>
        <c:auto val="1"/>
        <c:lblAlgn val="ctr"/>
        <c:lblOffset val="100"/>
        <c:noMultiLvlLbl val="0"/>
      </c:catAx>
      <c:valAx>
        <c:axId val="2057600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759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Estimated Employment Elasticities</a:t>
            </a:r>
          </a:p>
        </c:rich>
      </c:tx>
      <c:layout>
        <c:manualLayout>
          <c:xMode val="edge"/>
          <c:yMode val="edge"/>
          <c:x val="0.30356933508311501"/>
          <c:y val="1.8518518518518601E-2"/>
        </c:manualLayout>
      </c:layout>
      <c:overlay val="0"/>
    </c:title>
    <c:autoTitleDeleted val="0"/>
    <c:plotArea>
      <c:layout>
        <c:manualLayout>
          <c:layoutTarget val="inner"/>
          <c:xMode val="edge"/>
          <c:yMode val="edge"/>
          <c:x val="0.137002843394576"/>
          <c:y val="0.12800925925925899"/>
          <c:w val="0.83244160104986897"/>
          <c:h val="0.58394903762029904"/>
        </c:manualLayout>
      </c:layout>
      <c:lineChart>
        <c:grouping val="standard"/>
        <c:varyColors val="0"/>
        <c:ser>
          <c:idx val="0"/>
          <c:order val="0"/>
          <c:spPr>
            <a:ln w="25400">
              <a:prstDash val="sysDot"/>
            </a:ln>
          </c:spPr>
          <c:marker>
            <c:symbol val="x"/>
            <c:size val="7"/>
            <c:spPr>
              <a:noFill/>
            </c:spPr>
          </c:marker>
          <c:dPt>
            <c:idx val="2"/>
            <c:marker>
              <c:symbol val="diamond"/>
              <c:size val="7"/>
              <c:spPr>
                <a:solidFill>
                  <a:schemeClr val="tx1"/>
                </a:solidFill>
              </c:spPr>
            </c:marker>
            <c:bubble3D val="0"/>
            <c:extLst xmlns:c16r2="http://schemas.microsoft.com/office/drawing/2015/06/chart">
              <c:ext xmlns:c16="http://schemas.microsoft.com/office/drawing/2014/chart" uri="{C3380CC4-5D6E-409C-BE32-E72D297353CC}">
                <c16:uniqueId val="{00000000-D426-442D-96F1-D550352AF1A2}"/>
              </c:ext>
            </c:extLst>
          </c:dPt>
          <c:dPt>
            <c:idx val="4"/>
            <c:marker>
              <c:symbol val="diamond"/>
              <c:size val="7"/>
              <c:spPr>
                <a:solidFill>
                  <a:schemeClr val="tx1"/>
                </a:solidFill>
              </c:spPr>
            </c:marker>
            <c:bubble3D val="0"/>
            <c:extLst xmlns:c16r2="http://schemas.microsoft.com/office/drawing/2015/06/chart">
              <c:ext xmlns:c16="http://schemas.microsoft.com/office/drawing/2014/chart" uri="{C3380CC4-5D6E-409C-BE32-E72D297353CC}">
                <c16:uniqueId val="{00000001-D426-442D-96F1-D550352AF1A2}"/>
              </c:ext>
            </c:extLst>
          </c:dPt>
          <c:dPt>
            <c:idx val="6"/>
            <c:marker>
              <c:symbol val="diamond"/>
              <c:size val="7"/>
              <c:spPr>
                <a:solidFill>
                  <a:schemeClr val="tx1"/>
                </a:solidFill>
              </c:spPr>
            </c:marker>
            <c:bubble3D val="0"/>
            <c:extLst xmlns:c16r2="http://schemas.microsoft.com/office/drawing/2015/06/chart">
              <c:ext xmlns:c16="http://schemas.microsoft.com/office/drawing/2014/chart" uri="{C3380CC4-5D6E-409C-BE32-E72D297353CC}">
                <c16:uniqueId val="{00000002-D426-442D-96F1-D550352AF1A2}"/>
              </c:ext>
            </c:extLst>
          </c:dPt>
          <c:dLbls>
            <c:dLbl>
              <c:idx val="0"/>
              <c:layout>
                <c:manualLayout>
                  <c:x val="-5.2777777777777798E-2"/>
                  <c:y val="-7.87037037037038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426-442D-96F1-D550352AF1A2}"/>
                </c:ext>
                <c:ext xmlns:c15="http://schemas.microsoft.com/office/drawing/2012/chart" uri="{CE6537A1-D6FC-4f65-9D91-7224C49458BB}">
                  <c15:layout/>
                </c:ext>
              </c:extLst>
            </c:dLbl>
            <c:dLbl>
              <c:idx val="1"/>
              <c:layout>
                <c:manualLayout>
                  <c:x val="-5.55555555555554E-2"/>
                  <c:y val="-5.092592592592609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426-442D-96F1-D550352AF1A2}"/>
                </c:ext>
                <c:ext xmlns:c15="http://schemas.microsoft.com/office/drawing/2012/chart" uri="{CE6537A1-D6FC-4f65-9D91-7224C49458BB}">
                  <c15:layout/>
                </c:ext>
              </c:extLst>
            </c:dLbl>
            <c:dLbl>
              <c:idx val="2"/>
              <c:layout>
                <c:manualLayout>
                  <c:x val="-5.2777777777777798E-2"/>
                  <c:y val="-4.16666666666666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426-442D-96F1-D550352AF1A2}"/>
                </c:ext>
                <c:ext xmlns:c15="http://schemas.microsoft.com/office/drawing/2012/chart" uri="{CE6537A1-D6FC-4f65-9D91-7224C49458BB}">
                  <c15:layout/>
                </c:ext>
              </c:extLst>
            </c:dLbl>
            <c:dLbl>
              <c:idx val="3"/>
              <c:layout>
                <c:manualLayout>
                  <c:x val="-5.2777777777777798E-2"/>
                  <c:y val="-3.70370370370372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426-442D-96F1-D550352AF1A2}"/>
                </c:ext>
                <c:ext xmlns:c15="http://schemas.microsoft.com/office/drawing/2012/chart" uri="{CE6537A1-D6FC-4f65-9D91-7224C49458BB}">
                  <c15:layout/>
                </c:ext>
              </c:extLst>
            </c:dLbl>
            <c:dLbl>
              <c:idx val="4"/>
              <c:layout>
                <c:manualLayout>
                  <c:x val="-5.2777777777777798E-2"/>
                  <c:y val="-5.5555555555555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426-442D-96F1-D550352AF1A2}"/>
                </c:ext>
                <c:ext xmlns:c15="http://schemas.microsoft.com/office/drawing/2012/chart" uri="{CE6537A1-D6FC-4f65-9D91-7224C49458BB}">
                  <c15:layout/>
                </c:ext>
              </c:extLst>
            </c:dLbl>
            <c:dLbl>
              <c:idx val="5"/>
              <c:layout>
                <c:manualLayout>
                  <c:x val="-6.3888888888888995E-2"/>
                  <c:y val="-7.407407407407409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D426-442D-96F1-D550352AF1A2}"/>
                </c:ext>
                <c:ext xmlns:c15="http://schemas.microsoft.com/office/drawing/2012/chart" uri="{CE6537A1-D6FC-4f65-9D91-7224C49458BB}">
                  <c15:layout/>
                </c:ext>
              </c:extLst>
            </c:dLbl>
            <c:dLbl>
              <c:idx val="6"/>
              <c:layout>
                <c:manualLayout>
                  <c:x val="-3.05555555555556E-2"/>
                  <c:y val="4.16666666666666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426-442D-96F1-D550352AF1A2}"/>
                </c:ext>
                <c:ext xmlns:c15="http://schemas.microsoft.com/office/drawing/2012/chart" uri="{CE6537A1-D6FC-4f65-9D91-7224C49458BB}">
                  <c15:layout/>
                </c:ext>
              </c:extLst>
            </c:dLbl>
            <c:dLbl>
              <c:idx val="7"/>
              <c:layout>
                <c:manualLayout>
                  <c:x val="-3.8888888888888903E-2"/>
                  <c:y val="5.09259259259259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D426-442D-96F1-D550352AF1A2}"/>
                </c:ext>
                <c:ext xmlns:c15="http://schemas.microsoft.com/office/drawing/2012/chart" uri="{CE6537A1-D6FC-4f65-9D91-7224C49458BB}">
                  <c15:layout/>
                </c:ext>
              </c:extLst>
            </c:dLbl>
            <c:dLbl>
              <c:idx val="8"/>
              <c:layout>
                <c:manualLayout>
                  <c:x val="-4.4444444444444502E-2"/>
                  <c:y val="4.629629629629639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D426-442D-96F1-D550352AF1A2}"/>
                </c:ext>
                <c:ext xmlns:c15="http://schemas.microsoft.com/office/drawing/2012/chart" uri="{CE6537A1-D6FC-4f65-9D91-7224C49458BB}">
                  <c15:layout/>
                </c:ext>
              </c:extLst>
            </c:dLbl>
            <c:dLbl>
              <c:idx val="9"/>
              <c:layout>
                <c:manualLayout>
                  <c:x val="-4.7222222222222103E-2"/>
                  <c:y val="5.09259259259259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D426-442D-96F1-D550352AF1A2}"/>
                </c:ext>
                <c:ext xmlns:c15="http://schemas.microsoft.com/office/drawing/2012/chart" uri="{CE6537A1-D6FC-4f65-9D91-7224C49458BB}">
                  <c15:layout/>
                </c:ext>
              </c:extLst>
            </c:dLbl>
            <c:spPr>
              <a:noFill/>
              <a:ln>
                <a:noFill/>
              </a:ln>
              <a:effectLst/>
            </c:spPr>
            <c:txPr>
              <a:bodyPr/>
              <a:lstStyle/>
              <a:p>
                <a:pPr>
                  <a:defRPr sz="80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Sheet1!$O$3:$O$12</c:f>
              <c:strCache>
                <c:ptCount val="10"/>
                <c:pt idx="0">
                  <c:v>NSW (Teens)</c:v>
                </c:pt>
                <c:pt idx="1">
                  <c:v>SBH (HS)</c:v>
                </c:pt>
                <c:pt idx="2">
                  <c:v>DC (Scenario 2)</c:v>
                </c:pt>
                <c:pt idx="3">
                  <c:v>NSW (Rest.)</c:v>
                </c:pt>
                <c:pt idx="4">
                  <c:v>DC (Scenario 4)</c:v>
                </c:pt>
                <c:pt idx="5">
                  <c:v>BW (Aggregation)</c:v>
                </c:pt>
                <c:pt idx="6">
                  <c:v>DC (Scenario 5)</c:v>
                </c:pt>
                <c:pt idx="7">
                  <c:v>DLR (Service)</c:v>
                </c:pt>
                <c:pt idx="8">
                  <c:v>CK (Fast Food)</c:v>
                </c:pt>
                <c:pt idx="9">
                  <c:v>ABC (Rest. &amp; Bar)</c:v>
                </c:pt>
              </c:strCache>
            </c:strRef>
          </c:cat>
          <c:val>
            <c:numRef>
              <c:f>Sheet1!$P$3:$P$12</c:f>
              <c:numCache>
                <c:formatCode>0.00</c:formatCode>
                <c:ptCount val="10"/>
                <c:pt idx="0">
                  <c:v>-0.2</c:v>
                </c:pt>
                <c:pt idx="1">
                  <c:v>-0.13</c:v>
                </c:pt>
                <c:pt idx="2">
                  <c:v>-0.11</c:v>
                </c:pt>
                <c:pt idx="3">
                  <c:v>-0.1</c:v>
                </c:pt>
                <c:pt idx="4">
                  <c:v>-0.09</c:v>
                </c:pt>
                <c:pt idx="5">
                  <c:v>-0.09</c:v>
                </c:pt>
                <c:pt idx="6">
                  <c:v>0</c:v>
                </c:pt>
                <c:pt idx="7">
                  <c:v>0</c:v>
                </c:pt>
                <c:pt idx="8">
                  <c:v>0</c:v>
                </c:pt>
                <c:pt idx="9">
                  <c:v>0</c:v>
                </c:pt>
              </c:numCache>
            </c:numRef>
          </c:val>
          <c:smooth val="0"/>
          <c:extLst xmlns:c16r2="http://schemas.microsoft.com/office/drawing/2015/06/chart">
            <c:ext xmlns:c16="http://schemas.microsoft.com/office/drawing/2014/chart" uri="{C3380CC4-5D6E-409C-BE32-E72D297353CC}">
              <c16:uniqueId val="{0000000A-D426-442D-96F1-D550352AF1A2}"/>
            </c:ext>
          </c:extLst>
        </c:ser>
        <c:dLbls>
          <c:showLegendKey val="0"/>
          <c:showVal val="0"/>
          <c:showCatName val="0"/>
          <c:showSerName val="0"/>
          <c:showPercent val="0"/>
          <c:showBubbleSize val="0"/>
        </c:dLbls>
        <c:marker val="1"/>
        <c:smooth val="0"/>
        <c:axId val="205762272"/>
        <c:axId val="205762832"/>
      </c:lineChart>
      <c:catAx>
        <c:axId val="205762272"/>
        <c:scaling>
          <c:orientation val="minMax"/>
        </c:scaling>
        <c:delete val="0"/>
        <c:axPos val="b"/>
        <c:title>
          <c:tx>
            <c:rich>
              <a:bodyPr/>
              <a:lstStyle/>
              <a:p>
                <a:pPr>
                  <a:defRPr sz="900" b="0"/>
                </a:pPr>
                <a:r>
                  <a:rPr lang="en-US" sz="800" b="0"/>
                  <a:t>Select</a:t>
                </a:r>
                <a:r>
                  <a:rPr lang="en-US" sz="800" b="0" baseline="0"/>
                  <a:t> </a:t>
                </a:r>
                <a:r>
                  <a:rPr lang="en-US" sz="800" b="0"/>
                  <a:t>Minimum</a:t>
                </a:r>
                <a:r>
                  <a:rPr lang="en-US" sz="800" b="0" baseline="0"/>
                  <a:t> Wage </a:t>
                </a:r>
                <a:r>
                  <a:rPr lang="en-US" sz="800" b="0"/>
                  <a:t>Studies</a:t>
                </a:r>
              </a:p>
            </c:rich>
          </c:tx>
          <c:layout>
            <c:manualLayout>
              <c:xMode val="edge"/>
              <c:yMode val="edge"/>
              <c:x val="0.38695975503062202"/>
              <c:y val="0.93164333624963702"/>
            </c:manualLayout>
          </c:layout>
          <c:overlay val="0"/>
        </c:title>
        <c:numFmt formatCode="General" sourceLinked="0"/>
        <c:majorTickMark val="out"/>
        <c:minorTickMark val="none"/>
        <c:tickLblPos val="low"/>
        <c:txPr>
          <a:bodyPr/>
          <a:lstStyle/>
          <a:p>
            <a:pPr>
              <a:defRPr sz="700"/>
            </a:pPr>
            <a:endParaRPr lang="en-US"/>
          </a:p>
        </c:txPr>
        <c:crossAx val="205762832"/>
        <c:crosses val="autoZero"/>
        <c:auto val="1"/>
        <c:lblAlgn val="ctr"/>
        <c:lblOffset val="100"/>
        <c:noMultiLvlLbl val="0"/>
      </c:catAx>
      <c:valAx>
        <c:axId val="205762832"/>
        <c:scaling>
          <c:orientation val="minMax"/>
          <c:min val="-0.2"/>
        </c:scaling>
        <c:delete val="0"/>
        <c:axPos val="l"/>
        <c:majorGridlines/>
        <c:title>
          <c:tx>
            <c:rich>
              <a:bodyPr rot="-5400000" vert="horz"/>
              <a:lstStyle/>
              <a:p>
                <a:pPr>
                  <a:defRPr/>
                </a:pPr>
                <a:r>
                  <a:rPr lang="en-US" sz="800" b="0"/>
                  <a:t>Employment  Elasticies</a:t>
                </a:r>
              </a:p>
            </c:rich>
          </c:tx>
          <c:layout>
            <c:manualLayout>
              <c:xMode val="edge"/>
              <c:yMode val="edge"/>
              <c:x val="2.77777777777779E-3"/>
              <c:y val="0.211291557305337"/>
            </c:manualLayout>
          </c:layout>
          <c:overlay val="0"/>
        </c:title>
        <c:numFmt formatCode="0.00" sourceLinked="1"/>
        <c:majorTickMark val="out"/>
        <c:minorTickMark val="none"/>
        <c:tickLblPos val="nextTo"/>
        <c:txPr>
          <a:bodyPr/>
          <a:lstStyle/>
          <a:p>
            <a:pPr>
              <a:defRPr sz="800"/>
            </a:pPr>
            <a:endParaRPr lang="en-US"/>
          </a:p>
        </c:txPr>
        <c:crossAx val="205762272"/>
        <c:crosses val="autoZero"/>
        <c:crossBetween val="between"/>
        <c:majorUnit val="0.04"/>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2B0D0-EE39-46A0-8B4C-57B6F7730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9035</Words>
  <Characters>51502</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Fahimullah, Fahad</dc:creator>
  <cp:lastModifiedBy>Fahimullah, Fahad</cp:lastModifiedBy>
  <cp:revision>3</cp:revision>
  <cp:lastPrinted>2017-11-03T00:49:00Z</cp:lastPrinted>
  <dcterms:created xsi:type="dcterms:W3CDTF">2017-11-03T17:54:00Z</dcterms:created>
  <dcterms:modified xsi:type="dcterms:W3CDTF">2017-11-03T18:10:00Z</dcterms:modified>
</cp:coreProperties>
</file>