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22350" w14:textId="77777777" w:rsidR="00C82AA7" w:rsidRPr="0042218F" w:rsidRDefault="00C82AA7" w:rsidP="00584EE7">
      <w:pPr>
        <w:jc w:val="center"/>
        <w:rPr>
          <w:b/>
        </w:rPr>
      </w:pPr>
    </w:p>
    <w:p w14:paraId="4D919698" w14:textId="77777777" w:rsidR="00C82AA7" w:rsidRPr="0042218F" w:rsidRDefault="00C82AA7" w:rsidP="00584EE7">
      <w:pPr>
        <w:jc w:val="center"/>
        <w:rPr>
          <w:b/>
        </w:rPr>
      </w:pPr>
    </w:p>
    <w:p w14:paraId="654B1996" w14:textId="5E1B620C" w:rsidR="00C82AA7" w:rsidRPr="0042218F" w:rsidRDefault="00F05A85" w:rsidP="00F05A85">
      <w:pPr>
        <w:tabs>
          <w:tab w:val="left" w:pos="6787"/>
        </w:tabs>
        <w:rPr>
          <w:b/>
          <w:sz w:val="28"/>
          <w:szCs w:val="28"/>
        </w:rPr>
      </w:pPr>
      <w:r>
        <w:rPr>
          <w:b/>
          <w:sz w:val="28"/>
          <w:szCs w:val="28"/>
        </w:rPr>
        <w:tab/>
      </w:r>
    </w:p>
    <w:p w14:paraId="6E716897" w14:textId="3A322C84" w:rsidR="00C82AA7" w:rsidRPr="0042218F" w:rsidRDefault="00862B29" w:rsidP="008E2FB5">
      <w:pPr>
        <w:jc w:val="center"/>
        <w:outlineLvl w:val="0"/>
        <w:rPr>
          <w:b/>
          <w:sz w:val="28"/>
          <w:szCs w:val="28"/>
        </w:rPr>
      </w:pPr>
      <w:r w:rsidRPr="0042218F">
        <w:rPr>
          <w:b/>
          <w:sz w:val="28"/>
          <w:szCs w:val="28"/>
        </w:rPr>
        <w:t>Are Multinational Companies “Fooled” by Their Own Tax Planning?</w:t>
      </w:r>
    </w:p>
    <w:p w14:paraId="79AA4901" w14:textId="77777777" w:rsidR="00C82AA7" w:rsidRPr="0042218F" w:rsidRDefault="00C82AA7" w:rsidP="00584EE7">
      <w:pPr>
        <w:jc w:val="center"/>
        <w:rPr>
          <w:b/>
        </w:rPr>
      </w:pPr>
    </w:p>
    <w:p w14:paraId="2F73456A" w14:textId="77777777" w:rsidR="00C82AA7" w:rsidRPr="0042218F" w:rsidRDefault="00C82AA7" w:rsidP="00584EE7">
      <w:pPr>
        <w:jc w:val="center"/>
        <w:rPr>
          <w:b/>
        </w:rPr>
      </w:pPr>
    </w:p>
    <w:p w14:paraId="3292E0D3" w14:textId="77777777" w:rsidR="00C82AA7" w:rsidRPr="0042218F" w:rsidRDefault="00C82AA7" w:rsidP="008E2FB5">
      <w:pPr>
        <w:jc w:val="center"/>
        <w:outlineLvl w:val="0"/>
      </w:pPr>
      <w:r w:rsidRPr="0042218F">
        <w:t>Lisa De Simone</w:t>
      </w:r>
    </w:p>
    <w:p w14:paraId="47C7CC8A" w14:textId="77777777" w:rsidR="00C82AA7" w:rsidRPr="0042218F" w:rsidRDefault="00C82AA7" w:rsidP="008E2FB5">
      <w:pPr>
        <w:jc w:val="center"/>
        <w:outlineLvl w:val="0"/>
      </w:pPr>
      <w:r w:rsidRPr="0042218F">
        <w:t>Stanford Graduate School of Business</w:t>
      </w:r>
    </w:p>
    <w:p w14:paraId="56FEB012" w14:textId="77777777" w:rsidR="00C82AA7" w:rsidRPr="0042218F" w:rsidRDefault="00C82AA7" w:rsidP="00C82AA7">
      <w:pPr>
        <w:jc w:val="center"/>
      </w:pPr>
    </w:p>
    <w:p w14:paraId="03B59449" w14:textId="77777777" w:rsidR="00C82AA7" w:rsidRPr="004A1AEA" w:rsidRDefault="00C82AA7" w:rsidP="008E2FB5">
      <w:pPr>
        <w:jc w:val="center"/>
        <w:outlineLvl w:val="0"/>
        <w:rPr>
          <w:lang w:val="nl-NL"/>
        </w:rPr>
      </w:pPr>
      <w:r w:rsidRPr="004A1AEA">
        <w:rPr>
          <w:lang w:val="nl-NL"/>
        </w:rPr>
        <w:t>Kenneth J. Klassen</w:t>
      </w:r>
    </w:p>
    <w:p w14:paraId="68065DA7" w14:textId="77777777" w:rsidR="00C82AA7" w:rsidRPr="004A1AEA" w:rsidRDefault="00C82AA7" w:rsidP="008E2FB5">
      <w:pPr>
        <w:jc w:val="center"/>
        <w:outlineLvl w:val="0"/>
        <w:rPr>
          <w:lang w:val="nl-NL"/>
        </w:rPr>
      </w:pPr>
      <w:r w:rsidRPr="004A1AEA">
        <w:rPr>
          <w:lang w:val="nl-NL"/>
        </w:rPr>
        <w:t xml:space="preserve">University of Waterloo </w:t>
      </w:r>
    </w:p>
    <w:p w14:paraId="5743C528" w14:textId="77777777" w:rsidR="00C82AA7" w:rsidRPr="004A1AEA" w:rsidRDefault="00C82AA7" w:rsidP="00C82AA7">
      <w:pPr>
        <w:jc w:val="center"/>
        <w:rPr>
          <w:lang w:val="nl-NL"/>
        </w:rPr>
      </w:pPr>
    </w:p>
    <w:p w14:paraId="5DEF622D" w14:textId="77777777" w:rsidR="00C82AA7" w:rsidRPr="0042218F" w:rsidRDefault="00C82AA7" w:rsidP="008E2FB5">
      <w:pPr>
        <w:jc w:val="center"/>
        <w:outlineLvl w:val="0"/>
      </w:pPr>
      <w:r w:rsidRPr="0042218F">
        <w:t>Jeri K. Seidman</w:t>
      </w:r>
    </w:p>
    <w:p w14:paraId="43963F99" w14:textId="77777777" w:rsidR="00C82AA7" w:rsidRPr="0042218F" w:rsidRDefault="00C82AA7" w:rsidP="008E2FB5">
      <w:pPr>
        <w:jc w:val="center"/>
        <w:outlineLvl w:val="0"/>
      </w:pPr>
      <w:r w:rsidRPr="0042218F">
        <w:t>McIntire School of Commerce, University of Virginia</w:t>
      </w:r>
    </w:p>
    <w:p w14:paraId="17457583" w14:textId="77777777" w:rsidR="00C82AA7" w:rsidRPr="0042218F" w:rsidRDefault="00C82AA7" w:rsidP="00584EE7">
      <w:pPr>
        <w:jc w:val="center"/>
      </w:pPr>
    </w:p>
    <w:p w14:paraId="62B56AFB" w14:textId="32E2C9E2" w:rsidR="00C82AA7" w:rsidRPr="0042218F" w:rsidRDefault="00DA066A" w:rsidP="00C82AA7">
      <w:pPr>
        <w:jc w:val="center"/>
      </w:pPr>
      <w:r>
        <w:t>November</w:t>
      </w:r>
      <w:r w:rsidRPr="0042218F">
        <w:t xml:space="preserve"> </w:t>
      </w:r>
      <w:r w:rsidR="00C82AA7" w:rsidRPr="0042218F">
        <w:t>2017</w:t>
      </w:r>
    </w:p>
    <w:p w14:paraId="0300C75A" w14:textId="77777777" w:rsidR="00C82AA7" w:rsidRPr="0042218F" w:rsidRDefault="00C82AA7" w:rsidP="00C82AA7">
      <w:pPr>
        <w:jc w:val="center"/>
      </w:pPr>
    </w:p>
    <w:p w14:paraId="4FEC74E0" w14:textId="77777777" w:rsidR="00C82AA7" w:rsidRPr="0042218F" w:rsidRDefault="00C82AA7" w:rsidP="00C82AA7">
      <w:pPr>
        <w:jc w:val="center"/>
      </w:pPr>
    </w:p>
    <w:p w14:paraId="5D2ECC22" w14:textId="77777777" w:rsidR="00C82AA7" w:rsidRPr="0042218F" w:rsidRDefault="00C82AA7" w:rsidP="00C82AA7">
      <w:pPr>
        <w:jc w:val="center"/>
      </w:pPr>
    </w:p>
    <w:p w14:paraId="675A2E7C" w14:textId="15807607" w:rsidR="00C82AA7" w:rsidRPr="00950E3A" w:rsidRDefault="00950E3A" w:rsidP="00C82AA7">
      <w:pPr>
        <w:jc w:val="center"/>
        <w:rPr>
          <w:b/>
          <w:i/>
        </w:rPr>
      </w:pPr>
      <w:r>
        <w:rPr>
          <w:b/>
          <w:i/>
        </w:rPr>
        <w:t>Preliminary Draft</w:t>
      </w:r>
      <w:r w:rsidRPr="00950E3A">
        <w:rPr>
          <w:b/>
          <w:i/>
        </w:rPr>
        <w:t xml:space="preserve"> </w:t>
      </w:r>
      <w:r>
        <w:rPr>
          <w:b/>
          <w:i/>
        </w:rPr>
        <w:br/>
      </w:r>
      <w:r w:rsidRPr="00950E3A">
        <w:rPr>
          <w:b/>
          <w:i/>
        </w:rPr>
        <w:t>not for distribution</w:t>
      </w:r>
      <w:r>
        <w:rPr>
          <w:b/>
          <w:i/>
        </w:rPr>
        <w:t xml:space="preserve"> without explicit permission from the authors</w:t>
      </w:r>
    </w:p>
    <w:p w14:paraId="09B627BD" w14:textId="77777777" w:rsidR="00C82AA7" w:rsidRPr="0042218F" w:rsidRDefault="00C82AA7" w:rsidP="00C82AA7">
      <w:pPr>
        <w:jc w:val="center"/>
      </w:pPr>
    </w:p>
    <w:p w14:paraId="2C1F2539" w14:textId="77777777" w:rsidR="00C82AA7" w:rsidRPr="0042218F" w:rsidRDefault="00C82AA7" w:rsidP="00C82AA7">
      <w:pPr>
        <w:jc w:val="center"/>
      </w:pPr>
    </w:p>
    <w:p w14:paraId="41E3D1F3" w14:textId="77777777" w:rsidR="00C82AA7" w:rsidRPr="0042218F" w:rsidRDefault="00C82AA7" w:rsidP="00C82AA7">
      <w:pPr>
        <w:jc w:val="center"/>
      </w:pPr>
    </w:p>
    <w:p w14:paraId="5BFA33BD" w14:textId="77777777" w:rsidR="00C82AA7" w:rsidRPr="0042218F" w:rsidRDefault="00C82AA7" w:rsidP="00C82AA7">
      <w:pPr>
        <w:jc w:val="center"/>
      </w:pPr>
    </w:p>
    <w:p w14:paraId="3D4CA386" w14:textId="77777777" w:rsidR="00C82AA7" w:rsidRPr="0042218F" w:rsidRDefault="00C82AA7" w:rsidP="00C82AA7">
      <w:pPr>
        <w:jc w:val="center"/>
      </w:pPr>
    </w:p>
    <w:p w14:paraId="402A169C" w14:textId="0A0AD8E0" w:rsidR="00C82AA7" w:rsidRPr="0042218F" w:rsidRDefault="00C82AA7" w:rsidP="008E2FB5">
      <w:pPr>
        <w:outlineLvl w:val="0"/>
        <w:rPr>
          <w:bCs/>
        </w:rPr>
      </w:pPr>
      <w:r w:rsidRPr="0042218F">
        <w:rPr>
          <w:b/>
          <w:bCs/>
        </w:rPr>
        <w:t xml:space="preserve">Keywords: </w:t>
      </w:r>
      <w:r w:rsidRPr="0042218F">
        <w:rPr>
          <w:bCs/>
        </w:rPr>
        <w:t>transfer pricing, income shifting, investment</w:t>
      </w:r>
    </w:p>
    <w:p w14:paraId="29B22ABA" w14:textId="77777777" w:rsidR="00C82AA7" w:rsidRPr="0042218F" w:rsidRDefault="00C82AA7" w:rsidP="00C82AA7">
      <w:pPr>
        <w:rPr>
          <w:bCs/>
        </w:rPr>
      </w:pPr>
    </w:p>
    <w:p w14:paraId="331DE30F" w14:textId="77777777" w:rsidR="00C82AA7" w:rsidRPr="0042218F" w:rsidRDefault="00C82AA7" w:rsidP="00C82AA7">
      <w:pPr>
        <w:rPr>
          <w:bCs/>
        </w:rPr>
      </w:pPr>
    </w:p>
    <w:p w14:paraId="1C9C86DA" w14:textId="77777777" w:rsidR="00C82AA7" w:rsidRPr="0042218F" w:rsidRDefault="00C82AA7" w:rsidP="00C82AA7">
      <w:pPr>
        <w:rPr>
          <w:b/>
          <w:bCs/>
        </w:rPr>
      </w:pPr>
      <w:r w:rsidRPr="0042218F">
        <w:rPr>
          <w:b/>
          <w:bCs/>
        </w:rPr>
        <w:t>______________________________________________________________________________</w:t>
      </w:r>
    </w:p>
    <w:p w14:paraId="6FBA0595" w14:textId="09DEE152" w:rsidR="00EE2BF0" w:rsidRDefault="00C82AA7" w:rsidP="008E2FB5">
      <w:pPr>
        <w:jc w:val="both"/>
        <w:outlineLvl w:val="0"/>
      </w:pPr>
      <w:r w:rsidRPr="0042218F">
        <w:t>The authors appreciate outstanding resea</w:t>
      </w:r>
      <w:r w:rsidR="006374F3">
        <w:t xml:space="preserve">rch assistance from </w:t>
      </w:r>
      <w:proofErr w:type="spellStart"/>
      <w:r w:rsidR="006374F3">
        <w:t>Gurpal</w:t>
      </w:r>
      <w:proofErr w:type="spellEnd"/>
      <w:r w:rsidR="006374F3">
        <w:t xml:space="preserve"> </w:t>
      </w:r>
      <w:proofErr w:type="spellStart"/>
      <w:r w:rsidR="006374F3">
        <w:t>Sran</w:t>
      </w:r>
      <w:proofErr w:type="spellEnd"/>
      <w:r w:rsidR="006374F3" w:rsidRPr="0005591C">
        <w:t>.</w:t>
      </w:r>
      <w:r w:rsidR="0005591C" w:rsidRPr="0005591C">
        <w:t xml:space="preserve"> Thanks to</w:t>
      </w:r>
      <w:r w:rsidR="007B1433">
        <w:t xml:space="preserve"> Saskia </w:t>
      </w:r>
      <w:proofErr w:type="spellStart"/>
      <w:r w:rsidR="007B1433">
        <w:t>Kohlhase</w:t>
      </w:r>
      <w:proofErr w:type="spellEnd"/>
      <w:r w:rsidR="007B1433">
        <w:t xml:space="preserve"> (discussant) and</w:t>
      </w:r>
      <w:r w:rsidR="0005591C" w:rsidRPr="0005591C">
        <w:t xml:space="preserve"> </w:t>
      </w:r>
      <w:r w:rsidR="007B1433">
        <w:t xml:space="preserve">participants at the 2017 Berlin </w:t>
      </w:r>
      <w:proofErr w:type="spellStart"/>
      <w:r w:rsidR="007B1433">
        <w:t>Vallendar</w:t>
      </w:r>
      <w:proofErr w:type="spellEnd"/>
      <w:r w:rsidR="007B1433">
        <w:t xml:space="preserve"> Tax Conference.</w:t>
      </w:r>
    </w:p>
    <w:p w14:paraId="3BEE08DA" w14:textId="4944CEB0" w:rsidR="00C82AA7" w:rsidRDefault="00C82AA7" w:rsidP="00C82AA7">
      <w:pPr>
        <w:jc w:val="both"/>
      </w:pPr>
    </w:p>
    <w:p w14:paraId="4E75288D" w14:textId="77777777" w:rsidR="00EE2BF0" w:rsidRPr="0042218F" w:rsidRDefault="00EE2BF0" w:rsidP="00C82AA7">
      <w:pPr>
        <w:jc w:val="both"/>
      </w:pPr>
    </w:p>
    <w:p w14:paraId="31E287D7" w14:textId="64D60EC0" w:rsidR="00C82AA7" w:rsidRPr="0042218F" w:rsidRDefault="00C82AA7" w:rsidP="00C82AA7">
      <w:pPr>
        <w:jc w:val="center"/>
      </w:pPr>
      <w:r w:rsidRPr="0042218F">
        <w:rPr>
          <w:b/>
        </w:rPr>
        <w:br w:type="page"/>
      </w:r>
    </w:p>
    <w:p w14:paraId="3E36BFE7" w14:textId="77777777" w:rsidR="00241AD3" w:rsidRDefault="00241AD3" w:rsidP="00241AD3">
      <w:pPr>
        <w:jc w:val="center"/>
        <w:rPr>
          <w:b/>
          <w:sz w:val="28"/>
          <w:szCs w:val="28"/>
        </w:rPr>
      </w:pPr>
    </w:p>
    <w:p w14:paraId="556CC64D" w14:textId="77777777" w:rsidR="00241AD3" w:rsidRDefault="00241AD3" w:rsidP="00241AD3">
      <w:pPr>
        <w:jc w:val="center"/>
        <w:rPr>
          <w:b/>
          <w:sz w:val="28"/>
          <w:szCs w:val="28"/>
        </w:rPr>
      </w:pPr>
    </w:p>
    <w:p w14:paraId="49005974" w14:textId="77777777" w:rsidR="00241AD3" w:rsidRDefault="00241AD3" w:rsidP="00241AD3">
      <w:pPr>
        <w:jc w:val="center"/>
        <w:rPr>
          <w:b/>
          <w:sz w:val="28"/>
          <w:szCs w:val="28"/>
        </w:rPr>
      </w:pPr>
    </w:p>
    <w:p w14:paraId="773331A8" w14:textId="77777777" w:rsidR="00241AD3" w:rsidRPr="0042218F" w:rsidRDefault="00241AD3" w:rsidP="008E2FB5">
      <w:pPr>
        <w:jc w:val="center"/>
        <w:outlineLvl w:val="0"/>
        <w:rPr>
          <w:b/>
          <w:sz w:val="28"/>
          <w:szCs w:val="28"/>
        </w:rPr>
      </w:pPr>
      <w:r w:rsidRPr="0042218F">
        <w:rPr>
          <w:b/>
          <w:sz w:val="28"/>
          <w:szCs w:val="28"/>
        </w:rPr>
        <w:t>Are Mult</w:t>
      </w:r>
      <w:bookmarkStart w:id="0" w:name="_GoBack"/>
      <w:bookmarkEnd w:id="0"/>
      <w:r w:rsidRPr="0042218F">
        <w:rPr>
          <w:b/>
          <w:sz w:val="28"/>
          <w:szCs w:val="28"/>
        </w:rPr>
        <w:t>inational Companies “Fooled” by Their Own Tax Planning?</w:t>
      </w:r>
    </w:p>
    <w:p w14:paraId="78F37BF0" w14:textId="77777777" w:rsidR="00241AD3" w:rsidRDefault="00241AD3"/>
    <w:p w14:paraId="2FE6A438" w14:textId="77777777" w:rsidR="00241AD3" w:rsidRDefault="00241AD3"/>
    <w:p w14:paraId="3370456E" w14:textId="6B94FAC4" w:rsidR="00CE4981" w:rsidRDefault="00CE4981" w:rsidP="00D3725C">
      <w:pPr>
        <w:jc w:val="both"/>
      </w:pPr>
      <w:r>
        <w:t xml:space="preserve">We investigate whether intra-firm tax-motivated income distortion affects investment decisions. </w:t>
      </w:r>
      <w:r w:rsidR="006E04D9">
        <w:t>F</w:t>
      </w:r>
      <w:r w:rsidRPr="0042218F">
        <w:t xml:space="preserve">irms that are aggressive </w:t>
      </w:r>
      <w:r w:rsidR="00D3725C">
        <w:t>income shifters</w:t>
      </w:r>
      <w:r w:rsidRPr="0042218F">
        <w:t xml:space="preserve"> </w:t>
      </w:r>
      <w:r>
        <w:t>report</w:t>
      </w:r>
      <w:r w:rsidRPr="0042218F">
        <w:t xml:space="preserve"> profit</w:t>
      </w:r>
      <w:r w:rsidR="00903B18">
        <w:t>s</w:t>
      </w:r>
      <w:r w:rsidRPr="0042218F">
        <w:t xml:space="preserve"> in excess of their operational profitability</w:t>
      </w:r>
      <w:r>
        <w:t xml:space="preserve"> </w:t>
      </w:r>
      <w:r w:rsidR="006E04D9">
        <w:t xml:space="preserve">in some affiliates. </w:t>
      </w:r>
      <w:r w:rsidR="00016DA4">
        <w:t>B</w:t>
      </w:r>
      <w:r w:rsidR="00016DA4">
        <w:t>iased self-</w:t>
      </w:r>
      <w:r w:rsidR="00016DA4" w:rsidRPr="0042218F">
        <w:t>at</w:t>
      </w:r>
      <w:r w:rsidR="00016DA4">
        <w:t xml:space="preserve">tribution </w:t>
      </w:r>
      <w:r>
        <w:t>suggests an asymmetric</w:t>
      </w:r>
      <w:r w:rsidRPr="0042218F">
        <w:t xml:space="preserve"> affiliate-level </w:t>
      </w:r>
      <w:r>
        <w:t xml:space="preserve">unwinding of </w:t>
      </w:r>
      <w:r w:rsidR="00D3725C">
        <w:t>tax-motivated profit</w:t>
      </w:r>
      <w:r>
        <w:t xml:space="preserve"> adjustments</w:t>
      </w:r>
      <w:r w:rsidR="00016DA4">
        <w:t xml:space="preserve">. Thus, </w:t>
      </w:r>
      <w:r w:rsidRPr="0042218F">
        <w:t xml:space="preserve">we expect </w:t>
      </w:r>
      <w:r>
        <w:t>income shifting</w:t>
      </w:r>
      <w:r w:rsidRPr="0042218F">
        <w:t xml:space="preserve"> to</w:t>
      </w:r>
      <w:r>
        <w:t xml:space="preserve"> be associated with</w:t>
      </w:r>
      <w:r w:rsidRPr="0042218F">
        <w:t xml:space="preserve"> </w:t>
      </w:r>
      <w:r>
        <w:t xml:space="preserve">firm-level </w:t>
      </w:r>
      <w:r w:rsidRPr="0042218F">
        <w:t>overinvest</w:t>
      </w:r>
      <w:r w:rsidR="00D3725C">
        <w:t>ment</w:t>
      </w:r>
      <w:r w:rsidRPr="0042218F">
        <w:t>.</w:t>
      </w:r>
      <w:r>
        <w:t xml:space="preserve"> We use affiliate-level data to develop a firm-specific measure of </w:t>
      </w:r>
      <w:r w:rsidRPr="0042218F">
        <w:t xml:space="preserve">sensitivity to tax </w:t>
      </w:r>
      <w:r>
        <w:t xml:space="preserve">incentives to identify </w:t>
      </w:r>
      <w:proofErr w:type="gramStart"/>
      <w:r>
        <w:t>income shift</w:t>
      </w:r>
      <w:r w:rsidR="00C61F37">
        <w:t>ing</w:t>
      </w:r>
      <w:proofErr w:type="gramEnd"/>
      <w:r w:rsidR="00C61F37">
        <w:t xml:space="preserve"> firms</w:t>
      </w:r>
      <w:r>
        <w:t xml:space="preserve">. Using this measure, we estimate a positive relation between total consolidated investment and income shifting aggressiveness that is incremental to </w:t>
      </w:r>
      <w:r w:rsidR="006E04D9">
        <w:t>diff</w:t>
      </w:r>
      <w:r w:rsidR="00016DA4">
        <w:t>erences in growth opportunities and</w:t>
      </w:r>
      <w:r w:rsidR="006E04D9">
        <w:t xml:space="preserve"> cash flow</w:t>
      </w:r>
      <w:r>
        <w:t>. Our findings empirically test the theory in prior literature that transfer pricing methods and tax incentives can lead to distortions in production decisions. Additionally, we extend the literature on investment distortions by documenting that</w:t>
      </w:r>
      <w:r w:rsidRPr="0042218F">
        <w:t xml:space="preserve"> routine and necessary financial decision</w:t>
      </w:r>
      <w:r>
        <w:t>s</w:t>
      </w:r>
      <w:r w:rsidRPr="0042218F">
        <w:t xml:space="preserve"> </w:t>
      </w:r>
      <w:proofErr w:type="gramStart"/>
      <w:r>
        <w:t>can also</w:t>
      </w:r>
      <w:proofErr w:type="gramEnd"/>
      <w:r>
        <w:t xml:space="preserve"> </w:t>
      </w:r>
      <w:r w:rsidRPr="0042218F">
        <w:t>distort investment levels</w:t>
      </w:r>
      <w:r>
        <w:t>.</w:t>
      </w:r>
    </w:p>
    <w:p w14:paraId="22DDAB06" w14:textId="77777777" w:rsidR="00E23D3B" w:rsidRDefault="00E23D3B" w:rsidP="00E23D3B">
      <w:pPr>
        <w:jc w:val="both"/>
      </w:pPr>
    </w:p>
    <w:p w14:paraId="1029222B" w14:textId="77777777" w:rsidR="006E04D9" w:rsidRDefault="006E04D9" w:rsidP="00E23D3B">
      <w:pPr>
        <w:jc w:val="both"/>
        <w:sectPr w:rsidR="006E04D9" w:rsidSect="00671645">
          <w:footerReference w:type="default" r:id="rId8"/>
          <w:pgSz w:w="12240" w:h="15840"/>
          <w:pgMar w:top="1440" w:right="1440" w:bottom="1440" w:left="1440" w:header="706" w:footer="706" w:gutter="0"/>
          <w:pgNumType w:start="0"/>
          <w:cols w:space="708"/>
          <w:titlePg/>
          <w:docGrid w:linePitch="360"/>
        </w:sectPr>
      </w:pPr>
    </w:p>
    <w:p w14:paraId="78599A8B" w14:textId="31960F89" w:rsidR="00215C4B" w:rsidRPr="0064093D" w:rsidRDefault="00215C4B" w:rsidP="0064093D">
      <w:pPr>
        <w:pStyle w:val="ListParagraph"/>
        <w:keepNext/>
        <w:numPr>
          <w:ilvl w:val="0"/>
          <w:numId w:val="8"/>
        </w:numPr>
        <w:spacing w:before="240" w:line="480" w:lineRule="auto"/>
        <w:contextualSpacing w:val="0"/>
        <w:jc w:val="center"/>
        <w:rPr>
          <w:b/>
        </w:rPr>
      </w:pPr>
      <w:r>
        <w:rPr>
          <w:b/>
        </w:rPr>
        <w:lastRenderedPageBreak/>
        <w:t>Introduction</w:t>
      </w:r>
    </w:p>
    <w:p w14:paraId="4BCE0A07" w14:textId="683506C7" w:rsidR="00AA330E" w:rsidRDefault="00890EAC" w:rsidP="001230D1">
      <w:pPr>
        <w:spacing w:line="480" w:lineRule="auto"/>
        <w:ind w:firstLine="720"/>
        <w:jc w:val="both"/>
      </w:pPr>
      <w:r>
        <w:t>As early as the</w:t>
      </w:r>
      <w:r w:rsidR="0042218F" w:rsidRPr="0042218F">
        <w:t xml:space="preserve"> 1950’s</w:t>
      </w:r>
      <w:proofErr w:type="gramStart"/>
      <w:r w:rsidR="0042218F" w:rsidRPr="0042218F">
        <w:t>,</w:t>
      </w:r>
      <w:proofErr w:type="gramEnd"/>
      <w:r w:rsidR="0042218F" w:rsidRPr="0042218F">
        <w:t xml:space="preserve"> </w:t>
      </w:r>
      <w:r w:rsidR="00291BAC">
        <w:t xml:space="preserve">the </w:t>
      </w:r>
      <w:r w:rsidR="0042218F" w:rsidRPr="0042218F">
        <w:t>m</w:t>
      </w:r>
      <w:r w:rsidR="001230D1" w:rsidRPr="0042218F">
        <w:t xml:space="preserve">anagement accounting </w:t>
      </w:r>
      <w:r w:rsidR="00291BAC">
        <w:t xml:space="preserve">literature </w:t>
      </w:r>
      <w:r w:rsidR="00B857D2" w:rsidRPr="0042218F">
        <w:t>advocates</w:t>
      </w:r>
      <w:r w:rsidR="001230D1" w:rsidRPr="0042218F">
        <w:t xml:space="preserve"> various methods of allocating costs and profits among organizational units.</w:t>
      </w:r>
      <w:r w:rsidR="0042218F" w:rsidRPr="0042218F">
        <w:rPr>
          <w:rStyle w:val="FootnoteReference"/>
        </w:rPr>
        <w:footnoteReference w:id="1"/>
      </w:r>
      <w:r w:rsidR="001230D1" w:rsidRPr="0042218F">
        <w:t xml:space="preserve"> The primary goal </w:t>
      </w:r>
      <w:r w:rsidR="00AA330E">
        <w:t>of internal allocation</w:t>
      </w:r>
      <w:r>
        <w:t>, including the optimal price at which goods</w:t>
      </w:r>
      <w:r w:rsidR="00AF6FE5">
        <w:t>,</w:t>
      </w:r>
      <w:r>
        <w:t xml:space="preserve"> services</w:t>
      </w:r>
      <w:r w:rsidR="00AF6FE5">
        <w:t>, and the rights to intangible property</w:t>
      </w:r>
      <w:r>
        <w:t xml:space="preserve"> </w:t>
      </w:r>
      <w:proofErr w:type="gramStart"/>
      <w:r>
        <w:t>are charged</w:t>
      </w:r>
      <w:proofErr w:type="gramEnd"/>
      <w:r>
        <w:t xml:space="preserve"> across internal units,</w:t>
      </w:r>
      <w:r w:rsidR="00AA330E">
        <w:t xml:space="preserve"> </w:t>
      </w:r>
      <w:r w:rsidR="001230D1" w:rsidRPr="0042218F">
        <w:t>is to ensure that decision-making can be decentralized without loss of effectiveness.</w:t>
      </w:r>
      <w:r w:rsidR="00AA330E">
        <w:t xml:space="preserve"> </w:t>
      </w:r>
      <w:r w:rsidR="00B857D2" w:rsidRPr="0042218F">
        <w:t xml:space="preserve">However, </w:t>
      </w:r>
      <w:r>
        <w:t>when internal units are in different countries</w:t>
      </w:r>
      <w:r w:rsidR="001230D1" w:rsidRPr="0042218F">
        <w:t>, the</w:t>
      </w:r>
      <w:r w:rsidR="00B57EF6">
        <w:t>se intercompany transfer</w:t>
      </w:r>
      <w:r w:rsidR="001230D1" w:rsidRPr="0042218F">
        <w:t xml:space="preserve"> prices </w:t>
      </w:r>
      <w:r w:rsidR="00B857D2" w:rsidRPr="0042218F">
        <w:t xml:space="preserve">also </w:t>
      </w:r>
      <w:r w:rsidR="001230D1" w:rsidRPr="0042218F">
        <w:t xml:space="preserve">have significant tax implications. </w:t>
      </w:r>
    </w:p>
    <w:p w14:paraId="04EF2744" w14:textId="679FE10F" w:rsidR="002A3C09" w:rsidRDefault="001230D1" w:rsidP="001230D1">
      <w:pPr>
        <w:spacing w:line="480" w:lineRule="auto"/>
        <w:ind w:firstLine="720"/>
        <w:jc w:val="both"/>
      </w:pPr>
      <w:r w:rsidRPr="0042218F">
        <w:t xml:space="preserve">In </w:t>
      </w:r>
      <w:r w:rsidR="008C1003">
        <w:t>the</w:t>
      </w:r>
      <w:r w:rsidR="00AA330E">
        <w:t xml:space="preserve"> multinational setting</w:t>
      </w:r>
      <w:r w:rsidRPr="0042218F">
        <w:t xml:space="preserve">, tax considerations </w:t>
      </w:r>
      <w:r w:rsidR="00F85CAD">
        <w:t>in intra-firm</w:t>
      </w:r>
      <w:r w:rsidRPr="0042218F">
        <w:t xml:space="preserve"> price setting </w:t>
      </w:r>
      <w:proofErr w:type="gramStart"/>
      <w:r w:rsidR="00F85CAD">
        <w:t>are</w:t>
      </w:r>
      <w:r w:rsidR="00F85CAD" w:rsidRPr="0042218F">
        <w:t xml:space="preserve"> </w:t>
      </w:r>
      <w:r w:rsidR="00AA330E">
        <w:t>regularly acknowledged</w:t>
      </w:r>
      <w:proofErr w:type="gramEnd"/>
      <w:r w:rsidR="00230DE7">
        <w:t>.</w:t>
      </w:r>
      <w:r w:rsidR="00801984">
        <w:rPr>
          <w:rStyle w:val="FootnoteReference"/>
        </w:rPr>
        <w:footnoteReference w:id="2"/>
      </w:r>
      <w:r w:rsidR="00F85CAD">
        <w:t xml:space="preserve"> Thus, affiliate-level financial results reflect tax</w:t>
      </w:r>
      <w:r w:rsidR="00061F7F">
        <w:t xml:space="preserve"> differentials across jurisdictions,</w:t>
      </w:r>
      <w:r w:rsidR="00F85CAD">
        <w:t xml:space="preserve"> </w:t>
      </w:r>
      <w:r w:rsidR="00061F7F">
        <w:t xml:space="preserve">and these same results </w:t>
      </w:r>
      <w:proofErr w:type="gramStart"/>
      <w:r w:rsidR="00F85CAD">
        <w:t>are frequently used</w:t>
      </w:r>
      <w:proofErr w:type="gramEnd"/>
      <w:r w:rsidR="00F85CAD">
        <w:t xml:space="preserve"> for affiliate-level investment decisions.</w:t>
      </w:r>
      <w:r w:rsidR="00061F7F">
        <w:rPr>
          <w:rStyle w:val="FootnoteReference"/>
        </w:rPr>
        <w:footnoteReference w:id="3"/>
      </w:r>
      <w:r w:rsidR="00F85CAD">
        <w:t xml:space="preserve"> Samuelson (1982) and </w:t>
      </w:r>
      <w:proofErr w:type="spellStart"/>
      <w:r w:rsidR="00F85CAD">
        <w:t>Halperin</w:t>
      </w:r>
      <w:proofErr w:type="spellEnd"/>
      <w:r w:rsidR="00F85CAD">
        <w:t xml:space="preserve"> and </w:t>
      </w:r>
      <w:proofErr w:type="spellStart"/>
      <w:r w:rsidR="00F85CAD">
        <w:t>Srinidhi</w:t>
      </w:r>
      <w:proofErr w:type="spellEnd"/>
      <w:r w:rsidR="00F85CAD">
        <w:t xml:space="preserve"> (1987, 1991) model how the transfer pricing methods themselves (as prescribed by tax regulations)</w:t>
      </w:r>
      <w:r w:rsidR="00F85CAD" w:rsidRPr="0042218F">
        <w:t xml:space="preserve"> </w:t>
      </w:r>
      <w:r w:rsidR="00061F7F">
        <w:t>change</w:t>
      </w:r>
      <w:r w:rsidR="00F85CAD">
        <w:t xml:space="preserve"> firm-level investment decisions, such as the amount and location of production, even absent corporate behavior to minimize global taxes.</w:t>
      </w:r>
      <w:r w:rsidR="00F85CAD">
        <w:rPr>
          <w:rStyle w:val="FootnoteReference"/>
        </w:rPr>
        <w:footnoteReference w:id="4"/>
      </w:r>
      <w:r w:rsidR="00F85CAD">
        <w:t xml:space="preserve"> </w:t>
      </w:r>
    </w:p>
    <w:p w14:paraId="42BF2587" w14:textId="5F589494" w:rsidR="001230D1" w:rsidRPr="0042218F" w:rsidRDefault="00061F7F" w:rsidP="001230D1">
      <w:pPr>
        <w:spacing w:line="480" w:lineRule="auto"/>
        <w:ind w:firstLine="720"/>
        <w:jc w:val="both"/>
      </w:pPr>
      <w:proofErr w:type="gramStart"/>
      <w:r>
        <w:t>More aggressive multinational companies</w:t>
      </w:r>
      <w:proofErr w:type="gramEnd"/>
      <w:r>
        <w:t xml:space="preserve"> u</w:t>
      </w:r>
      <w:r w:rsidR="00E44F26">
        <w:t>s</w:t>
      </w:r>
      <w:r>
        <w:t>e</w:t>
      </w:r>
      <w:r w:rsidR="00E44F26">
        <w:t xml:space="preserve"> t</w:t>
      </w:r>
      <w:r w:rsidR="00DB745A">
        <w:t>ransfer pric</w:t>
      </w:r>
      <w:r w:rsidR="00B57EF6">
        <w:t>es</w:t>
      </w:r>
      <w:r w:rsidR="00DB745A">
        <w:t xml:space="preserve"> </w:t>
      </w:r>
      <w:r w:rsidR="00DB745A" w:rsidRPr="0042218F">
        <w:t>to minimize worldwide income taxes</w:t>
      </w:r>
      <w:r w:rsidR="00662474">
        <w:t xml:space="preserve">, </w:t>
      </w:r>
      <w:r w:rsidR="00E44F26">
        <w:t>rather than</w:t>
      </w:r>
      <w:r w:rsidR="00662474">
        <w:t xml:space="preserve"> to </w:t>
      </w:r>
      <w:r>
        <w:t xml:space="preserve">optimally trade off </w:t>
      </w:r>
      <w:r w:rsidR="00662474">
        <w:t>align</w:t>
      </w:r>
      <w:r>
        <w:t>ing</w:t>
      </w:r>
      <w:r w:rsidR="00662474">
        <w:t xml:space="preserve"> managerial incentives</w:t>
      </w:r>
      <w:r w:rsidR="00F85CAD">
        <w:t xml:space="preserve"> </w:t>
      </w:r>
      <w:r>
        <w:t>and</w:t>
      </w:r>
      <w:r w:rsidR="00F85CAD">
        <w:t xml:space="preserve"> tax consideration</w:t>
      </w:r>
      <w:r>
        <w:t>s</w:t>
      </w:r>
      <w:r w:rsidR="00662474">
        <w:t>,</w:t>
      </w:r>
      <w:r w:rsidR="00DB745A">
        <w:t xml:space="preserve"> </w:t>
      </w:r>
      <w:r>
        <w:t xml:space="preserve">thereby </w:t>
      </w:r>
      <w:r w:rsidR="00B47DC6">
        <w:t>distort</w:t>
      </w:r>
      <w:r>
        <w:t>ing</w:t>
      </w:r>
      <w:r w:rsidR="00DB745A" w:rsidRPr="0042218F">
        <w:t xml:space="preserve"> affiliate-level financial results</w:t>
      </w:r>
      <w:r w:rsidR="00662474">
        <w:t xml:space="preserve">. </w:t>
      </w:r>
      <w:r w:rsidR="00F85CAD">
        <w:t>Some argue tax-motivated transfer pricing incentives have overtaken the internal decision-making objective</w:t>
      </w:r>
      <w:r>
        <w:t xml:space="preserve"> for many firms</w:t>
      </w:r>
      <w:r w:rsidR="00F85CAD">
        <w:t xml:space="preserve">. For example, EY (2013) document that 83 percent of firms identified a tax motive as their highest </w:t>
      </w:r>
      <w:r w:rsidR="00F85CAD">
        <w:lastRenderedPageBreak/>
        <w:t>priority in setting transfer prices.</w:t>
      </w:r>
      <w:r w:rsidR="00F85CAD">
        <w:rPr>
          <w:rStyle w:val="FootnoteReference"/>
        </w:rPr>
        <w:footnoteReference w:id="5"/>
      </w:r>
      <w:r w:rsidR="00F85CAD">
        <w:t xml:space="preserve"> In contrast, only 15 percent of respondents chose management accounting motives as the highest priority in setting transfer prices. While managers of such firms may believe their internal control systems will compensate for the traditional role played by transfer prices and decentralized </w:t>
      </w:r>
      <w:proofErr w:type="gramStart"/>
      <w:r w:rsidR="00F85CAD">
        <w:t>decision making</w:t>
      </w:r>
      <w:proofErr w:type="gramEnd"/>
      <w:r w:rsidR="002A2BC0">
        <w:t xml:space="preserve"> (</w:t>
      </w:r>
      <w:proofErr w:type="spellStart"/>
      <w:r w:rsidR="002A2BC0">
        <w:t>Springsteel</w:t>
      </w:r>
      <w:proofErr w:type="spellEnd"/>
      <w:r w:rsidR="002A2BC0">
        <w:t>, 1999)</w:t>
      </w:r>
      <w:r w:rsidR="00F85CAD">
        <w:t xml:space="preserve">, </w:t>
      </w:r>
      <w:r>
        <w:t>we question whether this is true.</w:t>
      </w:r>
      <w:r w:rsidR="00F85CAD">
        <w:t xml:space="preserve"> </w:t>
      </w:r>
      <w:r>
        <w:t>Thus, w</w:t>
      </w:r>
      <w:r w:rsidR="0071662A">
        <w:t>e investigate whether</w:t>
      </w:r>
      <w:r w:rsidR="00801984">
        <w:t xml:space="preserve"> tax-motivated distortion</w:t>
      </w:r>
      <w:r w:rsidR="00B126FA">
        <w:t>s of affiliate income</w:t>
      </w:r>
      <w:r w:rsidR="00801984">
        <w:t xml:space="preserve"> affect investment decisions</w:t>
      </w:r>
      <w:r w:rsidR="00DB745A">
        <w:t>, on average</w:t>
      </w:r>
      <w:r w:rsidR="00801984">
        <w:t>.</w:t>
      </w:r>
    </w:p>
    <w:p w14:paraId="40CAD062" w14:textId="0B47B7DE" w:rsidR="00666755" w:rsidRDefault="00666755">
      <w:pPr>
        <w:spacing w:line="480" w:lineRule="auto"/>
        <w:ind w:firstLine="720"/>
        <w:jc w:val="both"/>
      </w:pPr>
      <w:r>
        <w:t xml:space="preserve">A relatively new literature studies the impact of the information environment on investment decisions. </w:t>
      </w:r>
      <w:r w:rsidR="00C17FA5">
        <w:t>D</w:t>
      </w:r>
      <w:r w:rsidR="00326E8C">
        <w:t xml:space="preserve">istorted </w:t>
      </w:r>
      <w:r w:rsidR="008C1003">
        <w:t xml:space="preserve">financial </w:t>
      </w:r>
      <w:r w:rsidR="00326E8C">
        <w:t xml:space="preserve">accounting </w:t>
      </w:r>
      <w:r w:rsidR="00D34995">
        <w:t xml:space="preserve">values </w:t>
      </w:r>
      <w:r w:rsidR="00326E8C">
        <w:t>affect investment</w:t>
      </w:r>
      <w:r w:rsidR="00D34995">
        <w:t xml:space="preserve"> </w:t>
      </w:r>
      <w:r w:rsidR="007903D0">
        <w:t xml:space="preserve">either </w:t>
      </w:r>
      <w:r w:rsidR="00D34995">
        <w:t xml:space="preserve">because </w:t>
      </w:r>
      <w:r w:rsidR="00326E8C" w:rsidRPr="0042218F">
        <w:t xml:space="preserve">management </w:t>
      </w:r>
      <w:r w:rsidR="00D34995" w:rsidRPr="0042218F">
        <w:t>us</w:t>
      </w:r>
      <w:r w:rsidR="00D34995">
        <w:t>e</w:t>
      </w:r>
      <w:r w:rsidR="007903D0">
        <w:t>s</w:t>
      </w:r>
      <w:r w:rsidR="00D34995" w:rsidRPr="0042218F">
        <w:t xml:space="preserve"> </w:t>
      </w:r>
      <w:r w:rsidR="00326E8C" w:rsidRPr="0042218F">
        <w:t>their own manipulated numbers to make internal decisions</w:t>
      </w:r>
      <w:r w:rsidR="00D34995">
        <w:t xml:space="preserve"> or because management seize</w:t>
      </w:r>
      <w:r w:rsidR="007903D0">
        <w:t>s</w:t>
      </w:r>
      <w:r w:rsidR="00D34995">
        <w:t xml:space="preserve"> the opportunity afforded by the misinformation to overinvest</w:t>
      </w:r>
      <w:r w:rsidR="00326E8C">
        <w:t xml:space="preserve">. </w:t>
      </w:r>
      <w:proofErr w:type="spellStart"/>
      <w:r w:rsidR="00862B29" w:rsidRPr="0042218F">
        <w:t>McNichols</w:t>
      </w:r>
      <w:proofErr w:type="spellEnd"/>
      <w:r w:rsidR="00862B29" w:rsidRPr="0042218F">
        <w:t xml:space="preserve"> and </w:t>
      </w:r>
      <w:proofErr w:type="spellStart"/>
      <w:r w:rsidR="00862B29" w:rsidRPr="0042218F">
        <w:t>Stubben</w:t>
      </w:r>
      <w:proofErr w:type="spellEnd"/>
      <w:r w:rsidR="00862B29" w:rsidRPr="0042218F">
        <w:t xml:space="preserve"> (2008) show that companies that manipulate their financial reporting results </w:t>
      </w:r>
      <w:r w:rsidR="001230D1" w:rsidRPr="0042218F">
        <w:t>over-</w:t>
      </w:r>
      <w:r w:rsidR="00862B29" w:rsidRPr="0042218F">
        <w:t xml:space="preserve">invest in </w:t>
      </w:r>
      <w:r w:rsidR="00584EE7" w:rsidRPr="0042218F">
        <w:t xml:space="preserve">new </w:t>
      </w:r>
      <w:r w:rsidR="00862B29" w:rsidRPr="0042218F">
        <w:t>assets</w:t>
      </w:r>
      <w:r>
        <w:t>, suggest</w:t>
      </w:r>
      <w:r w:rsidR="005A66AB">
        <w:t>ing</w:t>
      </w:r>
      <w:r>
        <w:t xml:space="preserve"> that </w:t>
      </w:r>
      <w:r w:rsidR="001230D1" w:rsidRPr="0042218F">
        <w:t>internal capital market frictio</w:t>
      </w:r>
      <w:r w:rsidR="0071662A">
        <w:t>n</w:t>
      </w:r>
      <w:r w:rsidR="0035121A">
        <w:t>s</w:t>
      </w:r>
      <w:r w:rsidR="0071662A">
        <w:t xml:space="preserve"> affect investment.</w:t>
      </w:r>
      <w:r>
        <w:t xml:space="preserve"> </w:t>
      </w:r>
      <w:proofErr w:type="spellStart"/>
      <w:r>
        <w:t>Badertscher</w:t>
      </w:r>
      <w:proofErr w:type="spellEnd"/>
      <w:r>
        <w:t>, Shroff and White (2013) and Shroff, Verdi and Yu (201</w:t>
      </w:r>
      <w:r w:rsidR="00945ACF">
        <w:t>5</w:t>
      </w:r>
      <w:r>
        <w:t>) estimate factors that mitigate these distortions</w:t>
      </w:r>
      <w:r w:rsidR="00EB1390">
        <w:t>; both papers find that a higher quality information environment (at the industry and country-industry level, respectively) is associated with more efficient investment.</w:t>
      </w:r>
    </w:p>
    <w:p w14:paraId="480449DA" w14:textId="783EF931" w:rsidR="00862B29" w:rsidRDefault="00666755">
      <w:pPr>
        <w:spacing w:line="480" w:lineRule="auto"/>
        <w:ind w:firstLine="720"/>
        <w:jc w:val="both"/>
      </w:pPr>
      <w:r>
        <w:t>Regarding the effect of tax figure</w:t>
      </w:r>
      <w:r w:rsidR="00EB1390">
        <w:t>s</w:t>
      </w:r>
      <w:r w:rsidR="00EB1390" w:rsidRPr="00EB1390">
        <w:t xml:space="preserve"> </w:t>
      </w:r>
      <w:r w:rsidR="00EB1390">
        <w:t>and c</w:t>
      </w:r>
      <w:r w:rsidR="00EB1390" w:rsidRPr="0042218F">
        <w:t xml:space="preserve">losely related to </w:t>
      </w:r>
      <w:r w:rsidR="00EB1390">
        <w:t>the setting of</w:t>
      </w:r>
      <w:r w:rsidR="00EB1390" w:rsidRPr="0042218F">
        <w:t xml:space="preserve"> </w:t>
      </w:r>
      <w:proofErr w:type="spellStart"/>
      <w:r w:rsidR="00EB1390" w:rsidRPr="0042218F">
        <w:t>McNichols</w:t>
      </w:r>
      <w:proofErr w:type="spellEnd"/>
      <w:r w:rsidR="00EB1390" w:rsidRPr="0042218F">
        <w:t xml:space="preserve"> and </w:t>
      </w:r>
      <w:proofErr w:type="spellStart"/>
      <w:r w:rsidR="00EB1390" w:rsidRPr="0042218F">
        <w:t>Stubben</w:t>
      </w:r>
      <w:proofErr w:type="spellEnd"/>
      <w:r w:rsidR="00EB1390" w:rsidRPr="0042218F">
        <w:t xml:space="preserve"> (2008), Erickson, Hanlon and Maydew (2004) show that companies pay taxes on fraudulently reported earnings.</w:t>
      </w:r>
      <w:r w:rsidR="00EB1390">
        <w:t xml:space="preserve"> Similarly</w:t>
      </w:r>
      <w:r>
        <w:t xml:space="preserve">, </w:t>
      </w:r>
      <w:proofErr w:type="spellStart"/>
      <w:r w:rsidRPr="0042218F">
        <w:t>Blouin</w:t>
      </w:r>
      <w:proofErr w:type="spellEnd"/>
      <w:r w:rsidRPr="0042218F">
        <w:t xml:space="preserve">, </w:t>
      </w:r>
      <w:proofErr w:type="spellStart"/>
      <w:r w:rsidRPr="0042218F">
        <w:t>Krull</w:t>
      </w:r>
      <w:proofErr w:type="spellEnd"/>
      <w:r w:rsidRPr="0042218F">
        <w:t xml:space="preserve">, and </w:t>
      </w:r>
      <w:r>
        <w:t>Robinson (2014</w:t>
      </w:r>
      <w:r w:rsidRPr="0042218F">
        <w:t xml:space="preserve">) </w:t>
      </w:r>
      <w:r>
        <w:t>find a negative association between</w:t>
      </w:r>
      <w:r w:rsidRPr="0042218F">
        <w:t xml:space="preserve"> foreign earnings designated as permanently reinvested </w:t>
      </w:r>
      <w:r>
        <w:t>and</w:t>
      </w:r>
      <w:r w:rsidRPr="0042218F">
        <w:t xml:space="preserve"> domestic investment. </w:t>
      </w:r>
      <w:r w:rsidR="00EB1390">
        <w:t xml:space="preserve">Chen, </w:t>
      </w:r>
      <w:proofErr w:type="spellStart"/>
      <w:r w:rsidR="00EB1390">
        <w:t>Hepfer</w:t>
      </w:r>
      <w:proofErr w:type="spellEnd"/>
      <w:r w:rsidR="00EB1390">
        <w:t>, Quinn and Wilson (201</w:t>
      </w:r>
      <w:r w:rsidR="00F65A01">
        <w:t>7</w:t>
      </w:r>
      <w:r w:rsidR="00EB1390">
        <w:t>) find that</w:t>
      </w:r>
      <w:r w:rsidR="00F65A01">
        <w:t xml:space="preserve"> tax-</w:t>
      </w:r>
      <w:r w:rsidR="00D251D2">
        <w:t>motivated</w:t>
      </w:r>
      <w:r w:rsidR="00EB1390">
        <w:t xml:space="preserve"> income shifting weakens the information environment. </w:t>
      </w:r>
      <w:r w:rsidR="002A2BC0">
        <w:t xml:space="preserve">Thus, </w:t>
      </w:r>
      <w:r w:rsidR="00EB1390">
        <w:t>we predict that</w:t>
      </w:r>
      <w:r w:rsidR="001230D1" w:rsidRPr="0042218F">
        <w:t xml:space="preserve"> </w:t>
      </w:r>
      <w:r w:rsidR="00110BF1">
        <w:t xml:space="preserve">tax-motivated </w:t>
      </w:r>
      <w:r w:rsidR="005A57C7">
        <w:t>income shifting</w:t>
      </w:r>
      <w:r w:rsidR="001230D1" w:rsidRPr="0042218F">
        <w:t xml:space="preserve"> </w:t>
      </w:r>
      <w:r w:rsidR="007903D0">
        <w:t xml:space="preserve">may </w:t>
      </w:r>
      <w:r w:rsidR="002A2BC0">
        <w:lastRenderedPageBreak/>
        <w:t xml:space="preserve">also </w:t>
      </w:r>
      <w:r w:rsidR="007903D0">
        <w:t xml:space="preserve">fool internal assessments </w:t>
      </w:r>
      <w:r w:rsidR="00110BF1">
        <w:t xml:space="preserve">of the performance of affiliates of </w:t>
      </w:r>
      <w:r w:rsidR="00FD3543">
        <w:t>the</w:t>
      </w:r>
      <w:r w:rsidR="001E0565">
        <w:t xml:space="preserve"> </w:t>
      </w:r>
      <w:r w:rsidR="00110BF1">
        <w:t xml:space="preserve">multinational </w:t>
      </w:r>
      <w:r w:rsidR="00E964A6">
        <w:t>firm</w:t>
      </w:r>
      <w:r w:rsidR="00110BF1">
        <w:t xml:space="preserve">, </w:t>
      </w:r>
      <w:r w:rsidR="001230D1" w:rsidRPr="0042218F">
        <w:t>lead</w:t>
      </w:r>
      <w:r w:rsidR="00110BF1">
        <w:t>ing</w:t>
      </w:r>
      <w:r w:rsidR="001230D1" w:rsidRPr="0042218F">
        <w:t xml:space="preserve"> to </w:t>
      </w:r>
      <w:r w:rsidR="007903D0">
        <w:t>inefficient</w:t>
      </w:r>
      <w:r w:rsidR="007903D0" w:rsidRPr="0042218F">
        <w:t xml:space="preserve"> </w:t>
      </w:r>
      <w:r w:rsidR="001230D1" w:rsidRPr="0042218F">
        <w:t>investment.</w:t>
      </w:r>
      <w:r w:rsidR="003E372B">
        <w:t xml:space="preserve"> </w:t>
      </w:r>
    </w:p>
    <w:p w14:paraId="6B74CBF6" w14:textId="0482427B" w:rsidR="00A85C01" w:rsidRPr="0042218F" w:rsidRDefault="00862B29" w:rsidP="00285041">
      <w:pPr>
        <w:spacing w:line="480" w:lineRule="auto"/>
        <w:ind w:firstLine="720"/>
        <w:jc w:val="both"/>
      </w:pPr>
      <w:r w:rsidRPr="0042218F">
        <w:t xml:space="preserve">Our research question is whether </w:t>
      </w:r>
      <w:r w:rsidR="001230D1" w:rsidRPr="0042218F">
        <w:t xml:space="preserve">financial data </w:t>
      </w:r>
      <w:r w:rsidR="001E0565">
        <w:t xml:space="preserve">of multinational affiliates </w:t>
      </w:r>
      <w:r w:rsidR="001230D1" w:rsidRPr="0042218F">
        <w:t xml:space="preserve">that </w:t>
      </w:r>
      <w:r w:rsidR="00B126FA">
        <w:t>reflect</w:t>
      </w:r>
      <w:r w:rsidR="00B126FA" w:rsidRPr="0042218F">
        <w:t xml:space="preserve"> </w:t>
      </w:r>
      <w:r w:rsidR="00FD3543">
        <w:t xml:space="preserve">aggressive </w:t>
      </w:r>
      <w:r w:rsidR="001230D1" w:rsidRPr="0042218F">
        <w:t>tax-</w:t>
      </w:r>
      <w:r w:rsidR="001E0565">
        <w:t>motivated income shifting</w:t>
      </w:r>
      <w:r w:rsidR="00013008" w:rsidRPr="0042218F">
        <w:t xml:space="preserve"> </w:t>
      </w:r>
      <w:r w:rsidR="00FD3543">
        <w:t>distort</w:t>
      </w:r>
      <w:r w:rsidRPr="0042218F">
        <w:t xml:space="preserve"> decentralized decision-making, and thus create inefficien</w:t>
      </w:r>
      <w:r w:rsidR="00FD3543">
        <w:t>t</w:t>
      </w:r>
      <w:r w:rsidRPr="0042218F">
        <w:t xml:space="preserve"> investment decisions.</w:t>
      </w:r>
      <w:r w:rsidR="000C2599" w:rsidRPr="0042218F">
        <w:t xml:space="preserve"> </w:t>
      </w:r>
      <w:r w:rsidR="00D962F6" w:rsidRPr="0042218F">
        <w:t xml:space="preserve">We expect this inefficiency to </w:t>
      </w:r>
      <w:r w:rsidR="00013008" w:rsidRPr="0042218F">
        <w:t>result in</w:t>
      </w:r>
      <w:r w:rsidR="00D962F6" w:rsidRPr="0042218F">
        <w:t xml:space="preserve"> net overinvestment at the firm</w:t>
      </w:r>
      <w:r w:rsidR="00FD3543">
        <w:t xml:space="preserve"> </w:t>
      </w:r>
      <w:r w:rsidR="00D962F6" w:rsidRPr="0042218F">
        <w:t xml:space="preserve">level. </w:t>
      </w:r>
      <w:r w:rsidR="00BE3BCE">
        <w:t xml:space="preserve">Specifically, </w:t>
      </w:r>
      <w:r w:rsidR="005A66AB">
        <w:t>biased self-</w:t>
      </w:r>
      <w:r w:rsidR="00285041" w:rsidRPr="0042218F">
        <w:t>a</w:t>
      </w:r>
      <w:r w:rsidR="00D962F6" w:rsidRPr="0042218F">
        <w:t>t</w:t>
      </w:r>
      <w:r w:rsidR="002C4CE4">
        <w:t xml:space="preserve">tribution </w:t>
      </w:r>
      <w:r w:rsidR="005A66AB">
        <w:t>(</w:t>
      </w:r>
      <w:proofErr w:type="spellStart"/>
      <w:r w:rsidR="005A66AB">
        <w:t>Bem</w:t>
      </w:r>
      <w:proofErr w:type="spellEnd"/>
      <w:r w:rsidR="005A66AB">
        <w:t xml:space="preserve">, 1965; Daniel, </w:t>
      </w:r>
      <w:proofErr w:type="spellStart"/>
      <w:r w:rsidR="005A66AB">
        <w:t>Hirschleifer</w:t>
      </w:r>
      <w:proofErr w:type="spellEnd"/>
      <w:r w:rsidR="005A66AB">
        <w:t xml:space="preserve"> and </w:t>
      </w:r>
      <w:proofErr w:type="spellStart"/>
      <w:r w:rsidR="005A66AB">
        <w:t>Subrahmanyam</w:t>
      </w:r>
      <w:proofErr w:type="spellEnd"/>
      <w:r w:rsidR="005A66AB">
        <w:t>, 1998</w:t>
      </w:r>
      <w:r w:rsidR="00934F86">
        <w:t xml:space="preserve">; </w:t>
      </w:r>
      <w:proofErr w:type="spellStart"/>
      <w:r w:rsidR="00934F86">
        <w:t>Malmendier</w:t>
      </w:r>
      <w:proofErr w:type="spellEnd"/>
      <w:r w:rsidR="00934F86">
        <w:t xml:space="preserve"> and Tate, 2005</w:t>
      </w:r>
      <w:r w:rsidR="005A66AB">
        <w:t xml:space="preserve">) </w:t>
      </w:r>
      <w:r w:rsidR="002C4CE4">
        <w:t xml:space="preserve">suggests </w:t>
      </w:r>
      <w:r w:rsidR="007903D0">
        <w:t>asymmetric</w:t>
      </w:r>
      <w:r w:rsidR="007903D0" w:rsidRPr="0042218F">
        <w:t xml:space="preserve"> </w:t>
      </w:r>
      <w:r w:rsidR="00285041" w:rsidRPr="0042218F">
        <w:t xml:space="preserve">affiliate-level </w:t>
      </w:r>
      <w:r w:rsidR="003213C3">
        <w:t>responses</w:t>
      </w:r>
      <w:r w:rsidR="00285041" w:rsidRPr="0042218F">
        <w:t xml:space="preserve"> lead to </w:t>
      </w:r>
      <w:r w:rsidR="003213C3">
        <w:t xml:space="preserve">firm-level </w:t>
      </w:r>
      <w:r w:rsidR="00285041" w:rsidRPr="0042218F">
        <w:t xml:space="preserve">overinvestment. </w:t>
      </w:r>
      <w:r w:rsidR="003213C3">
        <w:t>M</w:t>
      </w:r>
      <w:r w:rsidR="00013008" w:rsidRPr="0042218F">
        <w:t xml:space="preserve">anagers </w:t>
      </w:r>
      <w:r w:rsidR="007903D0">
        <w:t xml:space="preserve">of affiliates that benefit from tax-motivated </w:t>
      </w:r>
      <w:r w:rsidR="001E0565">
        <w:t>income shifting</w:t>
      </w:r>
      <w:r w:rsidR="007903D0">
        <w:t xml:space="preserve"> will </w:t>
      </w:r>
      <w:r w:rsidR="00903B18">
        <w:t>report</w:t>
      </w:r>
      <w:r w:rsidR="00903B18" w:rsidRPr="0042218F">
        <w:t xml:space="preserve"> profitability in excess of their operational profitability</w:t>
      </w:r>
      <w:r w:rsidR="00903B18">
        <w:t xml:space="preserve"> and will </w:t>
      </w:r>
      <w:r w:rsidR="003213C3">
        <w:t xml:space="preserve">attribute </w:t>
      </w:r>
      <w:r w:rsidR="007903D0">
        <w:t xml:space="preserve">the reported </w:t>
      </w:r>
      <w:r w:rsidR="002C4CE4">
        <w:t xml:space="preserve">strong </w:t>
      </w:r>
      <w:r w:rsidR="00013008" w:rsidRPr="0042218F">
        <w:t xml:space="preserve">results to </w:t>
      </w:r>
      <w:proofErr w:type="gramStart"/>
      <w:r w:rsidR="00013008" w:rsidRPr="0042218F">
        <w:t xml:space="preserve">the </w:t>
      </w:r>
      <w:proofErr w:type="spellStart"/>
      <w:r w:rsidR="00934F86">
        <w:t>their</w:t>
      </w:r>
      <w:proofErr w:type="spellEnd"/>
      <w:proofErr w:type="gramEnd"/>
      <w:r w:rsidR="00934F86">
        <w:t xml:space="preserve">, and the </w:t>
      </w:r>
      <w:r w:rsidR="00285041" w:rsidRPr="0042218F">
        <w:t>affiliate’s</w:t>
      </w:r>
      <w:r w:rsidR="00934F86">
        <w:t>,</w:t>
      </w:r>
      <w:r w:rsidR="00285041" w:rsidRPr="0042218F">
        <w:t xml:space="preserve"> good performance</w:t>
      </w:r>
      <w:r w:rsidR="001E607E">
        <w:t>. These affiliates</w:t>
      </w:r>
      <w:r w:rsidR="00285041" w:rsidRPr="0042218F">
        <w:t xml:space="preserve"> </w:t>
      </w:r>
      <w:r w:rsidR="00D962F6" w:rsidRPr="0042218F">
        <w:t>will</w:t>
      </w:r>
      <w:r w:rsidR="001E607E">
        <w:t xml:space="preserve"> </w:t>
      </w:r>
      <w:r w:rsidR="00D962F6" w:rsidRPr="0042218F">
        <w:t>overinvest</w:t>
      </w:r>
      <w:r w:rsidR="001E607E">
        <w:t xml:space="preserve"> based on their reported profits</w:t>
      </w:r>
      <w:r w:rsidR="007903D0">
        <w:t>. On the other hand,</w:t>
      </w:r>
      <w:r w:rsidR="002C4CE4">
        <w:t xml:space="preserve"> managers</w:t>
      </w:r>
      <w:r w:rsidR="007903D0">
        <w:t xml:space="preserve"> of affiliates that suffer from tax-motivated </w:t>
      </w:r>
      <w:r w:rsidR="001E0565">
        <w:t>income shifting by having income shifted out</w:t>
      </w:r>
      <w:r w:rsidR="002C4CE4">
        <w:t xml:space="preserve"> </w:t>
      </w:r>
      <w:r w:rsidR="00285041" w:rsidRPr="0042218F">
        <w:t xml:space="preserve">will remember the </w:t>
      </w:r>
      <w:r w:rsidR="007903D0">
        <w:t>role</w:t>
      </w:r>
      <w:r w:rsidR="007903D0" w:rsidRPr="0042218F">
        <w:t xml:space="preserve"> </w:t>
      </w:r>
      <w:r w:rsidR="00285041" w:rsidRPr="0042218F">
        <w:t>of transfer pricing</w:t>
      </w:r>
      <w:r w:rsidR="002C4CE4">
        <w:t xml:space="preserve"> in generating weak results</w:t>
      </w:r>
      <w:r w:rsidR="00285041" w:rsidRPr="0042218F">
        <w:t xml:space="preserve">, inflate the low revenue or discount the high costs, and </w:t>
      </w:r>
      <w:r w:rsidR="00013008" w:rsidRPr="0042218F">
        <w:t>undertake</w:t>
      </w:r>
      <w:r w:rsidR="00D962F6" w:rsidRPr="0042218F">
        <w:t xml:space="preserve"> </w:t>
      </w:r>
      <w:r w:rsidR="00285041" w:rsidRPr="0042218F">
        <w:t xml:space="preserve">a </w:t>
      </w:r>
      <w:r w:rsidR="00D962F6" w:rsidRPr="0042218F">
        <w:t xml:space="preserve">level of investment </w:t>
      </w:r>
      <w:r w:rsidR="00013008" w:rsidRPr="0042218F">
        <w:t>that is closer to predicted</w:t>
      </w:r>
      <w:r w:rsidR="00D962F6" w:rsidRPr="0042218F">
        <w:t>.</w:t>
      </w:r>
      <w:r w:rsidR="00285041" w:rsidRPr="0042218F">
        <w:t xml:space="preserve"> </w:t>
      </w:r>
      <w:r w:rsidR="007903D0">
        <w:t>Combining the</w:t>
      </w:r>
      <w:r w:rsidR="001E0565">
        <w:t xml:space="preserve"> investment responses of </w:t>
      </w:r>
      <w:r w:rsidR="001E607E">
        <w:t xml:space="preserve">all </w:t>
      </w:r>
      <w:r w:rsidR="007903D0">
        <w:t>affiliates create</w:t>
      </w:r>
      <w:r w:rsidR="00053346">
        <w:t>s</w:t>
      </w:r>
      <w:r w:rsidR="00285041" w:rsidRPr="0042218F">
        <w:t xml:space="preserve"> </w:t>
      </w:r>
      <w:r w:rsidR="001E0565">
        <w:t xml:space="preserve">multinational </w:t>
      </w:r>
      <w:r w:rsidR="00E964A6">
        <w:t>firms</w:t>
      </w:r>
      <w:r w:rsidR="001E0565" w:rsidRPr="0042218F">
        <w:t xml:space="preserve"> </w:t>
      </w:r>
      <w:r w:rsidR="007903D0">
        <w:t>that</w:t>
      </w:r>
      <w:r w:rsidR="00285041" w:rsidRPr="0042218F">
        <w:t xml:space="preserve"> </w:t>
      </w:r>
      <w:r w:rsidR="00013008" w:rsidRPr="0042218F">
        <w:t>undertake</w:t>
      </w:r>
      <w:r w:rsidR="00285041" w:rsidRPr="0042218F">
        <w:t xml:space="preserve"> net overinvestment at the </w:t>
      </w:r>
      <w:proofErr w:type="gramStart"/>
      <w:r w:rsidR="00285041" w:rsidRPr="0042218F">
        <w:t>firm-level</w:t>
      </w:r>
      <w:proofErr w:type="gramEnd"/>
      <w:r w:rsidR="007903D0">
        <w:t xml:space="preserve">, and the overinvestment will be related to degree to which </w:t>
      </w:r>
      <w:r w:rsidR="001E0565">
        <w:t>the affiliates respond to tax incentives when reporting profitability</w:t>
      </w:r>
      <w:r w:rsidR="00285041" w:rsidRPr="0042218F">
        <w:t>.</w:t>
      </w:r>
      <w:r w:rsidR="002C4CE4">
        <w:rPr>
          <w:rStyle w:val="FootnoteReference"/>
        </w:rPr>
        <w:footnoteReference w:id="6"/>
      </w:r>
      <w:r w:rsidR="00285041" w:rsidRPr="0042218F">
        <w:t xml:space="preserve"> </w:t>
      </w:r>
    </w:p>
    <w:p w14:paraId="7BDB5D6F" w14:textId="22EAB64D" w:rsidR="00013008" w:rsidRDefault="00A85C01" w:rsidP="00013008">
      <w:pPr>
        <w:spacing w:line="480" w:lineRule="auto"/>
        <w:ind w:firstLine="720"/>
        <w:jc w:val="both"/>
      </w:pPr>
      <w:r w:rsidRPr="0042218F">
        <w:t xml:space="preserve">Our research </w:t>
      </w:r>
      <w:r w:rsidR="003E372B">
        <w:t xml:space="preserve">extends Chen et al. (2015), who study the effect of tax-motivated income shifting on market measures of the information environment, to study on the internal information environment. Our work </w:t>
      </w:r>
      <w:proofErr w:type="gramStart"/>
      <w:r w:rsidR="000C2599" w:rsidRPr="0042218F">
        <w:t xml:space="preserve">is </w:t>
      </w:r>
      <w:r w:rsidR="003E372B">
        <w:t xml:space="preserve">also </w:t>
      </w:r>
      <w:r w:rsidR="000C2599" w:rsidRPr="0042218F">
        <w:t>related</w:t>
      </w:r>
      <w:proofErr w:type="gramEnd"/>
      <w:r w:rsidR="000C2599" w:rsidRPr="0042218F">
        <w:t xml:space="preserve"> to </w:t>
      </w:r>
      <w:proofErr w:type="spellStart"/>
      <w:r w:rsidR="000C2599" w:rsidRPr="0042218F">
        <w:t>Buettner</w:t>
      </w:r>
      <w:proofErr w:type="spellEnd"/>
      <w:r w:rsidR="000C2599" w:rsidRPr="0042218F">
        <w:t xml:space="preserve">, </w:t>
      </w:r>
      <w:proofErr w:type="spellStart"/>
      <w:r w:rsidR="000C2599" w:rsidRPr="0042218F">
        <w:t>Overesch</w:t>
      </w:r>
      <w:proofErr w:type="spellEnd"/>
      <w:r w:rsidR="000C2599" w:rsidRPr="0042218F">
        <w:t xml:space="preserve"> and </w:t>
      </w:r>
      <w:proofErr w:type="spellStart"/>
      <w:r w:rsidR="000C2599" w:rsidRPr="0042218F">
        <w:t>Wamser</w:t>
      </w:r>
      <w:proofErr w:type="spellEnd"/>
      <w:r w:rsidR="000C2599" w:rsidRPr="0042218F">
        <w:t xml:space="preserve"> (2014) </w:t>
      </w:r>
      <w:r w:rsidR="008C1003">
        <w:t>who examine</w:t>
      </w:r>
      <w:r w:rsidR="000C2599" w:rsidRPr="0042218F">
        <w:t xml:space="preserve"> the </w:t>
      </w:r>
      <w:r w:rsidR="00E44F26">
        <w:lastRenderedPageBreak/>
        <w:t>sensitivity</w:t>
      </w:r>
      <w:r w:rsidR="000C2599" w:rsidRPr="0042218F">
        <w:t xml:space="preserve"> of </w:t>
      </w:r>
      <w:r w:rsidR="002C630C">
        <w:t>property, plant and equipment (PP&amp;E)</w:t>
      </w:r>
      <w:r w:rsidR="008C1003">
        <w:t xml:space="preserve"> and employment</w:t>
      </w:r>
      <w:r w:rsidR="000C2599" w:rsidRPr="0042218F">
        <w:t xml:space="preserve"> </w:t>
      </w:r>
      <w:r w:rsidRPr="0042218F">
        <w:t xml:space="preserve">of German multinationals’ affiliates </w:t>
      </w:r>
      <w:r w:rsidR="000C2599" w:rsidRPr="0042218F">
        <w:t xml:space="preserve">to </w:t>
      </w:r>
      <w:r w:rsidR="00E44F26">
        <w:t>tax rates</w:t>
      </w:r>
      <w:r w:rsidR="003213C3">
        <w:t>, and an</w:t>
      </w:r>
      <w:r w:rsidR="000C2599" w:rsidRPr="0042218F">
        <w:t xml:space="preserve"> </w:t>
      </w:r>
      <w:r w:rsidR="008C1003">
        <w:t>interact</w:t>
      </w:r>
      <w:r w:rsidR="003213C3">
        <w:t>ion</w:t>
      </w:r>
      <w:r w:rsidR="008C1003">
        <w:t xml:space="preserve"> with</w:t>
      </w:r>
      <w:r w:rsidR="00E44F26">
        <w:t xml:space="preserve"> the intensity of</w:t>
      </w:r>
      <w:r w:rsidR="008C1003">
        <w:t xml:space="preserve"> </w:t>
      </w:r>
      <w:r w:rsidR="00E44F26">
        <w:t>anti-</w:t>
      </w:r>
      <w:r w:rsidR="000C2599" w:rsidRPr="0042218F">
        <w:t>profit-shifting rules</w:t>
      </w:r>
      <w:r w:rsidR="00E44F26">
        <w:t>.</w:t>
      </w:r>
      <w:r w:rsidR="000C2599" w:rsidRPr="0042218F">
        <w:t xml:space="preserve"> </w:t>
      </w:r>
      <w:proofErr w:type="spellStart"/>
      <w:r w:rsidR="00DB745A">
        <w:t>Buettner</w:t>
      </w:r>
      <w:proofErr w:type="spellEnd"/>
      <w:r w:rsidR="00DB745A">
        <w:t xml:space="preserve"> et al. (2014) predict that </w:t>
      </w:r>
      <w:r w:rsidR="00E44F26">
        <w:t>limiting</w:t>
      </w:r>
      <w:r w:rsidR="00DB745A">
        <w:t xml:space="preserve"> profit shifting </w:t>
      </w:r>
      <w:r w:rsidR="00E44F26">
        <w:t>increases the sensitivity of investment to tax rates</w:t>
      </w:r>
      <w:r w:rsidR="00DB745A">
        <w:t xml:space="preserve">, </w:t>
      </w:r>
      <w:r w:rsidR="008C1003">
        <w:t>leading</w:t>
      </w:r>
      <w:r w:rsidR="00DB745A">
        <w:t xml:space="preserve"> to lower investment</w:t>
      </w:r>
      <w:r w:rsidR="00E44F26">
        <w:t xml:space="preserve"> in higher tax rate countries</w:t>
      </w:r>
      <w:r w:rsidR="003213C3">
        <w:t>. T</w:t>
      </w:r>
      <w:r w:rsidR="00DB745A">
        <w:t>heir results are consistent with this prediction</w:t>
      </w:r>
      <w:r w:rsidR="00E44F26">
        <w:t xml:space="preserve"> for thin capitalization rules</w:t>
      </w:r>
      <w:r w:rsidR="00DB745A">
        <w:t>.</w:t>
      </w:r>
      <w:r w:rsidR="00E44F26">
        <w:t xml:space="preserve"> Interestingly, they are not able to </w:t>
      </w:r>
      <w:r w:rsidR="003213C3">
        <w:t xml:space="preserve">document </w:t>
      </w:r>
      <w:r w:rsidR="00E44F26">
        <w:t>an effect for transfer pricing strictness.</w:t>
      </w:r>
      <w:r w:rsidR="00DB745A">
        <w:t xml:space="preserve"> </w:t>
      </w:r>
      <w:r w:rsidR="00E009A7">
        <w:t xml:space="preserve">Rather than focus on the effect </w:t>
      </w:r>
      <w:r w:rsidR="00E44F26">
        <w:t>of jurisdictions’ tax enforcement tools</w:t>
      </w:r>
      <w:r w:rsidR="00E009A7">
        <w:t>, we</w:t>
      </w:r>
      <w:r w:rsidR="00DB745A">
        <w:t xml:space="preserve"> instead test whether the </w:t>
      </w:r>
      <w:r w:rsidR="00E44F26">
        <w:t xml:space="preserve">firm’s </w:t>
      </w:r>
      <w:r w:rsidR="00DB745A">
        <w:t xml:space="preserve">act of profit shifting distorts investment by altering the numbers managers use for </w:t>
      </w:r>
      <w:r w:rsidR="000123C6">
        <w:t>decision-making</w:t>
      </w:r>
      <w:r w:rsidR="00DB745A">
        <w:t>. Thus, o</w:t>
      </w:r>
      <w:r w:rsidR="000C2599" w:rsidRPr="0042218F">
        <w:t xml:space="preserve">ur </w:t>
      </w:r>
      <w:r w:rsidR="00DB745A">
        <w:t xml:space="preserve">research </w:t>
      </w:r>
      <w:r w:rsidR="000C2599" w:rsidRPr="0042218F">
        <w:t>question</w:t>
      </w:r>
      <w:r w:rsidR="00DB745A">
        <w:t xml:space="preserve"> </w:t>
      </w:r>
      <w:r w:rsidR="00464A5C" w:rsidRPr="0042218F">
        <w:t>is</w:t>
      </w:r>
      <w:r w:rsidR="000C2599" w:rsidRPr="0042218F">
        <w:t xml:space="preserve"> different, but related.</w:t>
      </w:r>
    </w:p>
    <w:p w14:paraId="0B78680F" w14:textId="0C4B81A5" w:rsidR="006501E0" w:rsidRDefault="006501E0" w:rsidP="00013008">
      <w:pPr>
        <w:spacing w:line="480" w:lineRule="auto"/>
        <w:ind w:firstLine="720"/>
        <w:jc w:val="both"/>
      </w:pPr>
      <w:r>
        <w:t xml:space="preserve">To examine the relation between income shifting aggressiveness and investment, we develop a firm-specific measure of the sensitivity of affiliate profitability to tax incentives. We </w:t>
      </w:r>
      <w:r w:rsidR="006C1334">
        <w:t>use</w:t>
      </w:r>
      <w:r>
        <w:t xml:space="preserve"> the income shifting prediction model from De Simone</w:t>
      </w:r>
      <w:r w:rsidR="00932CD6">
        <w:t xml:space="preserve"> et al. </w:t>
      </w:r>
      <w:r>
        <w:t>(2017)</w:t>
      </w:r>
      <w:r w:rsidR="006C1334">
        <w:t>, which extends the Hines and Rice (</w:t>
      </w:r>
      <w:proofErr w:type="gramStart"/>
      <w:r w:rsidR="006C1334">
        <w:t>1994) and Huizinga</w:t>
      </w:r>
      <w:proofErr w:type="gramEnd"/>
      <w:r w:rsidR="006C1334">
        <w:t xml:space="preserve"> and </w:t>
      </w:r>
      <w:proofErr w:type="spellStart"/>
      <w:r w:rsidR="006C1334">
        <w:t>Laeven</w:t>
      </w:r>
      <w:proofErr w:type="spellEnd"/>
      <w:r w:rsidR="006C1334">
        <w:t xml:space="preserve"> (2008) models</w:t>
      </w:r>
      <w:r>
        <w:t xml:space="preserve"> </w:t>
      </w:r>
      <w:r w:rsidR="006C1334">
        <w:t xml:space="preserve">of reported profitability as a function of </w:t>
      </w:r>
      <w:r w:rsidR="004C404B">
        <w:t>capital</w:t>
      </w:r>
      <w:r w:rsidR="006C1334">
        <w:t>, labor</w:t>
      </w:r>
      <w:r w:rsidR="004C404B">
        <w:t>, productivity,</w:t>
      </w:r>
      <w:r w:rsidR="006C1334">
        <w:t xml:space="preserve"> and tax incentives to allow for the inclusion of unprofitable affiliates. We augment the model by</w:t>
      </w:r>
      <w:r>
        <w:t xml:space="preserve"> including firm fixed effects interacted with affiliate weighted-average tax incentives </w:t>
      </w:r>
      <w:r>
        <w:rPr>
          <w:i/>
        </w:rPr>
        <w:t xml:space="preserve">C </w:t>
      </w:r>
      <w:r>
        <w:t xml:space="preserve">(Huizinga and </w:t>
      </w:r>
      <w:proofErr w:type="spellStart"/>
      <w:r>
        <w:t>Laeven</w:t>
      </w:r>
      <w:proofErr w:type="spellEnd"/>
      <w:r>
        <w:t xml:space="preserve"> 2008)</w:t>
      </w:r>
      <w:r w:rsidR="00932CD6">
        <w:t xml:space="preserve"> and</w:t>
      </w:r>
      <w:r w:rsidR="005F17A9">
        <w:t xml:space="preserve"> </w:t>
      </w:r>
      <w:r w:rsidR="002D1941">
        <w:t xml:space="preserve">historical annual ownership information to match affiliates to a multinational firm each year. We </w:t>
      </w:r>
      <w:r w:rsidR="005F17A9">
        <w:t>estimate th</w:t>
      </w:r>
      <w:r w:rsidR="00932CD6">
        <w:t>e</w:t>
      </w:r>
      <w:r w:rsidR="005F17A9">
        <w:t xml:space="preserve"> model </w:t>
      </w:r>
      <w:r w:rsidR="00792B1B">
        <w:t xml:space="preserve">using separate entity (unconsolidated) financials </w:t>
      </w:r>
      <w:r w:rsidR="005F17A9">
        <w:t xml:space="preserve">from Bureau van </w:t>
      </w:r>
      <w:proofErr w:type="spellStart"/>
      <w:r w:rsidR="005F17A9">
        <w:t>Dijk</w:t>
      </w:r>
      <w:proofErr w:type="spellEnd"/>
      <w:r w:rsidR="005F17A9">
        <w:t xml:space="preserve"> (</w:t>
      </w:r>
      <w:proofErr w:type="spellStart"/>
      <w:r w:rsidR="005F17A9">
        <w:t>BvD</w:t>
      </w:r>
      <w:proofErr w:type="spellEnd"/>
      <w:r w:rsidR="005F17A9">
        <w:t>)</w:t>
      </w:r>
      <w:r w:rsidR="00932CD6">
        <w:t xml:space="preserve">, resulting in a sample of </w:t>
      </w:r>
      <w:r w:rsidR="00B40F9C">
        <w:t>151</w:t>
      </w:r>
      <w:r w:rsidR="00932CD6">
        <w:t>,</w:t>
      </w:r>
      <w:r w:rsidR="00B40F9C">
        <w:t xml:space="preserve">083 </w:t>
      </w:r>
      <w:r w:rsidR="00932CD6">
        <w:t>multinational affiliate-years over the period 2002 to 2014</w:t>
      </w:r>
      <w:r w:rsidR="005F17A9">
        <w:t xml:space="preserve">. </w:t>
      </w:r>
      <w:r w:rsidR="00D9259D">
        <w:t>Our resulting firm-specific measure of income shifting</w:t>
      </w:r>
      <w:r w:rsidR="00674122">
        <w:t xml:space="preserve"> aggressiveness, </w:t>
      </w:r>
      <w:r w:rsidR="00674122" w:rsidRPr="009133F4">
        <w:rPr>
          <w:i/>
        </w:rPr>
        <w:t>G</w:t>
      </w:r>
      <w:r w:rsidR="00674122">
        <w:t>,</w:t>
      </w:r>
      <w:r w:rsidR="00D9259D">
        <w:t xml:space="preserve"> is increasing</w:t>
      </w:r>
      <w:r w:rsidR="00FA7BF2">
        <w:t xml:space="preserve"> i</w:t>
      </w:r>
      <w:r w:rsidR="00D9259D">
        <w:t>n the extent to which a m</w:t>
      </w:r>
      <w:r>
        <w:t>ultinati</w:t>
      </w:r>
      <w:r w:rsidR="00D9259D">
        <w:t xml:space="preserve">onal </w:t>
      </w:r>
      <w:r w:rsidR="00E964A6">
        <w:t>firm</w:t>
      </w:r>
      <w:r>
        <w:t xml:space="preserve"> </w:t>
      </w:r>
      <w:r w:rsidR="00D9259D">
        <w:t>exhibits</w:t>
      </w:r>
      <w:r>
        <w:t xml:space="preserve"> a greater sensitivity of reported affiliate profitability to tax incentives</w:t>
      </w:r>
      <w:r w:rsidR="002D1941">
        <w:t>,</w:t>
      </w:r>
      <w:r>
        <w:t xml:space="preserve"> average</w:t>
      </w:r>
      <w:r w:rsidR="002D1941">
        <w:t>d</w:t>
      </w:r>
      <w:r>
        <w:t xml:space="preserve"> across all</w:t>
      </w:r>
      <w:r w:rsidR="00EE0E8F">
        <w:t xml:space="preserve"> </w:t>
      </w:r>
      <w:r>
        <w:t>affiliate-years</w:t>
      </w:r>
      <w:r w:rsidR="00932CD6">
        <w:t xml:space="preserve"> for that multinational </w:t>
      </w:r>
      <w:r w:rsidR="00E964A6">
        <w:t>firm</w:t>
      </w:r>
      <w:r w:rsidR="00D9259D">
        <w:t>.</w:t>
      </w:r>
    </w:p>
    <w:p w14:paraId="53C39E5C" w14:textId="116C172F" w:rsidR="006C1334" w:rsidRPr="006501E0" w:rsidRDefault="006C1334" w:rsidP="00223A61">
      <w:pPr>
        <w:spacing w:line="480" w:lineRule="auto"/>
        <w:ind w:firstLine="720"/>
        <w:jc w:val="both"/>
      </w:pPr>
      <w:r>
        <w:t xml:space="preserve">Next, we </w:t>
      </w:r>
      <w:r w:rsidR="00EB1390">
        <w:t xml:space="preserve">match </w:t>
      </w:r>
      <w:proofErr w:type="spellStart"/>
      <w:r w:rsidR="00EB1390">
        <w:t>BvD</w:t>
      </w:r>
      <w:proofErr w:type="spellEnd"/>
      <w:r w:rsidR="00EB1390">
        <w:t xml:space="preserve"> multinational firms to parent firms in </w:t>
      </w:r>
      <w:proofErr w:type="spellStart"/>
      <w:r w:rsidR="00EB1390" w:rsidRPr="004D71ED">
        <w:rPr>
          <w:i/>
        </w:rPr>
        <w:t>Compustat</w:t>
      </w:r>
      <w:proofErr w:type="spellEnd"/>
      <w:r w:rsidR="00EB1390" w:rsidRPr="004D71ED">
        <w:rPr>
          <w:i/>
        </w:rPr>
        <w:t xml:space="preserve"> North America</w:t>
      </w:r>
      <w:r w:rsidR="00EB1390">
        <w:t xml:space="preserve"> and </w:t>
      </w:r>
      <w:r w:rsidR="00EB1390" w:rsidRPr="004D71ED">
        <w:rPr>
          <w:i/>
        </w:rPr>
        <w:t>Global</w:t>
      </w:r>
      <w:r w:rsidR="00EB1390">
        <w:t xml:space="preserve"> to </w:t>
      </w:r>
      <w:r>
        <w:t xml:space="preserve">include our firm-specific measure of income shifting aggressiveness in the </w:t>
      </w:r>
      <w:proofErr w:type="spellStart"/>
      <w:r w:rsidR="00674122">
        <w:t>Badertscher</w:t>
      </w:r>
      <w:proofErr w:type="spellEnd"/>
      <w:r w:rsidR="00674122">
        <w:t xml:space="preserve"> </w:t>
      </w:r>
      <w:r w:rsidR="00674122">
        <w:lastRenderedPageBreak/>
        <w:t xml:space="preserve">et al. </w:t>
      </w:r>
      <w:r>
        <w:t>(20</w:t>
      </w:r>
      <w:r w:rsidR="00674122">
        <w:t>13</w:t>
      </w:r>
      <w:r>
        <w:t>) investment framework</w:t>
      </w:r>
      <w:r w:rsidR="002D1941">
        <w:t xml:space="preserve"> that</w:t>
      </w:r>
      <w:r>
        <w:t xml:space="preserve"> models capital expenditures as a function of cash flows</w:t>
      </w:r>
      <w:r w:rsidR="00674122">
        <w:t xml:space="preserve"> and</w:t>
      </w:r>
      <w:r>
        <w:t xml:space="preserve"> </w:t>
      </w:r>
      <w:r w:rsidR="00674122">
        <w:t>investment</w:t>
      </w:r>
      <w:r>
        <w:t xml:space="preserve"> opportunities.</w:t>
      </w:r>
      <w:r w:rsidR="005F17A9">
        <w:t xml:space="preserve"> </w:t>
      </w:r>
      <w:r w:rsidR="00CB596E">
        <w:t>As</w:t>
      </w:r>
      <w:r w:rsidR="005F17A9">
        <w:t xml:space="preserve"> predict</w:t>
      </w:r>
      <w:r w:rsidR="00CB596E">
        <w:t xml:space="preserve">ed, we </w:t>
      </w:r>
      <w:r w:rsidR="005F17A9">
        <w:t xml:space="preserve">find </w:t>
      </w:r>
      <w:r w:rsidR="00CB596E">
        <w:t>a positive relation between tax-motivated i</w:t>
      </w:r>
      <w:r w:rsidR="009113CD">
        <w:t>ncome shifting and consolidated (</w:t>
      </w:r>
      <w:r w:rsidR="00CB596E">
        <w:t>firm</w:t>
      </w:r>
      <w:r w:rsidR="009113CD">
        <w:t>-level)</w:t>
      </w:r>
      <w:r w:rsidR="00CB596E">
        <w:t xml:space="preserve"> investment</w:t>
      </w:r>
      <w:r w:rsidR="00932CD6">
        <w:t xml:space="preserve">. </w:t>
      </w:r>
      <w:r w:rsidR="001D3AEF">
        <w:t xml:space="preserve">In terms of economic magnitude, </w:t>
      </w:r>
      <w:r w:rsidR="001D6272">
        <w:t>we estimate that a one standard deviation increase in income shifting aggressiveness for the average sample firm is associated with a</w:t>
      </w:r>
      <w:r w:rsidR="00F65A01">
        <w:t xml:space="preserve">n </w:t>
      </w:r>
      <w:r w:rsidR="001D6272">
        <w:t>increase in investment</w:t>
      </w:r>
      <w:r w:rsidR="00F65A01">
        <w:t xml:space="preserve"> of between 2.34% and 6.30%, depending on the specification</w:t>
      </w:r>
      <w:r w:rsidR="001D6272">
        <w:t>.</w:t>
      </w:r>
      <w:r w:rsidR="009E6FBD">
        <w:t xml:space="preserve"> </w:t>
      </w:r>
    </w:p>
    <w:p w14:paraId="250885A0" w14:textId="7531A7E5" w:rsidR="00FA01EE" w:rsidRDefault="00013008" w:rsidP="00FE28EC">
      <w:pPr>
        <w:spacing w:line="480" w:lineRule="auto"/>
        <w:ind w:firstLine="720"/>
        <w:jc w:val="both"/>
      </w:pPr>
      <w:r w:rsidRPr="0042218F">
        <w:t xml:space="preserve">We contribute to two streams of literature. First, we extend </w:t>
      </w:r>
      <w:proofErr w:type="spellStart"/>
      <w:r w:rsidRPr="0042218F">
        <w:t>McNichols</w:t>
      </w:r>
      <w:proofErr w:type="spellEnd"/>
      <w:r w:rsidRPr="0042218F">
        <w:t xml:space="preserve"> and </w:t>
      </w:r>
      <w:proofErr w:type="spellStart"/>
      <w:r w:rsidRPr="0042218F">
        <w:t>Stubben</w:t>
      </w:r>
      <w:proofErr w:type="spellEnd"/>
      <w:r w:rsidRPr="0042218F">
        <w:t xml:space="preserve"> (2008) to show that </w:t>
      </w:r>
      <w:r w:rsidR="002D1941">
        <w:t xml:space="preserve">internal earnings </w:t>
      </w:r>
      <w:r w:rsidR="008E34E8">
        <w:t>adjustments</w:t>
      </w:r>
      <w:r w:rsidR="002D1941">
        <w:t xml:space="preserve"> for tax goals</w:t>
      </w:r>
      <w:r w:rsidR="00FB323A">
        <w:t xml:space="preserve"> </w:t>
      </w:r>
      <w:r w:rsidRPr="0042218F">
        <w:t>can distort financial reports and affect</w:t>
      </w:r>
      <w:r w:rsidR="002D1941">
        <w:t xml:space="preserve"> overall</w:t>
      </w:r>
      <w:r w:rsidRPr="0042218F">
        <w:t xml:space="preserve"> investment levels. Any affiliated entities that trade in goods</w:t>
      </w:r>
      <w:r w:rsidR="00AF6FE5">
        <w:t>,</w:t>
      </w:r>
      <w:r w:rsidRPr="0042218F">
        <w:t xml:space="preserve"> services</w:t>
      </w:r>
      <w:r w:rsidR="00AF6FE5">
        <w:t>, or the right to exploit intellectual property</w:t>
      </w:r>
      <w:r w:rsidRPr="0042218F">
        <w:t xml:space="preserve"> must determine a transfer price for th</w:t>
      </w:r>
      <w:r w:rsidR="00AF6FE5">
        <w:t>e transaction</w:t>
      </w:r>
      <w:r w:rsidRPr="0042218F">
        <w:t xml:space="preserve">; </w:t>
      </w:r>
      <w:r w:rsidR="00AF6FE5">
        <w:t xml:space="preserve">responding to tax incentives by </w:t>
      </w:r>
      <w:r w:rsidRPr="0042218F">
        <w:t xml:space="preserve">selecting </w:t>
      </w:r>
      <w:r w:rsidR="00AF6FE5">
        <w:t>a defensible</w:t>
      </w:r>
      <w:r w:rsidR="00AF6FE5" w:rsidRPr="0042218F">
        <w:t xml:space="preserve"> </w:t>
      </w:r>
      <w:r w:rsidRPr="0042218F">
        <w:t xml:space="preserve">price that </w:t>
      </w:r>
      <w:r w:rsidR="001E607E">
        <w:t>optimizes</w:t>
      </w:r>
      <w:r w:rsidR="001E607E" w:rsidRPr="0042218F">
        <w:t xml:space="preserve"> </w:t>
      </w:r>
      <w:r w:rsidRPr="0042218F">
        <w:t xml:space="preserve">worldwide income tax </w:t>
      </w:r>
      <w:proofErr w:type="gramStart"/>
      <w:r w:rsidRPr="0042218F">
        <w:t>is expected</w:t>
      </w:r>
      <w:proofErr w:type="gramEnd"/>
      <w:r w:rsidRPr="0042218F">
        <w:t xml:space="preserve">. </w:t>
      </w:r>
      <w:r w:rsidR="00E93BF5">
        <w:t xml:space="preserve">Our results further suggest firms choosing to engage in particularly aggressive income shifting exhibit greater investment distortions. </w:t>
      </w:r>
      <w:r w:rsidRPr="0042218F">
        <w:t xml:space="preserve">This differs from the setting in </w:t>
      </w:r>
      <w:proofErr w:type="spellStart"/>
      <w:r w:rsidRPr="0042218F">
        <w:t>McNichols</w:t>
      </w:r>
      <w:proofErr w:type="spellEnd"/>
      <w:r w:rsidRPr="0042218F">
        <w:t xml:space="preserve"> and </w:t>
      </w:r>
      <w:proofErr w:type="spellStart"/>
      <w:r w:rsidRPr="0042218F">
        <w:t>Stubben</w:t>
      </w:r>
      <w:proofErr w:type="spellEnd"/>
      <w:r w:rsidRPr="0042218F">
        <w:t xml:space="preserve"> (2008) in which managers must make a </w:t>
      </w:r>
      <w:r w:rsidR="00AF6FE5">
        <w:t>binary</w:t>
      </w:r>
      <w:r w:rsidRPr="0042218F">
        <w:t xml:space="preserve"> decision to undertake earnings management. </w:t>
      </w:r>
    </w:p>
    <w:p w14:paraId="6DDC2E22" w14:textId="4A0AEF99" w:rsidR="00013008" w:rsidRDefault="00FA01EE" w:rsidP="00183A3D">
      <w:pPr>
        <w:spacing w:line="480" w:lineRule="auto"/>
        <w:ind w:firstLine="720"/>
        <w:jc w:val="both"/>
      </w:pPr>
      <w:r>
        <w:t xml:space="preserve">Second, we </w:t>
      </w:r>
      <w:r w:rsidR="00BC215D">
        <w:t xml:space="preserve">contribute to the international tax planning literature. First, we </w:t>
      </w:r>
      <w:r>
        <w:t xml:space="preserve">empirically test the </w:t>
      </w:r>
      <w:r w:rsidR="00326E8C">
        <w:t xml:space="preserve">relations outlined analytically in </w:t>
      </w:r>
      <w:r w:rsidR="00975592">
        <w:t>Samuelson (</w:t>
      </w:r>
      <w:proofErr w:type="gramStart"/>
      <w:r w:rsidR="00975592">
        <w:t xml:space="preserve">1982) </w:t>
      </w:r>
      <w:r w:rsidR="006F7FC1">
        <w:t xml:space="preserve">and </w:t>
      </w:r>
      <w:proofErr w:type="spellStart"/>
      <w:r w:rsidR="00326E8C">
        <w:t>Halperin</w:t>
      </w:r>
      <w:proofErr w:type="spellEnd"/>
      <w:proofErr w:type="gramEnd"/>
      <w:r w:rsidR="00326E8C">
        <w:t xml:space="preserve"> and </w:t>
      </w:r>
      <w:proofErr w:type="spellStart"/>
      <w:r w:rsidR="00326E8C">
        <w:t>Srinidhi</w:t>
      </w:r>
      <w:proofErr w:type="spellEnd"/>
      <w:r w:rsidR="00326E8C">
        <w:t xml:space="preserve"> (1987). </w:t>
      </w:r>
      <w:r w:rsidR="0048642F">
        <w:t>M</w:t>
      </w:r>
      <w:r w:rsidR="00326E8C">
        <w:t>odel</w:t>
      </w:r>
      <w:r w:rsidR="0048642F">
        <w:t>ing</w:t>
      </w:r>
      <w:r w:rsidR="00326E8C">
        <w:t xml:space="preserve"> resource allocation decisions of multinational firms both with and without taxation</w:t>
      </w:r>
      <w:r w:rsidR="0048642F">
        <w:t>, they</w:t>
      </w:r>
      <w:r w:rsidR="00326E8C">
        <w:t xml:space="preserve"> find that </w:t>
      </w:r>
      <w:r w:rsidR="00AF6FE5">
        <w:t xml:space="preserve">the </w:t>
      </w:r>
      <w:r w:rsidR="00975592">
        <w:t>transfer pricing methods</w:t>
      </w:r>
      <w:r w:rsidR="00AF6FE5">
        <w:t xml:space="preserve"> for tangible goods</w:t>
      </w:r>
      <w:r w:rsidR="00975592">
        <w:t xml:space="preserve"> outlined in </w:t>
      </w:r>
      <w:r w:rsidR="00AF6FE5">
        <w:t xml:space="preserve">IRC </w:t>
      </w:r>
      <w:r w:rsidR="00975592">
        <w:t>Section 482</w:t>
      </w:r>
      <w:r w:rsidR="008F60F2">
        <w:t xml:space="preserve"> and related </w:t>
      </w:r>
      <w:r w:rsidR="00AF6FE5">
        <w:t xml:space="preserve">Treasury </w:t>
      </w:r>
      <w:r w:rsidR="008F60F2">
        <w:t>regulations</w:t>
      </w:r>
      <w:r w:rsidR="00975592">
        <w:t xml:space="preserve"> lead to distortions in production decisions.</w:t>
      </w:r>
      <w:r w:rsidR="00932CD6">
        <w:rPr>
          <w:rStyle w:val="FootnoteReference"/>
        </w:rPr>
        <w:footnoteReference w:id="7"/>
      </w:r>
      <w:r w:rsidR="00975592">
        <w:t xml:space="preserve"> </w:t>
      </w:r>
      <w:r w:rsidR="00500212">
        <w:t xml:space="preserve">We test whether these distortions are </w:t>
      </w:r>
      <w:r w:rsidR="0048642F">
        <w:t>sufficient such that there is, on average, a relation betwee</w:t>
      </w:r>
      <w:r w:rsidR="00D9502C">
        <w:t>n cross-border tax-planning response</w:t>
      </w:r>
      <w:r w:rsidR="0048642F">
        <w:t>s and over investment by the multinational firm</w:t>
      </w:r>
      <w:r w:rsidR="00500212">
        <w:t>.</w:t>
      </w:r>
      <w:r w:rsidR="0048642F">
        <w:t xml:space="preserve"> We also contribute to this literature by developing a firm-level estimate of transfer-pricing aggressiveness. </w:t>
      </w:r>
      <w:r w:rsidR="00D9502C">
        <w:t xml:space="preserve">A firm-level measure allows for more </w:t>
      </w:r>
      <w:r w:rsidR="00D9502C">
        <w:lastRenderedPageBreak/>
        <w:t xml:space="preserve">powerful cross-sectional tests </w:t>
      </w:r>
      <w:r w:rsidR="00E20652">
        <w:t xml:space="preserve">than </w:t>
      </w:r>
      <w:r w:rsidR="00D9502C">
        <w:t xml:space="preserve">extant designs based on consolidated data (e.g., Klassen and </w:t>
      </w:r>
      <w:proofErr w:type="spellStart"/>
      <w:r w:rsidR="00D9502C">
        <w:t>Laplante</w:t>
      </w:r>
      <w:proofErr w:type="spellEnd"/>
      <w:r w:rsidR="00D9502C">
        <w:t xml:space="preserve">, 2012). </w:t>
      </w:r>
      <w:r w:rsidR="0048642F">
        <w:t xml:space="preserve">Using affiliate-level data to create such an estimate responds to the challenges identified with consolidation-level financial reports (see Donohoe, McGill and </w:t>
      </w:r>
      <w:proofErr w:type="spellStart"/>
      <w:r w:rsidR="0048642F">
        <w:t>Outslay</w:t>
      </w:r>
      <w:proofErr w:type="spellEnd"/>
      <w:r w:rsidR="0048642F">
        <w:t xml:space="preserve">, 2012). </w:t>
      </w:r>
    </w:p>
    <w:p w14:paraId="71D0FD64" w14:textId="77777777" w:rsidR="005649A5" w:rsidRPr="0042218F" w:rsidRDefault="005649A5" w:rsidP="00183A3D">
      <w:pPr>
        <w:spacing w:line="480" w:lineRule="auto"/>
        <w:ind w:firstLine="720"/>
        <w:jc w:val="both"/>
      </w:pPr>
    </w:p>
    <w:p w14:paraId="1E4F7D97" w14:textId="182F8FE5" w:rsidR="00E149A9" w:rsidRDefault="00BA758C" w:rsidP="0064093D">
      <w:pPr>
        <w:pStyle w:val="ListParagraph"/>
        <w:keepNext/>
        <w:numPr>
          <w:ilvl w:val="0"/>
          <w:numId w:val="8"/>
        </w:numPr>
        <w:spacing w:line="480" w:lineRule="auto"/>
        <w:contextualSpacing w:val="0"/>
        <w:jc w:val="center"/>
        <w:rPr>
          <w:b/>
        </w:rPr>
      </w:pPr>
      <w:r>
        <w:rPr>
          <w:b/>
        </w:rPr>
        <w:t>Background</w:t>
      </w:r>
      <w:r w:rsidR="00E149A9">
        <w:rPr>
          <w:b/>
        </w:rPr>
        <w:t xml:space="preserve"> and Hypothesis Development</w:t>
      </w:r>
    </w:p>
    <w:p w14:paraId="6A91CB6A" w14:textId="41C880C4" w:rsidR="00E149A9" w:rsidRDefault="00BA758C" w:rsidP="008E2FB5">
      <w:pPr>
        <w:pStyle w:val="ListParagraph"/>
        <w:keepNext/>
        <w:spacing w:line="480" w:lineRule="auto"/>
        <w:ind w:left="0"/>
        <w:contextualSpacing w:val="0"/>
        <w:jc w:val="both"/>
        <w:outlineLvl w:val="0"/>
        <w:rPr>
          <w:b/>
        </w:rPr>
      </w:pPr>
      <w:r>
        <w:rPr>
          <w:b/>
        </w:rPr>
        <w:t>Multinational Corporation Tax Planning</w:t>
      </w:r>
    </w:p>
    <w:p w14:paraId="35C4C4A4" w14:textId="469EC063" w:rsidR="00BA758C" w:rsidRDefault="0007724F" w:rsidP="00183A3D">
      <w:pPr>
        <w:spacing w:line="480" w:lineRule="auto"/>
        <w:ind w:firstLine="720"/>
        <w:jc w:val="both"/>
      </w:pPr>
      <w:r>
        <w:t xml:space="preserve">In a decentralized, complex organization, the intra-firm transfer prices are important both for management control and local incentives, and for the computation of taxable income. </w:t>
      </w:r>
      <w:r w:rsidR="00BA758C" w:rsidRPr="00BA758C">
        <w:t>There is</w:t>
      </w:r>
      <w:r w:rsidR="00BA758C">
        <w:t xml:space="preserve"> a substantial literature that has explored the tax planning activities by multinational corporations (see Hanlon and </w:t>
      </w:r>
      <w:proofErr w:type="spellStart"/>
      <w:r w:rsidR="00BA758C">
        <w:t>Heitzman</w:t>
      </w:r>
      <w:proofErr w:type="spellEnd"/>
      <w:r w:rsidR="00BA758C">
        <w:t xml:space="preserve"> 2010 for a comprehensive review, updated by De Simone, Klassen, and Seidman 2017). In summary, because multinational corporations operate in multiple countries and these countries tax corporate income at different rates, locating income in lower tax-rate countries reduces the global taxes of the firm. </w:t>
      </w:r>
    </w:p>
    <w:p w14:paraId="73AFFEA2" w14:textId="297B625E" w:rsidR="00BA758C" w:rsidRDefault="00BA758C" w:rsidP="00183A3D">
      <w:pPr>
        <w:spacing w:line="480" w:lineRule="auto"/>
        <w:ind w:firstLine="720"/>
        <w:jc w:val="both"/>
      </w:pPr>
      <w:r>
        <w:t xml:space="preserve">The goal of reducing taxes </w:t>
      </w:r>
      <w:proofErr w:type="gramStart"/>
      <w:r>
        <w:t>can be accomplished</w:t>
      </w:r>
      <w:proofErr w:type="gramEnd"/>
      <w:r>
        <w:t xml:space="preserve"> by moving high value-adding assets to lower tax rate countries, and by pricing intra-firm sales of goods, services, and rights at prices that report more income in lower tax rate jurisdictions. Much of the literature has focused on the latter and, for example, has explored</w:t>
      </w:r>
      <w:r w:rsidR="009D0E30">
        <w:t xml:space="preserve"> the effect of tax rate changes (Klassen, Lang and Wolfson 1993), tax havens (</w:t>
      </w:r>
      <w:proofErr w:type="spellStart"/>
      <w:r w:rsidR="009D0E30">
        <w:t>Dyreng</w:t>
      </w:r>
      <w:proofErr w:type="spellEnd"/>
      <w:r w:rsidR="009D0E30">
        <w:t xml:space="preserve"> and Lindsey 2009), </w:t>
      </w:r>
      <w:r w:rsidR="00183A3D">
        <w:t xml:space="preserve">changes to </w:t>
      </w:r>
      <w:r w:rsidR="009D0E30">
        <w:t xml:space="preserve">accounting rules (De Simone 2016), </w:t>
      </w:r>
      <w:r w:rsidR="00183A3D">
        <w:t xml:space="preserve">and </w:t>
      </w:r>
      <w:r w:rsidR="009D0E30">
        <w:t>customs duties (</w:t>
      </w:r>
      <w:proofErr w:type="spellStart"/>
      <w:r w:rsidR="009D0E30">
        <w:t>Blouin</w:t>
      </w:r>
      <w:proofErr w:type="spellEnd"/>
      <w:r w:rsidR="009D0E30">
        <w:t>, Robinson and Seidman 2017).</w:t>
      </w:r>
    </w:p>
    <w:p w14:paraId="6D746975" w14:textId="0CEA9C51" w:rsidR="00BA758C" w:rsidRDefault="00C0682F" w:rsidP="008E2FB5">
      <w:pPr>
        <w:pStyle w:val="ListParagraph"/>
        <w:keepNext/>
        <w:spacing w:line="480" w:lineRule="auto"/>
        <w:ind w:left="0"/>
        <w:contextualSpacing w:val="0"/>
        <w:jc w:val="both"/>
        <w:outlineLvl w:val="0"/>
        <w:rPr>
          <w:b/>
        </w:rPr>
      </w:pPr>
      <w:r>
        <w:rPr>
          <w:b/>
        </w:rPr>
        <w:t>Transfer</w:t>
      </w:r>
      <w:r w:rsidR="00BA758C">
        <w:rPr>
          <w:b/>
        </w:rPr>
        <w:t xml:space="preserve"> Prices</w:t>
      </w:r>
      <w:r w:rsidR="00FE28EC">
        <w:rPr>
          <w:b/>
        </w:rPr>
        <w:t xml:space="preserve"> – Economic Theory</w:t>
      </w:r>
    </w:p>
    <w:p w14:paraId="2BFF8CDA" w14:textId="13DEE452" w:rsidR="008959DA" w:rsidRDefault="00C0682F" w:rsidP="00FE28EC">
      <w:pPr>
        <w:spacing w:line="480" w:lineRule="auto"/>
        <w:ind w:firstLine="720"/>
        <w:jc w:val="both"/>
      </w:pPr>
      <w:r>
        <w:t xml:space="preserve">Seminal work by </w:t>
      </w:r>
      <w:proofErr w:type="spellStart"/>
      <w:r>
        <w:t>Hirshleifer</w:t>
      </w:r>
      <w:proofErr w:type="spellEnd"/>
      <w:r>
        <w:t xml:space="preserve"> (1956, 1957) demonstrate</w:t>
      </w:r>
      <w:r w:rsidR="00E80E44">
        <w:t>s</w:t>
      </w:r>
      <w:r>
        <w:t xml:space="preserve"> </w:t>
      </w:r>
      <w:r w:rsidR="00E80E44">
        <w:t>that an</w:t>
      </w:r>
      <w:r>
        <w:t xml:space="preserve"> appropriate transfer price </w:t>
      </w:r>
      <w:r w:rsidR="00E80E44">
        <w:t>can</w:t>
      </w:r>
      <w:r>
        <w:t xml:space="preserve"> achieve efficient outcomes even when production decisions </w:t>
      </w:r>
      <w:r w:rsidR="00435160">
        <w:t xml:space="preserve">are </w:t>
      </w:r>
      <w:r>
        <w:t>decentralized.</w:t>
      </w:r>
      <w:r w:rsidR="00B47DC6">
        <w:t xml:space="preserve"> Management accounting has embraced the use of transfer prices as a means of allowing operating unit managers </w:t>
      </w:r>
      <w:r w:rsidR="00B47DC6">
        <w:lastRenderedPageBreak/>
        <w:t>to make acquisition and production decisions in an efficient manner. The resulting profitability of the units is then available for resource allocation decisions by these managers.</w:t>
      </w:r>
      <w:r w:rsidR="00E80E44">
        <w:t xml:space="preserve"> </w:t>
      </w:r>
    </w:p>
    <w:p w14:paraId="4C220459" w14:textId="57E52145" w:rsidR="00BA758C" w:rsidRDefault="00E80E44" w:rsidP="00FE28EC">
      <w:pPr>
        <w:spacing w:line="480" w:lineRule="auto"/>
        <w:ind w:firstLine="720"/>
        <w:jc w:val="both"/>
      </w:pPr>
      <w:r>
        <w:t>However, when the units within the firm are in different countries, the internal prices charged between the units also have significant tax implications.</w:t>
      </w:r>
      <w:r w:rsidR="008959DA">
        <w:t xml:space="preserve"> </w:t>
      </w:r>
      <w:proofErr w:type="spellStart"/>
      <w:r>
        <w:t>Halperin</w:t>
      </w:r>
      <w:proofErr w:type="spellEnd"/>
      <w:r>
        <w:t xml:space="preserve"> and </w:t>
      </w:r>
      <w:proofErr w:type="spellStart"/>
      <w:r>
        <w:t>Srinidhi</w:t>
      </w:r>
      <w:proofErr w:type="spellEnd"/>
      <w:r>
        <w:t xml:space="preserve"> (1987, 1991) build on limited prior research by c</w:t>
      </w:r>
      <w:r w:rsidR="00D578FE">
        <w:t xml:space="preserve">arefully incorporating transfer </w:t>
      </w:r>
      <w:r>
        <w:t>pric</w:t>
      </w:r>
      <w:r w:rsidR="00D578FE">
        <w:t>es</w:t>
      </w:r>
      <w:r>
        <w:t xml:space="preserve"> that are constrained by tax regulation in the U.S. Their model </w:t>
      </w:r>
      <w:r w:rsidR="00D578FE">
        <w:t xml:space="preserve">demonstrates that </w:t>
      </w:r>
      <w:r w:rsidR="001F1DEB">
        <w:t xml:space="preserve">relative to the efficient no-tax scenario, production </w:t>
      </w:r>
      <w:r w:rsidR="00D578FE">
        <w:t>quantities</w:t>
      </w:r>
      <w:r w:rsidR="001F1DEB">
        <w:t xml:space="preserve"> </w:t>
      </w:r>
      <w:proofErr w:type="gramStart"/>
      <w:r w:rsidR="00D578FE">
        <w:t>are distorted</w:t>
      </w:r>
      <w:proofErr w:type="gramEnd"/>
      <w:r w:rsidR="00D578FE">
        <w:t xml:space="preserve"> and transfer prices increase in the face of realistic tax-based transfer price constraints.</w:t>
      </w:r>
      <w:r w:rsidR="001F1DEB">
        <w:t xml:space="preserve"> Even </w:t>
      </w:r>
      <w:r w:rsidR="00A827D2">
        <w:t>with</w:t>
      </w:r>
      <w:r w:rsidR="001F1DEB">
        <w:t xml:space="preserve"> </w:t>
      </w:r>
      <w:r w:rsidR="00A827D2">
        <w:t>the assumption</w:t>
      </w:r>
      <w:r w:rsidR="001F1DEB">
        <w:t xml:space="preserve"> that transfer prices </w:t>
      </w:r>
      <w:r w:rsidR="00996D13">
        <w:t>do not respond to tax</w:t>
      </w:r>
      <w:r w:rsidR="001F1DEB">
        <w:t xml:space="preserve"> </w:t>
      </w:r>
      <w:r w:rsidR="001B0536">
        <w:t>incentive</w:t>
      </w:r>
      <w:r w:rsidR="00996D13">
        <w:t xml:space="preserve">s (e.g., tax rates are </w:t>
      </w:r>
      <w:r w:rsidR="008959DA">
        <w:t>the same in all</w:t>
      </w:r>
      <w:r w:rsidR="00996D13">
        <w:t xml:space="preserve"> jurisdictions)</w:t>
      </w:r>
      <w:r w:rsidR="001B0536">
        <w:t xml:space="preserve">, production levels </w:t>
      </w:r>
      <w:r w:rsidR="00A827D2">
        <w:t xml:space="preserve">in their model </w:t>
      </w:r>
      <w:proofErr w:type="gramStart"/>
      <w:r w:rsidR="001B0536">
        <w:t xml:space="preserve">are still </w:t>
      </w:r>
      <w:r w:rsidR="00A827D2">
        <w:t>distorted</w:t>
      </w:r>
      <w:proofErr w:type="gramEnd"/>
      <w:r w:rsidR="001B0536">
        <w:t xml:space="preserve"> by the tax </w:t>
      </w:r>
      <w:r w:rsidR="00996D13">
        <w:t>sy</w:t>
      </w:r>
      <w:r w:rsidR="008959DA">
        <w:t>s</w:t>
      </w:r>
      <w:r w:rsidR="00996D13">
        <w:t>tem</w:t>
      </w:r>
      <w:r w:rsidR="001B0536">
        <w:t xml:space="preserve"> </w:t>
      </w:r>
      <w:r w:rsidR="008959DA">
        <w:t>as the tax-permitted transfer prices lead to</w:t>
      </w:r>
      <w:r w:rsidR="001B0536">
        <w:t xml:space="preserve"> </w:t>
      </w:r>
      <w:r w:rsidR="008959DA">
        <w:t xml:space="preserve">unavoidable </w:t>
      </w:r>
      <w:r w:rsidR="00996D13">
        <w:t xml:space="preserve">changes to </w:t>
      </w:r>
      <w:r w:rsidR="001B0536">
        <w:t>the internal production and sales coordination processes</w:t>
      </w:r>
      <w:r w:rsidR="001F1DEB">
        <w:t xml:space="preserve">. </w:t>
      </w:r>
    </w:p>
    <w:p w14:paraId="5C1F3C70" w14:textId="7B476E9D" w:rsidR="001B0536" w:rsidRDefault="001B0536" w:rsidP="00FE28EC">
      <w:pPr>
        <w:spacing w:line="480" w:lineRule="auto"/>
        <w:ind w:firstLine="720"/>
        <w:jc w:val="both"/>
      </w:pPr>
      <w:r>
        <w:t>We note, as have</w:t>
      </w:r>
      <w:r w:rsidR="00F65A01">
        <w:t xml:space="preserve"> others</w:t>
      </w:r>
      <w:r>
        <w:t xml:space="preserve">, that transfer-pricing systems are used </w:t>
      </w:r>
      <w:r w:rsidR="00544DC5">
        <w:t xml:space="preserve">both </w:t>
      </w:r>
      <w:r>
        <w:t>for performance mea</w:t>
      </w:r>
      <w:r w:rsidR="00544DC5">
        <w:t xml:space="preserve">surement of </w:t>
      </w:r>
      <w:r w:rsidR="0035405D">
        <w:t>affiliate-level</w:t>
      </w:r>
      <w:r w:rsidR="00544DC5">
        <w:t xml:space="preserve"> managers</w:t>
      </w:r>
      <w:r>
        <w:t xml:space="preserve"> and for the computation of taxable income for country-specific tax payments. To permit an efficient outcome in both of these separate uses, some firms adopt a so-called “two-book” system. </w:t>
      </w:r>
      <w:r w:rsidR="001B27E5">
        <w:t>However, decoupling the t</w:t>
      </w:r>
      <w:r w:rsidR="00544DC5">
        <w:t xml:space="preserve">wo prices is not without cost. </w:t>
      </w:r>
      <w:r w:rsidR="00B96C67">
        <w:t>Along with</w:t>
      </w:r>
      <w:r w:rsidR="00544DC5">
        <w:t xml:space="preserve"> the </w:t>
      </w:r>
      <w:r w:rsidR="00B96C67">
        <w:t xml:space="preserve">cost of </w:t>
      </w:r>
      <w:r w:rsidR="00544DC5">
        <w:t>additional bookkeeping, a</w:t>
      </w:r>
      <w:r w:rsidR="001B27E5">
        <w:t xml:space="preserve"> </w:t>
      </w:r>
      <w:r w:rsidR="00544DC5">
        <w:t xml:space="preserve">significant cost of decoupling </w:t>
      </w:r>
      <w:r w:rsidR="001B27E5">
        <w:t xml:space="preserve">is the possibility that the non-tax books will be included in any litigation over the firm’s tax-motivated transfer prices. Klassen, </w:t>
      </w:r>
      <w:proofErr w:type="spellStart"/>
      <w:r w:rsidR="001B27E5">
        <w:t>Lisowsky</w:t>
      </w:r>
      <w:proofErr w:type="spellEnd"/>
      <w:r w:rsidR="001B27E5">
        <w:t xml:space="preserve">, and </w:t>
      </w:r>
      <w:proofErr w:type="spellStart"/>
      <w:r w:rsidR="001B27E5">
        <w:t>Mescall</w:t>
      </w:r>
      <w:proofErr w:type="spellEnd"/>
      <w:r w:rsidR="001B27E5">
        <w:t xml:space="preserve"> (2017) document for a sample of 43 tax executives, only </w:t>
      </w:r>
      <w:r w:rsidR="0007724F">
        <w:t>seven</w:t>
      </w:r>
      <w:r w:rsidR="001B27E5">
        <w:t xml:space="preserve"> (16</w:t>
      </w:r>
      <w:r w:rsidR="00A34221">
        <w:t xml:space="preserve"> percent</w:t>
      </w:r>
      <w:r w:rsidR="001B27E5">
        <w:t xml:space="preserve">) indicate “yes” when asked if they compute different prices for tax and assessing performance. </w:t>
      </w:r>
      <w:r w:rsidR="008959DA">
        <w:t xml:space="preserve">Similar evidence </w:t>
      </w:r>
      <w:proofErr w:type="gramStart"/>
      <w:r w:rsidR="008959DA">
        <w:t>is provided</w:t>
      </w:r>
      <w:proofErr w:type="gramEnd"/>
      <w:r w:rsidR="008959DA">
        <w:t xml:space="preserve"> in, for example, Ernst &amp; Young (2003).</w:t>
      </w:r>
    </w:p>
    <w:p w14:paraId="4CD1CA51" w14:textId="661E4E65" w:rsidR="001B0536" w:rsidRDefault="001B0536" w:rsidP="0032237E">
      <w:pPr>
        <w:spacing w:line="480" w:lineRule="auto"/>
        <w:ind w:firstLine="720"/>
        <w:jc w:val="both"/>
      </w:pPr>
      <w:proofErr w:type="spellStart"/>
      <w:r>
        <w:t>Hiemann</w:t>
      </w:r>
      <w:proofErr w:type="spellEnd"/>
      <w:r>
        <w:t xml:space="preserve"> and </w:t>
      </w:r>
      <w:proofErr w:type="spellStart"/>
      <w:r>
        <w:t>Reichelstein</w:t>
      </w:r>
      <w:proofErr w:type="spellEnd"/>
      <w:r>
        <w:t xml:space="preserve"> (2012) </w:t>
      </w:r>
      <w:r w:rsidR="00D41814">
        <w:t>discuss</w:t>
      </w:r>
      <w:r>
        <w:t xml:space="preserve"> both </w:t>
      </w:r>
      <w:r w:rsidR="0069414D">
        <w:t xml:space="preserve">the tax compliance and </w:t>
      </w:r>
      <w:r>
        <w:t xml:space="preserve">the management </w:t>
      </w:r>
      <w:r w:rsidR="00D41814">
        <w:t>allocation</w:t>
      </w:r>
      <w:r>
        <w:t xml:space="preserve"> and coordination</w:t>
      </w:r>
      <w:r w:rsidR="001B27E5">
        <w:t xml:space="preserve"> role</w:t>
      </w:r>
      <w:r w:rsidR="00AD4D4E">
        <w:t>s of transfer pricing as they survey recent theoretical research</w:t>
      </w:r>
      <w:r w:rsidR="001B27E5">
        <w:t xml:space="preserve">. </w:t>
      </w:r>
      <w:r w:rsidR="0032237E">
        <w:t xml:space="preserve">The objective function </w:t>
      </w:r>
      <w:r w:rsidR="00AD4D4E">
        <w:t>analyzed</w:t>
      </w:r>
      <w:r w:rsidR="0032237E">
        <w:t xml:space="preserve"> seeks to have the decentralized affiliate managers operate in a manner </w:t>
      </w:r>
      <w:r w:rsidR="0032237E">
        <w:lastRenderedPageBreak/>
        <w:t xml:space="preserve">consistent with the central </w:t>
      </w:r>
      <w:r w:rsidR="00AD4D4E">
        <w:t>managers’ value maximizing goal</w:t>
      </w:r>
      <w:r w:rsidR="0032237E">
        <w:t xml:space="preserve"> (i.e., goal congruence), </w:t>
      </w:r>
      <w:r w:rsidR="00E93BF5">
        <w:t xml:space="preserve">rather than </w:t>
      </w:r>
      <w:r w:rsidR="0032237E">
        <w:t xml:space="preserve">to achieve the production outcome in a world without taxes. </w:t>
      </w:r>
      <w:r w:rsidR="001B27E5">
        <w:t>T</w:t>
      </w:r>
      <w:r w:rsidR="00AD4D4E">
        <w:t>hey first</w:t>
      </w:r>
      <w:r w:rsidR="00024170">
        <w:t xml:space="preserve"> </w:t>
      </w:r>
      <w:r w:rsidR="001B27E5">
        <w:t>consider</w:t>
      </w:r>
      <w:r w:rsidR="00AD4D4E">
        <w:t xml:space="preserve"> situations in which</w:t>
      </w:r>
      <w:r w:rsidR="001B27E5">
        <w:t xml:space="preserve"> an arms-length price </w:t>
      </w:r>
      <w:proofErr w:type="gramStart"/>
      <w:r w:rsidR="00B96C67">
        <w:t xml:space="preserve">is </w:t>
      </w:r>
      <w:r w:rsidR="001B27E5">
        <w:t>given</w:t>
      </w:r>
      <w:proofErr w:type="gramEnd"/>
      <w:r w:rsidR="00C60D42">
        <w:t xml:space="preserve"> (for tax purposes)</w:t>
      </w:r>
      <w:r w:rsidR="001B27E5">
        <w:t xml:space="preserve"> and determine </w:t>
      </w:r>
      <w:r w:rsidR="0032237E">
        <w:t>what</w:t>
      </w:r>
      <w:r w:rsidR="001B27E5">
        <w:t xml:space="preserve"> </w:t>
      </w:r>
      <w:r w:rsidR="00024170">
        <w:t xml:space="preserve">internal-only </w:t>
      </w:r>
      <w:r w:rsidR="001B27E5">
        <w:t xml:space="preserve">transfer price </w:t>
      </w:r>
      <w:r w:rsidR="0032237E">
        <w:t>creates goal congruence</w:t>
      </w:r>
      <w:r w:rsidR="001B27E5">
        <w:t>.</w:t>
      </w:r>
      <w:r w:rsidR="00890237">
        <w:t xml:space="preserve"> They show that in </w:t>
      </w:r>
      <w:r w:rsidR="00024170">
        <w:t xml:space="preserve">such </w:t>
      </w:r>
      <w:r w:rsidR="00890237">
        <w:t xml:space="preserve">a two-book system, the internal transfer price will depend </w:t>
      </w:r>
      <w:r w:rsidR="00AD4D4E">
        <w:t xml:space="preserve">both </w:t>
      </w:r>
      <w:r w:rsidR="00890237">
        <w:t>on the tax rate in the low tax jurisdiction and</w:t>
      </w:r>
      <w:r w:rsidR="00AD4D4E">
        <w:t xml:space="preserve"> on</w:t>
      </w:r>
      <w:r w:rsidR="00890237">
        <w:t xml:space="preserve"> the permitted tax transfer price. Thus, even in th</w:t>
      </w:r>
      <w:r w:rsidR="00C82EB5">
        <w:t>e</w:t>
      </w:r>
      <w:r w:rsidR="00890237">
        <w:t xml:space="preserve"> situation</w:t>
      </w:r>
      <w:r w:rsidR="00C82EB5">
        <w:t xml:space="preserve"> where there is a separate transfer price for tax minimizing purposes</w:t>
      </w:r>
      <w:r w:rsidR="00890237">
        <w:t xml:space="preserve">, the </w:t>
      </w:r>
      <w:r w:rsidR="00C82EB5">
        <w:t xml:space="preserve">internal </w:t>
      </w:r>
      <w:r w:rsidR="00890237">
        <w:t xml:space="preserve">transfer price differs from the classic </w:t>
      </w:r>
      <w:proofErr w:type="spellStart"/>
      <w:r w:rsidR="00890237">
        <w:t>Hirshleifer</w:t>
      </w:r>
      <w:proofErr w:type="spellEnd"/>
      <w:r w:rsidR="00890237">
        <w:t xml:space="preserve"> (1956) </w:t>
      </w:r>
      <w:r w:rsidR="00AD4D4E">
        <w:t xml:space="preserve">result </w:t>
      </w:r>
      <w:r w:rsidR="00890237">
        <w:t xml:space="preserve">because centralized decisions would also consider the tax benefits of reporting profit in the low tax rate jurisdiction when </w:t>
      </w:r>
      <w:r w:rsidR="00024170">
        <w:t>determining</w:t>
      </w:r>
      <w:r w:rsidR="00890237">
        <w:t xml:space="preserve"> overall production levels.</w:t>
      </w:r>
      <w:r w:rsidR="001B27E5">
        <w:t xml:space="preserve"> </w:t>
      </w:r>
      <w:r w:rsidR="00024170">
        <w:t>With a fixed (given) tax</w:t>
      </w:r>
      <w:r w:rsidR="0032237E">
        <w:t xml:space="preserve"> transfer</w:t>
      </w:r>
      <w:r w:rsidR="00024170">
        <w:t xml:space="preserve"> price, such as under an advanced pricing agreement, the decentralized firm is able to achieve the same outcome as achieved with centralized decisions.</w:t>
      </w:r>
    </w:p>
    <w:p w14:paraId="1A6FD74F" w14:textId="67086C53" w:rsidR="0032237E" w:rsidRDefault="0032237E" w:rsidP="00A93ED7">
      <w:pPr>
        <w:spacing w:line="480" w:lineRule="auto"/>
        <w:ind w:firstLine="720"/>
        <w:jc w:val="both"/>
      </w:pPr>
      <w:r>
        <w:t xml:space="preserve">In </w:t>
      </w:r>
      <w:r w:rsidR="001E607E">
        <w:t>the other extreme</w:t>
      </w:r>
      <w:r w:rsidR="00A93ED7">
        <w:t xml:space="preserve"> – </w:t>
      </w:r>
      <w:r>
        <w:t>settings where the internal transf</w:t>
      </w:r>
      <w:r w:rsidR="00AD4D4E">
        <w:t>er is of intangible assets or the units each contribute to a common intellectual property</w:t>
      </w:r>
      <w:r w:rsidR="00A93ED7">
        <w:t xml:space="preserve"> –</w:t>
      </w:r>
      <w:r w:rsidR="00AD4D4E">
        <w:t xml:space="preserve"> </w:t>
      </w:r>
      <w:proofErr w:type="spellStart"/>
      <w:r w:rsidR="00AD4D4E">
        <w:t>Hiemann</w:t>
      </w:r>
      <w:proofErr w:type="spellEnd"/>
      <w:r w:rsidR="00AD4D4E">
        <w:t xml:space="preserve"> and </w:t>
      </w:r>
      <w:proofErr w:type="spellStart"/>
      <w:r w:rsidR="00AD4D4E">
        <w:t>Reichelstein</w:t>
      </w:r>
      <w:proofErr w:type="spellEnd"/>
      <w:r w:rsidR="00AD4D4E">
        <w:t xml:space="preserve"> (2012) note that the firm cannot achieve goal congruence because the investment objectives and the tax objectives cannot be effectively balanced through a transfer pricing scheme. Depending on the substitutability or complementarity of the investments made by the two </w:t>
      </w:r>
      <w:r w:rsidR="0035191D">
        <w:t>units</w:t>
      </w:r>
      <w:r w:rsidR="00AD4D4E">
        <w:t>, or on other features of the investment environment, equilibrium unit behavior may lead to either underinvestment or overinvestment, relative to the central planner’s equilibrium.</w:t>
      </w:r>
    </w:p>
    <w:p w14:paraId="1959B47E" w14:textId="77777777" w:rsidR="00FE28EC" w:rsidRDefault="00FE28EC" w:rsidP="00A827D2">
      <w:pPr>
        <w:pStyle w:val="ListParagraph"/>
        <w:keepNext/>
        <w:spacing w:line="480" w:lineRule="auto"/>
        <w:ind w:left="0"/>
        <w:contextualSpacing w:val="0"/>
        <w:jc w:val="both"/>
        <w:outlineLvl w:val="0"/>
        <w:rPr>
          <w:b/>
        </w:rPr>
      </w:pPr>
      <w:r>
        <w:rPr>
          <w:b/>
        </w:rPr>
        <w:t>Transfer Prices – Empirical Evidence</w:t>
      </w:r>
    </w:p>
    <w:p w14:paraId="216DF521" w14:textId="69BD071E" w:rsidR="00FE28EC" w:rsidRDefault="00FE28EC" w:rsidP="006374F3">
      <w:pPr>
        <w:spacing w:line="480" w:lineRule="auto"/>
        <w:ind w:firstLine="720"/>
        <w:jc w:val="both"/>
      </w:pPr>
      <w:r>
        <w:t xml:space="preserve">To the best of our knowledge, the optimal transfer prices computed in these models have not been subject to archival validation. However, EY conducts a regular survey of international transfer pricing practice. In 2012, </w:t>
      </w:r>
      <w:r w:rsidR="0007724F">
        <w:t xml:space="preserve">in response </w:t>
      </w:r>
      <w:r>
        <w:t xml:space="preserve">to the question of </w:t>
      </w:r>
      <w:r w:rsidR="0007724F">
        <w:t>which is the</w:t>
      </w:r>
      <w:r>
        <w:t xml:space="preserve"> highest priority in transfer pricing strategy, 66</w:t>
      </w:r>
      <w:r w:rsidR="00A34221">
        <w:t xml:space="preserve"> percent</w:t>
      </w:r>
      <w:r>
        <w:t xml:space="preserve"> of respondents </w:t>
      </w:r>
      <w:proofErr w:type="gramStart"/>
      <w:r>
        <w:t>indicated</w:t>
      </w:r>
      <w:proofErr w:type="gramEnd"/>
      <w:r>
        <w:t xml:space="preserve"> “tax risk management”, and 17</w:t>
      </w:r>
      <w:r w:rsidR="00A34221">
        <w:t xml:space="preserve"> </w:t>
      </w:r>
      <w:r w:rsidR="00A34221">
        <w:lastRenderedPageBreak/>
        <w:t>percent</w:t>
      </w:r>
      <w:r>
        <w:t xml:space="preserve"> indicated “ETR optimization” or “cash tax optimization</w:t>
      </w:r>
      <w:r w:rsidR="004E0E44">
        <w:t>.</w:t>
      </w:r>
      <w:r>
        <w:t>” Only 15</w:t>
      </w:r>
      <w:r w:rsidR="00A34221">
        <w:t xml:space="preserve"> percent</w:t>
      </w:r>
      <w:r>
        <w:t xml:space="preserve"> responded “alignment with management/operational objectives” or “performance measurement” (EY, 2013). Responses reported from 2007 were </w:t>
      </w:r>
      <w:r w:rsidR="00B969D0">
        <w:t xml:space="preserve">similar: </w:t>
      </w:r>
      <w:r>
        <w:t>50, 22, and 25</w:t>
      </w:r>
      <w:r w:rsidR="00A34221">
        <w:t xml:space="preserve"> percent</w:t>
      </w:r>
      <w:r>
        <w:t>, respectively. One might interpret this evidence to suggest that management consider</w:t>
      </w:r>
      <w:r w:rsidR="004D6A21">
        <w:t>s</w:t>
      </w:r>
      <w:r>
        <w:t xml:space="preserve"> the tax aspects of transfer prices (whether to increase the success of tax </w:t>
      </w:r>
      <w:proofErr w:type="gramStart"/>
      <w:r>
        <w:t>disputes,</w:t>
      </w:r>
      <w:proofErr w:type="gramEnd"/>
      <w:r>
        <w:t xml:space="preserve"> or to reduce the global tax cost) even more strongly tha</w:t>
      </w:r>
      <w:r w:rsidR="0007724F">
        <w:t>n</w:t>
      </w:r>
      <w:r>
        <w:t xml:space="preserve"> suggested by theory—leading to a larger distortion in production. </w:t>
      </w:r>
    </w:p>
    <w:p w14:paraId="60CCF67F" w14:textId="10786BCF" w:rsidR="00FE28EC" w:rsidRDefault="00FE28EC" w:rsidP="008E2FB5">
      <w:pPr>
        <w:pStyle w:val="ListParagraph"/>
        <w:keepNext/>
        <w:spacing w:line="480" w:lineRule="auto"/>
        <w:ind w:left="0"/>
        <w:contextualSpacing w:val="0"/>
        <w:jc w:val="both"/>
        <w:outlineLvl w:val="0"/>
        <w:rPr>
          <w:b/>
        </w:rPr>
      </w:pPr>
      <w:r>
        <w:rPr>
          <w:b/>
        </w:rPr>
        <w:t>Transfer Prices – Attribution Theory</w:t>
      </w:r>
    </w:p>
    <w:p w14:paraId="506E6085" w14:textId="467CC1BB" w:rsidR="00D41814" w:rsidRDefault="0007724F" w:rsidP="006374F3">
      <w:pPr>
        <w:spacing w:line="480" w:lineRule="auto"/>
        <w:ind w:firstLine="720"/>
        <w:jc w:val="both"/>
      </w:pPr>
      <w:r>
        <w:t>Theoretical models (</w:t>
      </w:r>
      <w:proofErr w:type="spellStart"/>
      <w:r>
        <w:t>Halperin</w:t>
      </w:r>
      <w:proofErr w:type="spellEnd"/>
      <w:r>
        <w:t xml:space="preserve"> and </w:t>
      </w:r>
      <w:proofErr w:type="spellStart"/>
      <w:r>
        <w:t>Srinidhi</w:t>
      </w:r>
      <w:proofErr w:type="spellEnd"/>
      <w:r>
        <w:t xml:space="preserve"> 1987, 1991) predict a positive correlation between the degree to which transfer prices incorporate tax incentives and the investment distortion of the </w:t>
      </w:r>
      <w:r w:rsidR="0035405D">
        <w:t>affiliate</w:t>
      </w:r>
      <w:r>
        <w:t xml:space="preserve">s. </w:t>
      </w:r>
      <w:r w:rsidR="002C6C4D">
        <w:t>Further, psychological</w:t>
      </w:r>
      <w:r w:rsidR="00154BFD">
        <w:t xml:space="preserve"> research suggest</w:t>
      </w:r>
      <w:r w:rsidR="00A006B7">
        <w:t>s</w:t>
      </w:r>
      <w:r w:rsidR="00154BFD">
        <w:t xml:space="preserve"> that </w:t>
      </w:r>
      <w:r w:rsidR="002C6C4D">
        <w:t xml:space="preserve">the managers’ interpretation of their </w:t>
      </w:r>
      <w:r w:rsidR="0035405D">
        <w:t>affiliate’s</w:t>
      </w:r>
      <w:r w:rsidR="002C6C4D">
        <w:t xml:space="preserve"> performance may differ between the one receiving the shifted profit and one giving t</w:t>
      </w:r>
      <w:r w:rsidR="004D6A21">
        <w:t>he shifted profit (e.g., Weiner</w:t>
      </w:r>
      <w:r w:rsidR="002C6C4D">
        <w:t xml:space="preserve"> 1985). Attribution theory suggests that the manager </w:t>
      </w:r>
      <w:r w:rsidR="004D6A21">
        <w:t>with</w:t>
      </w:r>
      <w:r w:rsidR="002C6C4D">
        <w:t xml:space="preserve"> artificially high profit may attribute this outcome to his or her own ability.</w:t>
      </w:r>
      <w:r w:rsidR="00A006B7">
        <w:t xml:space="preserve"> Such attribution leads to managerial overconfidence that </w:t>
      </w:r>
      <w:proofErr w:type="gramStart"/>
      <w:r w:rsidR="00A006B7">
        <w:t>has been shown</w:t>
      </w:r>
      <w:proofErr w:type="gramEnd"/>
      <w:r w:rsidR="00A006B7">
        <w:t xml:space="preserve"> to affect investment decisions by CEOs (</w:t>
      </w:r>
      <w:proofErr w:type="spellStart"/>
      <w:r w:rsidR="00A006B7">
        <w:t>Malmendier</w:t>
      </w:r>
      <w:proofErr w:type="spellEnd"/>
      <w:r w:rsidR="00A006B7">
        <w:t xml:space="preserve"> and Tate, 2005). </w:t>
      </w:r>
      <w:r w:rsidR="002C6C4D">
        <w:t xml:space="preserve">This attribution leads to positive expectations of the future and the manager will increase investment in response. However, the manager </w:t>
      </w:r>
      <w:r w:rsidR="007222D9">
        <w:t xml:space="preserve">of the </w:t>
      </w:r>
      <w:r w:rsidR="0035405D">
        <w:t>affiliate</w:t>
      </w:r>
      <w:r w:rsidR="007222D9">
        <w:t xml:space="preserve"> </w:t>
      </w:r>
      <w:r w:rsidR="002C6C4D">
        <w:t xml:space="preserve">with </w:t>
      </w:r>
      <w:r w:rsidR="007222D9">
        <w:t xml:space="preserve">artificially </w:t>
      </w:r>
      <w:r w:rsidR="002C6C4D">
        <w:t xml:space="preserve">low profit will remember the tax-motivated nature of the transfer prices and attribute the low profitability to upper management. With this interpretation of performance, expectations of future success remain high and production </w:t>
      </w:r>
      <w:proofErr w:type="gramStart"/>
      <w:r w:rsidR="002C6C4D">
        <w:t>may not be decreased</w:t>
      </w:r>
      <w:proofErr w:type="gramEnd"/>
      <w:r w:rsidR="002C6C4D">
        <w:t xml:space="preserve"> to achieve higher profits. Thus, the firm overall will increase production as the transfer price deviates further from the </w:t>
      </w:r>
      <w:r w:rsidR="00F21609">
        <w:t>optimal internal resource allocation price.</w:t>
      </w:r>
    </w:p>
    <w:p w14:paraId="4BD0C023" w14:textId="2EBE5567" w:rsidR="00FE28EC" w:rsidRDefault="00FE28EC" w:rsidP="008E2FB5">
      <w:pPr>
        <w:pStyle w:val="ListParagraph"/>
        <w:keepNext/>
        <w:spacing w:line="480" w:lineRule="auto"/>
        <w:ind w:left="0"/>
        <w:contextualSpacing w:val="0"/>
        <w:jc w:val="both"/>
        <w:outlineLvl w:val="0"/>
        <w:rPr>
          <w:b/>
        </w:rPr>
      </w:pPr>
      <w:r>
        <w:rPr>
          <w:b/>
        </w:rPr>
        <w:lastRenderedPageBreak/>
        <w:t>Summary and Hypothesis</w:t>
      </w:r>
    </w:p>
    <w:p w14:paraId="1941DB14" w14:textId="3B210624" w:rsidR="00F21609" w:rsidRDefault="00F21609" w:rsidP="00FA7BF2">
      <w:pPr>
        <w:spacing w:line="480" w:lineRule="auto"/>
        <w:ind w:firstLine="720"/>
        <w:jc w:val="both"/>
      </w:pPr>
      <w:r>
        <w:t xml:space="preserve">In summary, the economics theory of internal trade suggests that in the absence of taxes, </w:t>
      </w:r>
      <w:r w:rsidR="0035405D">
        <w:t xml:space="preserve">managers of </w:t>
      </w:r>
      <w:r>
        <w:t xml:space="preserve">independent </w:t>
      </w:r>
      <w:r w:rsidR="0035405D">
        <w:t>affiliates</w:t>
      </w:r>
      <w:r>
        <w:t xml:space="preserve"> can make the same allocation decision as the central manager would. However, with the introduction of differing tax rates and tax authorities that impose strict regulations on the permitted transfer prices in the </w:t>
      </w:r>
      <w:r w:rsidR="0035405D">
        <w:t>affiliates</w:t>
      </w:r>
      <w:r>
        <w:t xml:space="preserve">, the optimal resource allocation will change. In many </w:t>
      </w:r>
      <w:proofErr w:type="gramStart"/>
      <w:r>
        <w:t>settings</w:t>
      </w:r>
      <w:proofErr w:type="gramEnd"/>
      <w:r>
        <w:t xml:space="preserve"> these features lead to an increase in overall production that is positively related to the tax rate differential. It is unknown the degree to which actual pricing and resourcing decisions comply with the theoretically optimal outcomes. Survey evidence suggests that managers have increasingly embraced the tax</w:t>
      </w:r>
      <w:r w:rsidR="00C45A2C">
        <w:t xml:space="preserve"> motivation for setting</w:t>
      </w:r>
      <w:r>
        <w:t xml:space="preserve"> transfer prices and abandoned efficient resource allocation as a motive for transfer price determination</w:t>
      </w:r>
      <w:r w:rsidR="00197231">
        <w:t>; such behavior could lead to investment decisions based on unit financial results that reflect tax-motivated income shifting</w:t>
      </w:r>
      <w:r>
        <w:t xml:space="preserve">. Finally, the attribution of the observed outcomes may also influence </w:t>
      </w:r>
      <w:r w:rsidR="0035405D">
        <w:t>affiliate</w:t>
      </w:r>
      <w:r>
        <w:t xml:space="preserve"> managers to increase overall production of the firm in the presence of distorted </w:t>
      </w:r>
      <w:r w:rsidR="00197231">
        <w:t>profitability</w:t>
      </w:r>
      <w:r>
        <w:t>. Thus, collectively, we predict the following hypothesis:</w:t>
      </w:r>
    </w:p>
    <w:p w14:paraId="144D321A" w14:textId="07AF0F9A" w:rsidR="00F21609" w:rsidRDefault="00FE28EC" w:rsidP="00FA7BF2">
      <w:pPr>
        <w:keepNext/>
        <w:spacing w:line="480" w:lineRule="auto"/>
        <w:ind w:left="1260" w:hanging="540"/>
        <w:jc w:val="both"/>
      </w:pPr>
      <w:r w:rsidRPr="00FE28EC">
        <w:rPr>
          <w:b/>
        </w:rPr>
        <w:t>H1</w:t>
      </w:r>
      <w:r w:rsidR="00F21609" w:rsidRPr="00FE28EC">
        <w:rPr>
          <w:b/>
        </w:rPr>
        <w:t>:</w:t>
      </w:r>
      <w:r w:rsidR="00F21609">
        <w:t xml:space="preserve"> The </w:t>
      </w:r>
      <w:r>
        <w:t xml:space="preserve">firm’s </w:t>
      </w:r>
      <w:r w:rsidR="00F21609">
        <w:t xml:space="preserve">responsiveness to tax-motivated </w:t>
      </w:r>
      <w:r w:rsidR="00197231">
        <w:t>income shifting</w:t>
      </w:r>
      <w:r w:rsidR="0035405D">
        <w:t xml:space="preserve"> incentives </w:t>
      </w:r>
      <w:proofErr w:type="gramStart"/>
      <w:r w:rsidR="0035405D">
        <w:t xml:space="preserve">is positively </w:t>
      </w:r>
      <w:r w:rsidR="00F21609">
        <w:t>related</w:t>
      </w:r>
      <w:proofErr w:type="gramEnd"/>
      <w:r w:rsidR="00F21609">
        <w:t xml:space="preserve"> to the firm’s level of overinvestment.</w:t>
      </w:r>
    </w:p>
    <w:p w14:paraId="40AD5421" w14:textId="77777777" w:rsidR="005649A5" w:rsidRPr="00BA758C" w:rsidRDefault="005649A5" w:rsidP="00FA7BF2">
      <w:pPr>
        <w:keepNext/>
        <w:spacing w:line="480" w:lineRule="auto"/>
        <w:ind w:left="1260" w:hanging="540"/>
        <w:jc w:val="both"/>
      </w:pPr>
    </w:p>
    <w:p w14:paraId="410F9B6F" w14:textId="7E2A817C" w:rsidR="00013008" w:rsidRDefault="004A1AEA" w:rsidP="00FA7BF2">
      <w:pPr>
        <w:pStyle w:val="ListParagraph"/>
        <w:keepNext/>
        <w:numPr>
          <w:ilvl w:val="0"/>
          <w:numId w:val="8"/>
        </w:numPr>
        <w:spacing w:line="480" w:lineRule="auto"/>
        <w:contextualSpacing w:val="0"/>
        <w:jc w:val="center"/>
        <w:rPr>
          <w:b/>
        </w:rPr>
      </w:pPr>
      <w:r>
        <w:rPr>
          <w:b/>
        </w:rPr>
        <w:t>Measuring Income Shifting Aggressiveness</w:t>
      </w:r>
      <w:r w:rsidR="00591336">
        <w:rPr>
          <w:b/>
        </w:rPr>
        <w:t xml:space="preserve"> </w:t>
      </w:r>
    </w:p>
    <w:p w14:paraId="13FABFB2" w14:textId="61F64C07" w:rsidR="00B57EF6" w:rsidRPr="00BD11E5" w:rsidRDefault="00B57EF6" w:rsidP="00FA7BF2">
      <w:pPr>
        <w:keepNext/>
        <w:spacing w:line="480" w:lineRule="auto"/>
        <w:jc w:val="both"/>
        <w:outlineLvl w:val="0"/>
        <w:rPr>
          <w:b/>
          <w:i/>
          <w:iCs/>
        </w:rPr>
      </w:pPr>
      <w:r>
        <w:rPr>
          <w:b/>
        </w:rPr>
        <w:t xml:space="preserve">Firm-Specific Measure of </w:t>
      </w:r>
      <w:r w:rsidR="004A1AEA">
        <w:rPr>
          <w:b/>
        </w:rPr>
        <w:t xml:space="preserve">Sensitivity to Tax Incentives </w:t>
      </w:r>
      <w:r w:rsidR="004A1AEA">
        <w:rPr>
          <w:b/>
          <w:i/>
          <w:iCs/>
        </w:rPr>
        <w:t>G</w:t>
      </w:r>
    </w:p>
    <w:p w14:paraId="2419E072" w14:textId="6A625B76" w:rsidR="008F0247" w:rsidRDefault="00F2407C" w:rsidP="00FE6ADD">
      <w:pPr>
        <w:keepNext/>
        <w:widowControl w:val="0"/>
        <w:spacing w:line="480" w:lineRule="auto"/>
        <w:ind w:firstLine="720"/>
        <w:jc w:val="both"/>
      </w:pPr>
      <w:r>
        <w:t>W</w:t>
      </w:r>
      <w:r w:rsidR="00482FD5">
        <w:t xml:space="preserve">e first </w:t>
      </w:r>
      <w:r w:rsidR="00C210DF">
        <w:t xml:space="preserve">estimate a </w:t>
      </w:r>
      <w:r w:rsidR="00C210DF" w:rsidRPr="0042218F">
        <w:t xml:space="preserve">firm-level sensitivity to tax </w:t>
      </w:r>
      <w:r w:rsidR="00482FD5">
        <w:t>incentives. W</w:t>
      </w:r>
      <w:r w:rsidR="00464A5C" w:rsidRPr="0042218F">
        <w:t xml:space="preserve">e </w:t>
      </w:r>
      <w:r w:rsidR="004C404B">
        <w:t>follow</w:t>
      </w:r>
      <w:r w:rsidR="0055095F">
        <w:t xml:space="preserve"> </w:t>
      </w:r>
      <w:r w:rsidR="004C404B">
        <w:t xml:space="preserve">the literature (e.g., </w:t>
      </w:r>
      <w:r w:rsidR="0055095F">
        <w:t xml:space="preserve">Hines and Rice </w:t>
      </w:r>
      <w:r w:rsidR="004C404B">
        <w:t>1994;</w:t>
      </w:r>
      <w:r w:rsidR="0055095F">
        <w:t xml:space="preserve"> Huizinga</w:t>
      </w:r>
      <w:r w:rsidR="004C404B">
        <w:t xml:space="preserve"> and </w:t>
      </w:r>
      <w:proofErr w:type="spellStart"/>
      <w:r w:rsidR="004C404B">
        <w:t>Laeven</w:t>
      </w:r>
      <w:proofErr w:type="spellEnd"/>
      <w:r w:rsidR="004C404B">
        <w:t xml:space="preserve"> </w:t>
      </w:r>
      <w:r w:rsidR="00065FF5">
        <w:t xml:space="preserve">2008), using a </w:t>
      </w:r>
      <w:r w:rsidR="00A20627">
        <w:t xml:space="preserve">transformation of the </w:t>
      </w:r>
      <w:r w:rsidR="00065FF5">
        <w:t xml:space="preserve">Cobb-Douglas </w:t>
      </w:r>
      <w:r w:rsidR="00A20627">
        <w:t>production function</w:t>
      </w:r>
      <w:r w:rsidR="00065FF5">
        <w:t xml:space="preserve"> to </w:t>
      </w:r>
      <w:r w:rsidR="007C02C0">
        <w:t>model</w:t>
      </w:r>
      <w:r w:rsidR="0055095F">
        <w:t xml:space="preserve"> affiliate-year reported profits as a function of capital, labor, productivity</w:t>
      </w:r>
      <w:r w:rsidR="004C404B">
        <w:t>,</w:t>
      </w:r>
      <w:r w:rsidR="0055095F">
        <w:t xml:space="preserve"> and tax incentives.</w:t>
      </w:r>
      <w:r w:rsidR="003A37FA" w:rsidRPr="0042218F">
        <w:t xml:space="preserve"> </w:t>
      </w:r>
      <w:r w:rsidR="004C404B">
        <w:t>Specifically, we follow the model in</w:t>
      </w:r>
      <w:r w:rsidR="004C404B" w:rsidRPr="0042218F">
        <w:t xml:space="preserve"> De Simone </w:t>
      </w:r>
      <w:r w:rsidR="004C404B">
        <w:t>et al.</w:t>
      </w:r>
      <w:r w:rsidR="004C404B" w:rsidRPr="0042218F">
        <w:t xml:space="preserve"> (201</w:t>
      </w:r>
      <w:r w:rsidR="004C404B">
        <w:t>7</w:t>
      </w:r>
      <w:r w:rsidR="004C404B" w:rsidRPr="0042218F">
        <w:t>)</w:t>
      </w:r>
      <w:r w:rsidR="004C404B">
        <w:t xml:space="preserve"> </w:t>
      </w:r>
      <w:r w:rsidR="001E607E">
        <w:t xml:space="preserve">that </w:t>
      </w:r>
      <w:r w:rsidR="004C404B">
        <w:lastRenderedPageBreak/>
        <w:t>allows for incl</w:t>
      </w:r>
      <w:r w:rsidR="00E476FF">
        <w:t>usion of</w:t>
      </w:r>
      <w:r w:rsidR="004C404B">
        <w:t xml:space="preserve"> unprofitable affiliates </w:t>
      </w:r>
      <w:r w:rsidR="00556D0D">
        <w:t xml:space="preserve">to </w:t>
      </w:r>
      <w:r w:rsidR="00F91D88">
        <w:t xml:space="preserve">retain a larger sample of multinational affiliate-years and </w:t>
      </w:r>
      <w:r w:rsidR="00556D0D">
        <w:t>achieve</w:t>
      </w:r>
      <w:r w:rsidR="004C404B">
        <w:t xml:space="preserve"> </w:t>
      </w:r>
      <w:proofErr w:type="gramStart"/>
      <w:r w:rsidR="004C404B">
        <w:t>more precise estimation of tax-motivated income shifting</w:t>
      </w:r>
      <w:r w:rsidR="00A9574C">
        <w:t xml:space="preserve"> across multinational </w:t>
      </w:r>
      <w:r w:rsidR="00E964A6">
        <w:t>firm</w:t>
      </w:r>
      <w:r w:rsidR="00A9574C">
        <w:t>s</w:t>
      </w:r>
      <w:proofErr w:type="gramEnd"/>
      <w:r w:rsidR="004C404B">
        <w:t>.</w:t>
      </w:r>
      <w:r w:rsidR="00DA024E">
        <w:t xml:space="preserve"> </w:t>
      </w:r>
      <w:r w:rsidR="004C404B">
        <w:t xml:space="preserve">We extend the model </w:t>
      </w:r>
      <w:r w:rsidR="003A37FA" w:rsidRPr="0042218F">
        <w:t>by incorporating firm indicator variables and interacting them with</w:t>
      </w:r>
      <w:r w:rsidR="0051200A">
        <w:t xml:space="preserve"> the </w:t>
      </w:r>
      <w:r w:rsidR="00DA024E">
        <w:t xml:space="preserve">tax incentive </w:t>
      </w:r>
      <w:r w:rsidR="0051200A">
        <w:t xml:space="preserve">variables of interest: </w:t>
      </w:r>
      <w:r w:rsidR="006D4EAC">
        <w:t xml:space="preserve">a capital-weighted differential tax rate of the affiliate relative to all related </w:t>
      </w:r>
      <w:r w:rsidR="00482FD5">
        <w:t xml:space="preserve">affiliates </w:t>
      </w:r>
      <w:r w:rsidR="006D4EAC">
        <w:t xml:space="preserve">in the same multinational </w:t>
      </w:r>
      <w:r w:rsidR="00E964A6">
        <w:t>firm</w:t>
      </w:r>
      <w:r w:rsidR="006D4EAC">
        <w:t xml:space="preserve">-year </w:t>
      </w:r>
      <w:r w:rsidR="0051200A">
        <w:t>(</w:t>
      </w:r>
      <w:proofErr w:type="spellStart"/>
      <w:r w:rsidR="0051200A" w:rsidRPr="0051200A">
        <w:rPr>
          <w:i/>
        </w:rPr>
        <w:t>C</w:t>
      </w:r>
      <w:r w:rsidR="006D3A30" w:rsidRPr="00CE1ED6">
        <w:rPr>
          <w:i/>
          <w:vertAlign w:val="subscript"/>
        </w:rPr>
        <w:t>it</w:t>
      </w:r>
      <w:proofErr w:type="spellEnd"/>
      <w:r w:rsidR="0051200A">
        <w:t>), an indicator variable for an unprofitable affiliate (</w:t>
      </w:r>
      <w:proofErr w:type="spellStart"/>
      <w:r w:rsidR="0051200A" w:rsidRPr="0051200A">
        <w:rPr>
          <w:i/>
        </w:rPr>
        <w:t>Loss</w:t>
      </w:r>
      <w:r w:rsidR="005649A5" w:rsidRPr="003E629F">
        <w:rPr>
          <w:i/>
          <w:vertAlign w:val="subscript"/>
        </w:rPr>
        <w:t>it</w:t>
      </w:r>
      <w:proofErr w:type="spellEnd"/>
      <w:r w:rsidR="0051200A">
        <w:t>), and the interaction between the two</w:t>
      </w:r>
      <w:r w:rsidR="00464A5C" w:rsidRPr="0042218F">
        <w:t xml:space="preserve">. </w:t>
      </w:r>
      <w:r w:rsidR="004B62B6">
        <w:t>We present this model in e</w:t>
      </w:r>
      <w:r w:rsidR="00DA024E">
        <w:t>quation (1) below</w:t>
      </w:r>
      <w:r w:rsidR="001E607E">
        <w:t xml:space="preserve"> for affiliate </w:t>
      </w:r>
      <w:proofErr w:type="spellStart"/>
      <w:proofErr w:type="gramStart"/>
      <w:r w:rsidR="001E607E" w:rsidRPr="005661D0">
        <w:rPr>
          <w:i/>
        </w:rPr>
        <w:t>i</w:t>
      </w:r>
      <w:proofErr w:type="spellEnd"/>
      <w:r w:rsidR="001E607E">
        <w:t xml:space="preserve">, year </w:t>
      </w:r>
      <w:r w:rsidR="001E607E" w:rsidRPr="005661D0">
        <w:rPr>
          <w:i/>
        </w:rPr>
        <w:t>t</w:t>
      </w:r>
      <w:r w:rsidR="001E607E">
        <w:t xml:space="preserve"> and firm </w:t>
      </w:r>
      <w:r w:rsidR="001E607E" w:rsidRPr="005661D0">
        <w:rPr>
          <w:i/>
        </w:rPr>
        <w:t>f</w:t>
      </w:r>
      <w:proofErr w:type="gramEnd"/>
      <w:r w:rsidR="00DA024E">
        <w:t>.</w:t>
      </w:r>
    </w:p>
    <w:p w14:paraId="75D540FC" w14:textId="201E39A7" w:rsidR="008F0247" w:rsidRDefault="008F0247" w:rsidP="008F0247">
      <w:pPr>
        <w:tabs>
          <w:tab w:val="right" w:pos="9360"/>
        </w:tabs>
        <w:ind w:left="1890" w:hanging="1260"/>
      </w:pPr>
      <w:proofErr w:type="gramStart"/>
      <w:r>
        <w:t>ln(</w:t>
      </w:r>
      <w:proofErr w:type="gramEnd"/>
      <w:r>
        <w:rPr>
          <w:i/>
        </w:rPr>
        <w:sym w:font="Symbol" w:char="F070"/>
      </w:r>
      <w:r w:rsidRPr="00581A97">
        <w:rPr>
          <w:i/>
          <w:vertAlign w:val="subscript"/>
        </w:rPr>
        <w:t>i</w:t>
      </w:r>
      <w:r w:rsidR="006D3A30">
        <w:rPr>
          <w:i/>
          <w:vertAlign w:val="subscript"/>
        </w:rPr>
        <w:t>t</w:t>
      </w:r>
      <w:r>
        <w:t xml:space="preserve"> + 1) = </w:t>
      </w:r>
      <w:r w:rsidRPr="00AE0182">
        <w:rPr>
          <w:i/>
        </w:rPr>
        <w:t>β</w:t>
      </w:r>
      <w:r w:rsidRPr="00AE0182">
        <w:rPr>
          <w:i/>
          <w:vertAlign w:val="subscript"/>
        </w:rPr>
        <w:t>0</w:t>
      </w:r>
      <w:r>
        <w:t xml:space="preserve"> + </w:t>
      </w:r>
      <w:r w:rsidRPr="00AE0182">
        <w:rPr>
          <w:i/>
        </w:rPr>
        <w:t>β</w:t>
      </w:r>
      <w:r>
        <w:rPr>
          <w:i/>
          <w:vertAlign w:val="subscript"/>
        </w:rPr>
        <w:t>1</w:t>
      </w:r>
      <w:r w:rsidRPr="00AE0182">
        <w:rPr>
          <w:i/>
        </w:rPr>
        <w:t>*</w:t>
      </w:r>
      <w:r w:rsidRPr="00176999">
        <w:t>ln(</w:t>
      </w:r>
      <w:proofErr w:type="spellStart"/>
      <w:r>
        <w:rPr>
          <w:i/>
        </w:rPr>
        <w:t>TangibleAssets</w:t>
      </w:r>
      <w:r w:rsidRPr="005312CD">
        <w:rPr>
          <w:i/>
          <w:vertAlign w:val="subscript"/>
        </w:rPr>
        <w:t>it</w:t>
      </w:r>
      <w:proofErr w:type="spellEnd"/>
      <w:r w:rsidRPr="00176999">
        <w:t xml:space="preserve">) + </w:t>
      </w:r>
      <w:r w:rsidRPr="00AE0182">
        <w:rPr>
          <w:i/>
        </w:rPr>
        <w:t>β</w:t>
      </w:r>
      <w:r>
        <w:rPr>
          <w:i/>
          <w:vertAlign w:val="subscript"/>
        </w:rPr>
        <w:t>2</w:t>
      </w:r>
      <w:r w:rsidRPr="00AE0182">
        <w:rPr>
          <w:i/>
        </w:rPr>
        <w:t>*</w:t>
      </w:r>
      <w:r w:rsidRPr="00176999">
        <w:t>ln(</w:t>
      </w:r>
      <w:proofErr w:type="spellStart"/>
      <w:r>
        <w:rPr>
          <w:i/>
        </w:rPr>
        <w:t>CompExp</w:t>
      </w:r>
      <w:r w:rsidRPr="003E629F">
        <w:rPr>
          <w:i/>
          <w:vertAlign w:val="subscript"/>
        </w:rPr>
        <w:t>it</w:t>
      </w:r>
      <w:proofErr w:type="spellEnd"/>
      <w:r w:rsidRPr="00176999">
        <w:t xml:space="preserve">) + </w:t>
      </w:r>
      <w:r w:rsidRPr="00AE0182">
        <w:rPr>
          <w:i/>
        </w:rPr>
        <w:t>β</w:t>
      </w:r>
      <w:r>
        <w:rPr>
          <w:i/>
          <w:vertAlign w:val="subscript"/>
        </w:rPr>
        <w:t>3</w:t>
      </w:r>
      <w:r w:rsidRPr="00AE0182">
        <w:rPr>
          <w:i/>
        </w:rPr>
        <w:t>*</w:t>
      </w:r>
      <w:proofErr w:type="spellStart"/>
      <w:r>
        <w:rPr>
          <w:i/>
        </w:rPr>
        <w:t>IndustryROA</w:t>
      </w:r>
      <w:r w:rsidRPr="003E629F">
        <w:rPr>
          <w:i/>
          <w:vertAlign w:val="subscript"/>
        </w:rPr>
        <w:t>t</w:t>
      </w:r>
      <w:proofErr w:type="spellEnd"/>
      <w:r w:rsidRPr="00176999">
        <w:t xml:space="preserve"> </w:t>
      </w:r>
      <w:r w:rsidR="00BF15A1">
        <w:t xml:space="preserve">              </w:t>
      </w:r>
      <w:r w:rsidR="00495451">
        <w:rPr>
          <w:i/>
        </w:rPr>
        <w:t>+</w:t>
      </w:r>
      <w:r w:rsidR="00BF15A1">
        <w:rPr>
          <w:i/>
        </w:rPr>
        <w:t xml:space="preserve"> </w:t>
      </w:r>
      <w:r w:rsidRPr="00AE0182">
        <w:rPr>
          <w:i/>
        </w:rPr>
        <w:t>β</w:t>
      </w:r>
      <w:r>
        <w:rPr>
          <w:i/>
          <w:vertAlign w:val="subscript"/>
        </w:rPr>
        <w:t>4</w:t>
      </w:r>
      <w:r w:rsidRPr="00AE0182">
        <w:rPr>
          <w:i/>
        </w:rPr>
        <w:t>*</w:t>
      </w:r>
      <w:proofErr w:type="spellStart"/>
      <w:r>
        <w:rPr>
          <w:i/>
        </w:rPr>
        <w:t>Age</w:t>
      </w:r>
      <w:r w:rsidRPr="003E629F">
        <w:rPr>
          <w:i/>
          <w:vertAlign w:val="subscript"/>
        </w:rPr>
        <w:t>it</w:t>
      </w:r>
      <w:proofErr w:type="spellEnd"/>
      <w:r>
        <w:rPr>
          <w:i/>
        </w:rPr>
        <w:t xml:space="preserve"> </w:t>
      </w:r>
      <w:r w:rsidRPr="009E5DFE">
        <w:rPr>
          <w:i/>
        </w:rPr>
        <w:t xml:space="preserve">+ </w:t>
      </w:r>
      <w:r w:rsidRPr="00AE0182">
        <w:rPr>
          <w:i/>
        </w:rPr>
        <w:t>β</w:t>
      </w:r>
      <w:r>
        <w:rPr>
          <w:i/>
          <w:vertAlign w:val="subscript"/>
        </w:rPr>
        <w:t>5</w:t>
      </w:r>
      <w:r w:rsidRPr="00AE0182">
        <w:rPr>
          <w:i/>
        </w:rPr>
        <w:t>*</w:t>
      </w:r>
      <w:r>
        <w:rPr>
          <w:i/>
        </w:rPr>
        <w:t>∆</w:t>
      </w:r>
      <w:proofErr w:type="spellStart"/>
      <w:r>
        <w:rPr>
          <w:i/>
        </w:rPr>
        <w:t>GDP</w:t>
      </w:r>
      <w:r w:rsidRPr="003E629F">
        <w:rPr>
          <w:i/>
          <w:vertAlign w:val="subscript"/>
        </w:rPr>
        <w:t>t</w:t>
      </w:r>
      <w:proofErr w:type="spellEnd"/>
      <w:r>
        <w:rPr>
          <w:i/>
        </w:rPr>
        <w:t xml:space="preserve"> + </w:t>
      </w:r>
      <w:r w:rsidRPr="00AE0182">
        <w:rPr>
          <w:i/>
        </w:rPr>
        <w:t>β</w:t>
      </w:r>
      <w:r>
        <w:rPr>
          <w:i/>
          <w:vertAlign w:val="subscript"/>
        </w:rPr>
        <w:t>6</w:t>
      </w:r>
      <w:r w:rsidRPr="00AE0182">
        <w:rPr>
          <w:i/>
        </w:rPr>
        <w:t>*</w:t>
      </w:r>
      <w:r>
        <w:rPr>
          <w:i/>
        </w:rPr>
        <w:t>∆</w:t>
      </w:r>
      <w:proofErr w:type="spellStart"/>
      <w:r>
        <w:rPr>
          <w:i/>
        </w:rPr>
        <w:t>MarketSize</w:t>
      </w:r>
      <w:r w:rsidRPr="003E629F">
        <w:rPr>
          <w:i/>
          <w:vertAlign w:val="subscript"/>
        </w:rPr>
        <w:t>t</w:t>
      </w:r>
      <w:proofErr w:type="spellEnd"/>
      <w:r>
        <w:rPr>
          <w:i/>
        </w:rPr>
        <w:t xml:space="preserve"> + </w:t>
      </w:r>
      <w:r w:rsidRPr="00AE0182">
        <w:rPr>
          <w:i/>
        </w:rPr>
        <w:t>β</w:t>
      </w:r>
      <w:r>
        <w:rPr>
          <w:i/>
          <w:vertAlign w:val="subscript"/>
        </w:rPr>
        <w:t>7</w:t>
      </w:r>
      <w:r w:rsidRPr="00AE0182">
        <w:rPr>
          <w:i/>
        </w:rPr>
        <w:t>*</w:t>
      </w:r>
      <w:proofErr w:type="spellStart"/>
      <w:r>
        <w:rPr>
          <w:i/>
        </w:rPr>
        <w:t>C</w:t>
      </w:r>
      <w:r w:rsidRPr="003E629F">
        <w:rPr>
          <w:i/>
          <w:vertAlign w:val="subscript"/>
        </w:rPr>
        <w:t>it</w:t>
      </w:r>
      <w:proofErr w:type="spellEnd"/>
      <w:r>
        <w:rPr>
          <w:i/>
        </w:rPr>
        <w:t xml:space="preserve"> </w:t>
      </w:r>
      <w:r w:rsidRPr="009E5DFE">
        <w:rPr>
          <w:i/>
        </w:rPr>
        <w:t xml:space="preserve">+ </w:t>
      </w:r>
      <w:r w:rsidRPr="00AE0182">
        <w:rPr>
          <w:i/>
        </w:rPr>
        <w:t>β</w:t>
      </w:r>
      <w:r>
        <w:rPr>
          <w:i/>
          <w:vertAlign w:val="subscript"/>
        </w:rPr>
        <w:t>8</w:t>
      </w:r>
      <w:r w:rsidRPr="00AE0182">
        <w:rPr>
          <w:i/>
        </w:rPr>
        <w:t>*</w:t>
      </w:r>
      <w:proofErr w:type="spellStart"/>
      <w:r>
        <w:rPr>
          <w:i/>
        </w:rPr>
        <w:t>Loss</w:t>
      </w:r>
      <w:r w:rsidRPr="003E629F">
        <w:rPr>
          <w:i/>
          <w:vertAlign w:val="subscript"/>
        </w:rPr>
        <w:t>it</w:t>
      </w:r>
      <w:proofErr w:type="spellEnd"/>
      <w:r w:rsidRPr="00AE0182" w:rsidDel="00B703E8">
        <w:rPr>
          <w:i/>
        </w:rPr>
        <w:t xml:space="preserve"> </w:t>
      </w:r>
      <w:r w:rsidR="00BF15A1">
        <w:rPr>
          <w:i/>
        </w:rPr>
        <w:t xml:space="preserve">                    </w:t>
      </w:r>
      <w:r>
        <w:rPr>
          <w:i/>
        </w:rPr>
        <w:t>+</w:t>
      </w:r>
      <w:r w:rsidRPr="009E5DFE">
        <w:rPr>
          <w:i/>
        </w:rPr>
        <w:t xml:space="preserve"> </w:t>
      </w:r>
      <w:r w:rsidRPr="00AE0182">
        <w:rPr>
          <w:i/>
        </w:rPr>
        <w:t>β</w:t>
      </w:r>
      <w:r>
        <w:rPr>
          <w:i/>
          <w:vertAlign w:val="subscript"/>
        </w:rPr>
        <w:t>9</w:t>
      </w:r>
      <w:r w:rsidRPr="00AE0182">
        <w:rPr>
          <w:i/>
        </w:rPr>
        <w:t>*</w:t>
      </w:r>
      <w:proofErr w:type="spellStart"/>
      <w:r>
        <w:rPr>
          <w:i/>
        </w:rPr>
        <w:t>Loss</w:t>
      </w:r>
      <w:r w:rsidRPr="003E629F">
        <w:rPr>
          <w:i/>
          <w:vertAlign w:val="subscript"/>
        </w:rPr>
        <w:t>it</w:t>
      </w:r>
      <w:proofErr w:type="spellEnd"/>
      <w:r>
        <w:rPr>
          <w:i/>
        </w:rPr>
        <w:t>*</w:t>
      </w:r>
      <w:proofErr w:type="spellStart"/>
      <w:r>
        <w:rPr>
          <w:i/>
        </w:rPr>
        <w:t>C</w:t>
      </w:r>
      <w:r w:rsidRPr="003E629F">
        <w:rPr>
          <w:i/>
          <w:vertAlign w:val="subscript"/>
        </w:rPr>
        <w:t>it</w:t>
      </w:r>
      <w:proofErr w:type="spellEnd"/>
      <w:r>
        <w:t xml:space="preserve"> + </w:t>
      </w:r>
      <w:r w:rsidRPr="00AE0182">
        <w:rPr>
          <w:i/>
        </w:rPr>
        <w:t>β</w:t>
      </w:r>
      <w:r>
        <w:rPr>
          <w:i/>
          <w:vertAlign w:val="subscript"/>
        </w:rPr>
        <w:t>10</w:t>
      </w:r>
      <w:r w:rsidR="001E607E">
        <w:rPr>
          <w:i/>
          <w:vertAlign w:val="subscript"/>
        </w:rPr>
        <w:t xml:space="preserve">,f </w:t>
      </w:r>
      <w:r>
        <w:t>*</w:t>
      </w:r>
      <w:proofErr w:type="spellStart"/>
      <w:r w:rsidRPr="008F0247">
        <w:rPr>
          <w:i/>
        </w:rPr>
        <w:t>Firm</w:t>
      </w:r>
      <w:r w:rsidR="001E607E">
        <w:rPr>
          <w:i/>
          <w:vertAlign w:val="subscript"/>
        </w:rPr>
        <w:t>f</w:t>
      </w:r>
      <w:proofErr w:type="spellEnd"/>
      <w:r w:rsidR="002C630C">
        <w:rPr>
          <w:i/>
        </w:rPr>
        <w:t xml:space="preserve"> </w:t>
      </w:r>
      <w:r>
        <w:t xml:space="preserve">+ </w:t>
      </w:r>
      <w:r w:rsidR="002C630C" w:rsidRPr="00AE0182">
        <w:rPr>
          <w:i/>
        </w:rPr>
        <w:t>β</w:t>
      </w:r>
      <w:r w:rsidR="002C630C">
        <w:rPr>
          <w:i/>
          <w:vertAlign w:val="subscript"/>
        </w:rPr>
        <w:t>11</w:t>
      </w:r>
      <w:r w:rsidR="001E607E">
        <w:rPr>
          <w:i/>
          <w:vertAlign w:val="subscript"/>
        </w:rPr>
        <w:t xml:space="preserve">,f </w:t>
      </w:r>
      <w:r w:rsidR="002C630C">
        <w:t>*</w:t>
      </w:r>
      <w:proofErr w:type="spellStart"/>
      <w:r w:rsidR="001E607E" w:rsidRPr="008F0247">
        <w:rPr>
          <w:i/>
        </w:rPr>
        <w:t>Firm</w:t>
      </w:r>
      <w:r w:rsidR="001E607E">
        <w:rPr>
          <w:i/>
          <w:vertAlign w:val="subscript"/>
        </w:rPr>
        <w:t>f</w:t>
      </w:r>
      <w:proofErr w:type="spellEnd"/>
      <w:r w:rsidR="002C630C" w:rsidRPr="00AE0182">
        <w:rPr>
          <w:i/>
        </w:rPr>
        <w:t>*</w:t>
      </w:r>
      <w:proofErr w:type="spellStart"/>
      <w:r w:rsidR="002C630C">
        <w:rPr>
          <w:i/>
        </w:rPr>
        <w:t>C</w:t>
      </w:r>
      <w:r w:rsidR="002C630C" w:rsidRPr="003E629F">
        <w:rPr>
          <w:i/>
          <w:vertAlign w:val="subscript"/>
        </w:rPr>
        <w:t>it</w:t>
      </w:r>
      <w:proofErr w:type="spellEnd"/>
      <w:r w:rsidR="002C630C">
        <w:t xml:space="preserve"> + </w:t>
      </w:r>
      <w:r w:rsidRPr="00AE0182">
        <w:rPr>
          <w:i/>
        </w:rPr>
        <w:t>β</w:t>
      </w:r>
      <w:r>
        <w:rPr>
          <w:i/>
          <w:vertAlign w:val="subscript"/>
        </w:rPr>
        <w:t>1</w:t>
      </w:r>
      <w:r w:rsidR="002C630C">
        <w:rPr>
          <w:i/>
          <w:vertAlign w:val="subscript"/>
        </w:rPr>
        <w:t>2</w:t>
      </w:r>
      <w:r w:rsidR="001E607E">
        <w:rPr>
          <w:i/>
          <w:vertAlign w:val="subscript"/>
        </w:rPr>
        <w:t xml:space="preserve">,f </w:t>
      </w:r>
      <w:r w:rsidRPr="00AE0182">
        <w:rPr>
          <w:i/>
        </w:rPr>
        <w:t>*</w:t>
      </w:r>
      <w:proofErr w:type="spellStart"/>
      <w:r w:rsidRPr="008F0247">
        <w:rPr>
          <w:i/>
        </w:rPr>
        <w:t>Firm</w:t>
      </w:r>
      <w:r w:rsidR="001E607E">
        <w:rPr>
          <w:i/>
          <w:vertAlign w:val="subscript"/>
        </w:rPr>
        <w:t>f</w:t>
      </w:r>
      <w:proofErr w:type="spellEnd"/>
      <w:r w:rsidR="001E607E">
        <w:rPr>
          <w:i/>
          <w:vertAlign w:val="subscript"/>
        </w:rPr>
        <w:t xml:space="preserve"> </w:t>
      </w:r>
      <w:r>
        <w:t>*</w:t>
      </w:r>
      <w:proofErr w:type="spellStart"/>
      <w:r>
        <w:rPr>
          <w:i/>
        </w:rPr>
        <w:t>Loss</w:t>
      </w:r>
      <w:r w:rsidRPr="003E629F">
        <w:rPr>
          <w:i/>
          <w:vertAlign w:val="subscript"/>
        </w:rPr>
        <w:t>it</w:t>
      </w:r>
      <w:proofErr w:type="spellEnd"/>
      <w:r>
        <w:t xml:space="preserve"> </w:t>
      </w:r>
      <w:r w:rsidR="00BF15A1">
        <w:t xml:space="preserve">                    </w:t>
      </w:r>
      <w:r>
        <w:t xml:space="preserve">+ </w:t>
      </w:r>
      <w:r w:rsidRPr="00AE0182">
        <w:rPr>
          <w:i/>
        </w:rPr>
        <w:t>β</w:t>
      </w:r>
      <w:r>
        <w:rPr>
          <w:i/>
          <w:vertAlign w:val="subscript"/>
        </w:rPr>
        <w:t>1</w:t>
      </w:r>
      <w:r w:rsidR="002C630C">
        <w:rPr>
          <w:i/>
          <w:vertAlign w:val="subscript"/>
        </w:rPr>
        <w:t>3</w:t>
      </w:r>
      <w:r w:rsidR="001E607E" w:rsidRPr="001E607E">
        <w:rPr>
          <w:i/>
          <w:vertAlign w:val="subscript"/>
        </w:rPr>
        <w:t>,</w:t>
      </w:r>
      <w:r w:rsidR="001E607E" w:rsidRPr="005661D0">
        <w:rPr>
          <w:i/>
          <w:vertAlign w:val="subscript"/>
        </w:rPr>
        <w:t>f</w:t>
      </w:r>
      <w:r w:rsidR="001E607E">
        <w:rPr>
          <w:i/>
        </w:rPr>
        <w:t xml:space="preserve"> </w:t>
      </w:r>
      <w:r w:rsidRPr="00AE0182">
        <w:rPr>
          <w:i/>
        </w:rPr>
        <w:t>*</w:t>
      </w:r>
      <w:proofErr w:type="spellStart"/>
      <w:r w:rsidRPr="008F0247">
        <w:rPr>
          <w:i/>
        </w:rPr>
        <w:t>Firm</w:t>
      </w:r>
      <w:r w:rsidR="001E607E">
        <w:rPr>
          <w:i/>
          <w:vertAlign w:val="subscript"/>
        </w:rPr>
        <w:t>f</w:t>
      </w:r>
      <w:proofErr w:type="spellEnd"/>
      <w:r w:rsidR="001E607E">
        <w:rPr>
          <w:i/>
          <w:vertAlign w:val="subscript"/>
        </w:rPr>
        <w:t xml:space="preserve"> </w:t>
      </w:r>
      <w:r>
        <w:t>*</w:t>
      </w:r>
      <w:proofErr w:type="spellStart"/>
      <w:r>
        <w:rPr>
          <w:i/>
        </w:rPr>
        <w:t>Loss</w:t>
      </w:r>
      <w:r w:rsidRPr="003E629F">
        <w:rPr>
          <w:i/>
          <w:vertAlign w:val="subscript"/>
        </w:rPr>
        <w:t>it</w:t>
      </w:r>
      <w:proofErr w:type="spellEnd"/>
      <w:r>
        <w:rPr>
          <w:i/>
        </w:rPr>
        <w:t>*</w:t>
      </w:r>
      <w:proofErr w:type="spellStart"/>
      <w:r>
        <w:rPr>
          <w:i/>
        </w:rPr>
        <w:t>C</w:t>
      </w:r>
      <w:r w:rsidRPr="003E629F">
        <w:rPr>
          <w:i/>
          <w:vertAlign w:val="subscript"/>
        </w:rPr>
        <w:t>it</w:t>
      </w:r>
      <w:proofErr w:type="spellEnd"/>
      <w:r>
        <w:t xml:space="preserve"> </w:t>
      </w:r>
      <w:r w:rsidRPr="0042218F">
        <w:rPr>
          <w:i/>
        </w:rPr>
        <w:t xml:space="preserve">+ </w:t>
      </w:r>
      <w:proofErr w:type="spellStart"/>
      <w:r w:rsidRPr="0042218F">
        <w:rPr>
          <w:i/>
        </w:rPr>
        <w:t>ε</w:t>
      </w:r>
      <w:r w:rsidRPr="0042218F">
        <w:rPr>
          <w:i/>
          <w:vertAlign w:val="subscript"/>
        </w:rPr>
        <w:t>it</w:t>
      </w:r>
      <w:proofErr w:type="spellEnd"/>
      <w:r>
        <w:tab/>
        <w:t>(</w:t>
      </w:r>
      <w:r w:rsidR="00482FD5">
        <w:t>1</w:t>
      </w:r>
      <w:r>
        <w:t>)</w:t>
      </w:r>
    </w:p>
    <w:p w14:paraId="7A480001" w14:textId="77777777" w:rsidR="008F0247" w:rsidRPr="002B4C47" w:rsidRDefault="008F0247" w:rsidP="008F0247">
      <w:pPr>
        <w:tabs>
          <w:tab w:val="right" w:pos="9360"/>
        </w:tabs>
        <w:ind w:left="1890" w:hanging="1260"/>
        <w:rPr>
          <w:i/>
        </w:rPr>
      </w:pPr>
    </w:p>
    <w:p w14:paraId="53840671" w14:textId="4ABC593D" w:rsidR="00646EAC" w:rsidRPr="00F004AE" w:rsidRDefault="00DA024E" w:rsidP="00BD11E5">
      <w:pPr>
        <w:spacing w:line="480" w:lineRule="auto"/>
        <w:ind w:firstLine="720"/>
        <w:jc w:val="both"/>
      </w:pPr>
      <w:r>
        <w:t xml:space="preserve">We obtain all variables </w:t>
      </w:r>
      <w:r w:rsidR="004B62B6">
        <w:t>to estimate e</w:t>
      </w:r>
      <w:r w:rsidR="006E7064">
        <w:t xml:space="preserve">quation (1) </w:t>
      </w:r>
      <w:r>
        <w:t xml:space="preserve">from the </w:t>
      </w:r>
      <w:proofErr w:type="spellStart"/>
      <w:r>
        <w:t>BvD</w:t>
      </w:r>
      <w:proofErr w:type="spellEnd"/>
      <w:r>
        <w:t xml:space="preserve"> </w:t>
      </w:r>
      <w:r w:rsidR="00D82837">
        <w:t>Osiris</w:t>
      </w:r>
      <w:r>
        <w:t xml:space="preserve"> database unless otherwise noted. The dependent variable is the natural log of return on assets </w:t>
      </w:r>
      <w:r w:rsidR="00F40F7D">
        <w:t xml:space="preserve">(ROA) </w:t>
      </w:r>
      <w:r>
        <w:t xml:space="preserve">plus one, where return on assets </w:t>
      </w:r>
      <w:proofErr w:type="gramStart"/>
      <w:r>
        <w:t>is measured</w:t>
      </w:r>
      <w:proofErr w:type="gramEnd"/>
      <w:r>
        <w:t xml:space="preserve"> as </w:t>
      </w:r>
      <w:r w:rsidR="00495451">
        <w:t xml:space="preserve">earnings before interest and taxes </w:t>
      </w:r>
      <w:r>
        <w:t>(</w:t>
      </w:r>
      <w:r>
        <w:rPr>
          <w:i/>
        </w:rPr>
        <w:t>OPPL</w:t>
      </w:r>
      <w:r>
        <w:t xml:space="preserve">) </w:t>
      </w:r>
      <w:r w:rsidR="00000AC8">
        <w:t>divided</w:t>
      </w:r>
      <w:r>
        <w:t xml:space="preserve"> by total assets (</w:t>
      </w:r>
      <w:r>
        <w:rPr>
          <w:i/>
        </w:rPr>
        <w:t>TOAS</w:t>
      </w:r>
      <w:r w:rsidRPr="00CE1ED6">
        <w:t>)</w:t>
      </w:r>
      <w:r w:rsidR="001611CC">
        <w:t xml:space="preserve">. </w:t>
      </w:r>
      <w:r w:rsidR="00CB48AC">
        <w:t xml:space="preserve">Our proxy for capital is </w:t>
      </w:r>
      <w:r w:rsidR="00F40F7D">
        <w:t>tangible fixed assets (</w:t>
      </w:r>
      <w:r w:rsidR="00F40F7D">
        <w:rPr>
          <w:i/>
        </w:rPr>
        <w:t>TFAS</w:t>
      </w:r>
      <w:r w:rsidR="00F40F7D" w:rsidRPr="00BD11E5">
        <w:t>)</w:t>
      </w:r>
      <w:r w:rsidR="00F40F7D">
        <w:t xml:space="preserve"> and our proxy for labor is compensation expense (</w:t>
      </w:r>
      <w:r w:rsidR="00F40F7D">
        <w:rPr>
          <w:i/>
        </w:rPr>
        <w:t>STAF</w:t>
      </w:r>
      <w:r w:rsidR="00F40F7D">
        <w:t xml:space="preserve">). We measure productivity as </w:t>
      </w:r>
      <w:proofErr w:type="spellStart"/>
      <w:r w:rsidR="00F40F7D">
        <w:rPr>
          <w:i/>
        </w:rPr>
        <w:t>IndustryROA</w:t>
      </w:r>
      <w:r w:rsidR="00F40F7D" w:rsidRPr="00BD11E5">
        <w:rPr>
          <w:i/>
          <w:vertAlign w:val="subscript"/>
        </w:rPr>
        <w:t>t</w:t>
      </w:r>
      <w:proofErr w:type="spellEnd"/>
      <w:r w:rsidR="00F40F7D">
        <w:rPr>
          <w:i/>
        </w:rPr>
        <w:t>,</w:t>
      </w:r>
      <w:r w:rsidR="00F40F7D">
        <w:rPr>
          <w:rStyle w:val="apple-converted-space"/>
        </w:rPr>
        <w:t> </w:t>
      </w:r>
      <w:r w:rsidR="00F40F7D">
        <w:t xml:space="preserve">defined as the median ROA by two-digit NACE industry-country-year, calculated using all affiliated and independent </w:t>
      </w:r>
      <w:r w:rsidR="00645DC1">
        <w:t>companies</w:t>
      </w:r>
      <w:r w:rsidR="00F40F7D">
        <w:t>.</w:t>
      </w:r>
      <w:r w:rsidR="009B27C7">
        <w:t xml:space="preserve"> </w:t>
      </w:r>
      <w:proofErr w:type="spellStart"/>
      <w:r w:rsidR="009B27C7">
        <w:rPr>
          <w:i/>
        </w:rPr>
        <w:t>Age</w:t>
      </w:r>
      <w:r w:rsidR="009B27C7" w:rsidRPr="00BD11E5">
        <w:rPr>
          <w:i/>
          <w:vertAlign w:val="subscript"/>
        </w:rPr>
        <w:t>it</w:t>
      </w:r>
      <w:proofErr w:type="spellEnd"/>
      <w:r w:rsidR="009B27C7">
        <w:rPr>
          <w:i/>
        </w:rPr>
        <w:t xml:space="preserve"> </w:t>
      </w:r>
      <w:r w:rsidR="009B27C7">
        <w:t xml:space="preserve">is </w:t>
      </w:r>
      <w:r w:rsidR="000B0E53">
        <w:t xml:space="preserve">the natural log of </w:t>
      </w:r>
      <w:r w:rsidR="001342B3">
        <w:t xml:space="preserve">one plus </w:t>
      </w:r>
      <w:r w:rsidR="009B27C7">
        <w:t xml:space="preserve">year </w:t>
      </w:r>
      <w:r w:rsidR="009B27C7">
        <w:rPr>
          <w:i/>
        </w:rPr>
        <w:t xml:space="preserve">t </w:t>
      </w:r>
      <w:r w:rsidR="009B27C7" w:rsidRPr="00646EAC">
        <w:t xml:space="preserve">less the first year affiliate </w:t>
      </w:r>
      <w:proofErr w:type="spellStart"/>
      <w:r w:rsidR="009B27C7" w:rsidRPr="00646EAC">
        <w:rPr>
          <w:i/>
        </w:rPr>
        <w:t>i</w:t>
      </w:r>
      <w:proofErr w:type="spellEnd"/>
      <w:r w:rsidR="009B27C7" w:rsidRPr="00646EAC">
        <w:rPr>
          <w:i/>
        </w:rPr>
        <w:t xml:space="preserve"> </w:t>
      </w:r>
      <w:r w:rsidR="009B27C7" w:rsidRPr="00646EAC">
        <w:t xml:space="preserve">is in our sample. We include two variables as proxies for economic shocks that could lead to </w:t>
      </w:r>
      <w:r w:rsidR="009B27C7" w:rsidRPr="00F004AE">
        <w:t xml:space="preserve">unprofitability: </w:t>
      </w:r>
      <w:r w:rsidR="00646EAC" w:rsidRPr="00F004AE">
        <w:t>(</w:t>
      </w:r>
      <w:proofErr w:type="spellStart"/>
      <w:r w:rsidR="00646EAC" w:rsidRPr="00F004AE">
        <w:t>i</w:t>
      </w:r>
      <w:proofErr w:type="spellEnd"/>
      <w:r w:rsidR="00646EAC" w:rsidRPr="00F004AE">
        <w:t xml:space="preserve">) </w:t>
      </w:r>
      <w:r w:rsidR="00646EAC" w:rsidRPr="00F004AE">
        <w:rPr>
          <w:i/>
        </w:rPr>
        <w:t>∆</w:t>
      </w:r>
      <w:proofErr w:type="spellStart"/>
      <w:r w:rsidR="00646EAC" w:rsidRPr="00F004AE">
        <w:rPr>
          <w:i/>
        </w:rPr>
        <w:t>GDP</w:t>
      </w:r>
      <w:r w:rsidR="00646EAC" w:rsidRPr="00F004AE">
        <w:rPr>
          <w:i/>
          <w:vertAlign w:val="subscript"/>
        </w:rPr>
        <w:t>t</w:t>
      </w:r>
      <w:proofErr w:type="spellEnd"/>
      <w:r w:rsidR="00646EAC" w:rsidRPr="00F004AE">
        <w:t xml:space="preserve">, </w:t>
      </w:r>
      <w:r w:rsidR="00646EAC" w:rsidRPr="006D3A30">
        <w:t xml:space="preserve">measured as </w:t>
      </w:r>
      <w:r w:rsidR="009B27C7" w:rsidRPr="006D3A30">
        <w:t xml:space="preserve">the year-over-year change in </w:t>
      </w:r>
      <w:r w:rsidR="009B27C7" w:rsidRPr="00EC0B2C">
        <w:t xml:space="preserve">country-year GDP reported by </w:t>
      </w:r>
      <w:r w:rsidR="00646EAC" w:rsidRPr="00EC0B2C">
        <w:t xml:space="preserve">the World Bank, and (ii) </w:t>
      </w:r>
      <w:r w:rsidR="00646EAC" w:rsidRPr="00EC0B2C">
        <w:rPr>
          <w:i/>
        </w:rPr>
        <w:t>∆</w:t>
      </w:r>
      <w:proofErr w:type="spellStart"/>
      <w:r w:rsidR="00646EAC" w:rsidRPr="00EC0B2C">
        <w:rPr>
          <w:i/>
        </w:rPr>
        <w:t>MarketSize</w:t>
      </w:r>
      <w:r w:rsidR="00646EAC" w:rsidRPr="00EC0B2C">
        <w:rPr>
          <w:i/>
          <w:vertAlign w:val="subscript"/>
        </w:rPr>
        <w:t>t</w:t>
      </w:r>
      <w:proofErr w:type="spellEnd"/>
      <w:r w:rsidR="00646EAC" w:rsidRPr="00EC0B2C">
        <w:t>,</w:t>
      </w:r>
      <w:r w:rsidR="00646EAC" w:rsidRPr="00EC0B2C">
        <w:rPr>
          <w:rStyle w:val="apple-converted-space"/>
        </w:rPr>
        <w:t xml:space="preserve"> measured as </w:t>
      </w:r>
      <w:r w:rsidR="00646EAC" w:rsidRPr="00EC0B2C">
        <w:t xml:space="preserve">the </w:t>
      </w:r>
      <w:r w:rsidR="00495451">
        <w:t>two-digit NACE industry-country-year</w:t>
      </w:r>
      <w:r w:rsidR="00495451" w:rsidRPr="00EC0B2C">
        <w:t xml:space="preserve"> </w:t>
      </w:r>
      <w:r w:rsidR="00646EAC" w:rsidRPr="00EC0B2C">
        <w:t xml:space="preserve">sum of affiliate and independent affiliate sales in year </w:t>
      </w:r>
      <w:r w:rsidR="00646EAC" w:rsidRPr="00BD11E5">
        <w:rPr>
          <w:rStyle w:val="s1"/>
          <w:rFonts w:ascii="Times New Roman" w:hAnsi="Times New Roman"/>
          <w:i/>
          <w:sz w:val="24"/>
          <w:szCs w:val="24"/>
        </w:rPr>
        <w:t>t</w:t>
      </w:r>
      <w:r w:rsidR="00646EAC" w:rsidRPr="00BD11E5">
        <w:rPr>
          <w:rStyle w:val="apple-converted-space"/>
        </w:rPr>
        <w:t> </w:t>
      </w:r>
      <w:r w:rsidR="00646EAC" w:rsidRPr="00646EAC">
        <w:t>less the sum in year</w:t>
      </w:r>
      <w:r w:rsidR="00F004AE">
        <w:t xml:space="preserve"> </w:t>
      </w:r>
      <w:r w:rsidR="00646EAC" w:rsidRPr="00BD11E5">
        <w:rPr>
          <w:rStyle w:val="s1"/>
          <w:rFonts w:ascii="Times New Roman" w:hAnsi="Times New Roman"/>
          <w:i/>
          <w:sz w:val="24"/>
          <w:szCs w:val="24"/>
        </w:rPr>
        <w:t>t</w:t>
      </w:r>
      <w:r w:rsidR="00646EAC">
        <w:rPr>
          <w:i/>
        </w:rPr>
        <w:t>-</w:t>
      </w:r>
      <w:r w:rsidR="00646EAC" w:rsidRPr="00BD11E5">
        <w:rPr>
          <w:i/>
        </w:rPr>
        <w:t>1</w:t>
      </w:r>
      <w:r w:rsidR="00646EAC" w:rsidRPr="00F004AE">
        <w:t>, scaled by 1,000,000</w:t>
      </w:r>
      <w:r w:rsidR="001611CC">
        <w:t xml:space="preserve">. </w:t>
      </w:r>
      <w:r w:rsidR="00F004AE">
        <w:t xml:space="preserve">The indicator variable </w:t>
      </w:r>
      <w:proofErr w:type="spellStart"/>
      <w:r w:rsidR="00F004AE">
        <w:rPr>
          <w:i/>
        </w:rPr>
        <w:t>Loss</w:t>
      </w:r>
      <w:r w:rsidR="00F004AE" w:rsidRPr="00BD11E5">
        <w:rPr>
          <w:i/>
          <w:vertAlign w:val="subscript"/>
        </w:rPr>
        <w:t>it</w:t>
      </w:r>
      <w:proofErr w:type="spellEnd"/>
      <w:r w:rsidR="00F004AE">
        <w:rPr>
          <w:i/>
        </w:rPr>
        <w:t xml:space="preserve"> </w:t>
      </w:r>
      <w:r w:rsidR="00F004AE">
        <w:t>is equal to one if the affiliate reports EBIT less than zero, and zero otherwise.</w:t>
      </w:r>
    </w:p>
    <w:p w14:paraId="1E9AFB2C" w14:textId="7CF5596F" w:rsidR="008F0247" w:rsidRPr="00A80699" w:rsidRDefault="006D3A30" w:rsidP="00BD11E5">
      <w:pPr>
        <w:spacing w:line="480" w:lineRule="auto"/>
        <w:ind w:firstLine="720"/>
        <w:jc w:val="both"/>
      </w:pPr>
      <w:r>
        <w:t>The variables of interest are the tax incentive variable</w:t>
      </w:r>
      <w:r w:rsidR="00056848">
        <w:t>,</w:t>
      </w:r>
      <w:r>
        <w:t xml:space="preserve"> </w:t>
      </w:r>
      <w:proofErr w:type="spellStart"/>
      <w:r>
        <w:rPr>
          <w:i/>
        </w:rPr>
        <w:t>C</w:t>
      </w:r>
      <w:r w:rsidRPr="00BD11E5">
        <w:rPr>
          <w:i/>
          <w:vertAlign w:val="subscript"/>
        </w:rPr>
        <w:t>it</w:t>
      </w:r>
      <w:proofErr w:type="spellEnd"/>
      <w:r w:rsidR="00056848" w:rsidRPr="009133F4">
        <w:t>,</w:t>
      </w:r>
      <w:r w:rsidR="00056848">
        <w:rPr>
          <w:i/>
        </w:rPr>
        <w:t xml:space="preserve"> </w:t>
      </w:r>
      <w:r>
        <w:t xml:space="preserve">and its interaction with the firm </w:t>
      </w:r>
      <w:r w:rsidR="00000AC8">
        <w:t>fixed-effects</w:t>
      </w:r>
      <w:r>
        <w:t xml:space="preserve"> </w:t>
      </w:r>
      <w:r w:rsidR="001E607E">
        <w:t>vector</w:t>
      </w:r>
      <w:r w:rsidR="00056848">
        <w:t>,</w:t>
      </w:r>
      <w:r w:rsidR="001E607E">
        <w:t xml:space="preserve"> </w:t>
      </w:r>
      <w:proofErr w:type="spellStart"/>
      <w:r>
        <w:rPr>
          <w:i/>
        </w:rPr>
        <w:t>Firm</w:t>
      </w:r>
      <w:r w:rsidR="001E607E">
        <w:rPr>
          <w:i/>
          <w:vertAlign w:val="subscript"/>
        </w:rPr>
        <w:t>f</w:t>
      </w:r>
      <w:proofErr w:type="spellEnd"/>
      <w:r w:rsidRPr="00000AC8">
        <w:t>.</w:t>
      </w:r>
      <w:r w:rsidR="004B62B6" w:rsidRPr="00000AC8">
        <w:t xml:space="preserve"> </w:t>
      </w:r>
      <w:r w:rsidR="00000AC8">
        <w:t>T</w:t>
      </w:r>
      <w:r w:rsidR="004B62B6">
        <w:t>he interaction</w:t>
      </w:r>
      <w:r w:rsidR="000571DD">
        <w:t>s</w:t>
      </w:r>
      <w:r w:rsidR="004B62B6">
        <w:t xml:space="preserve"> between </w:t>
      </w:r>
      <w:proofErr w:type="spellStart"/>
      <w:r w:rsidR="004B62B6">
        <w:rPr>
          <w:i/>
        </w:rPr>
        <w:t>C</w:t>
      </w:r>
      <w:r w:rsidR="004B62B6" w:rsidRPr="00CE1ED6">
        <w:rPr>
          <w:i/>
          <w:vertAlign w:val="subscript"/>
        </w:rPr>
        <w:t>it</w:t>
      </w:r>
      <w:proofErr w:type="spellEnd"/>
      <w:r w:rsidR="004B62B6">
        <w:rPr>
          <w:i/>
        </w:rPr>
        <w:t xml:space="preserve"> </w:t>
      </w:r>
      <w:r w:rsidR="004B62B6">
        <w:t xml:space="preserve">and </w:t>
      </w:r>
      <w:proofErr w:type="spellStart"/>
      <w:r w:rsidR="004B62B6">
        <w:rPr>
          <w:i/>
        </w:rPr>
        <w:t>Firm</w:t>
      </w:r>
      <w:r w:rsidR="001E607E">
        <w:rPr>
          <w:i/>
          <w:vertAlign w:val="subscript"/>
        </w:rPr>
        <w:t>f</w:t>
      </w:r>
      <w:proofErr w:type="spellEnd"/>
      <w:r w:rsidR="004B62B6" w:rsidRPr="0042218F">
        <w:t xml:space="preserve"> </w:t>
      </w:r>
      <w:r w:rsidR="004B62B6">
        <w:t xml:space="preserve">capture the firm-specific </w:t>
      </w:r>
      <w:r w:rsidR="004B62B6">
        <w:lastRenderedPageBreak/>
        <w:t>deviation from the sample average sensitivity to tax incentives measured across all affiliate-years of the firm.</w:t>
      </w:r>
      <w:r w:rsidR="00000AC8" w:rsidRPr="00000AC8">
        <w:rPr>
          <w:rStyle w:val="FootnoteReference"/>
        </w:rPr>
        <w:footnoteReference w:id="8"/>
      </w:r>
      <w:r w:rsidR="004B62B6">
        <w:t xml:space="preserve"> </w:t>
      </w:r>
      <w:r w:rsidR="00E16427">
        <w:t xml:space="preserve">Because we expect reported income to be decreasing in the weighted-average tax rate differential of an affiliate, we expect </w:t>
      </w:r>
      <w:r w:rsidR="00E16427" w:rsidRPr="00AE0182">
        <w:rPr>
          <w:i/>
        </w:rPr>
        <w:t>β</w:t>
      </w:r>
      <w:r w:rsidR="00E16427">
        <w:rPr>
          <w:i/>
          <w:vertAlign w:val="subscript"/>
        </w:rPr>
        <w:t xml:space="preserve">7 </w:t>
      </w:r>
      <w:r w:rsidR="00E16427" w:rsidRPr="00BD11E5">
        <w:t xml:space="preserve">&lt; 0. </w:t>
      </w:r>
      <w:r w:rsidR="00E16427">
        <w:t>A negative coefficient on the firm-specific interaction suggests that the firm engages in more income shifting relative to the average sample firm</w:t>
      </w:r>
      <w:r w:rsidR="00B802CE">
        <w:t>, and vice versa</w:t>
      </w:r>
      <w:r w:rsidR="00E16427">
        <w:t xml:space="preserve">. </w:t>
      </w:r>
      <w:r w:rsidR="00E61780" w:rsidRPr="0042218F">
        <w:t xml:space="preserve">Following the language in Huizinga and </w:t>
      </w:r>
      <w:proofErr w:type="spellStart"/>
      <w:r w:rsidR="00E61780" w:rsidRPr="0042218F">
        <w:t>Laeven</w:t>
      </w:r>
      <w:proofErr w:type="spellEnd"/>
      <w:r w:rsidR="00E61780" w:rsidRPr="0042218F">
        <w:t xml:space="preserve"> (2008), we </w:t>
      </w:r>
      <w:r w:rsidR="004B62B6">
        <w:t>define the</w:t>
      </w:r>
      <w:r w:rsidR="00E61780" w:rsidRPr="0042218F">
        <w:t xml:space="preserve"> </w:t>
      </w:r>
      <w:r w:rsidR="004B62B6">
        <w:t xml:space="preserve">total </w:t>
      </w:r>
      <w:r w:rsidR="00E61780" w:rsidRPr="0042218F">
        <w:t xml:space="preserve">firm-level sensitivity to </w:t>
      </w:r>
      <w:r w:rsidR="008F0247">
        <w:t xml:space="preserve">tax </w:t>
      </w:r>
      <w:r w:rsidR="004B62B6">
        <w:t>incentives</w:t>
      </w:r>
      <w:r w:rsidR="00BF6B82">
        <w:t xml:space="preserve"> </w:t>
      </w:r>
      <w:proofErr w:type="spellStart"/>
      <w:r w:rsidR="00BF6B82">
        <w:t>γ</w:t>
      </w:r>
      <w:r w:rsidR="001E607E" w:rsidRPr="005661D0">
        <w:rPr>
          <w:i/>
          <w:vertAlign w:val="subscript"/>
        </w:rPr>
        <w:t>f</w:t>
      </w:r>
      <w:proofErr w:type="spellEnd"/>
      <w:r w:rsidR="008F0247">
        <w:t xml:space="preserve"> </w:t>
      </w:r>
      <w:r w:rsidR="00BF6B82">
        <w:rPr>
          <w:i/>
        </w:rPr>
        <w:t xml:space="preserve">= </w:t>
      </w:r>
      <w:r w:rsidR="008F0247" w:rsidRPr="00AE0182">
        <w:rPr>
          <w:i/>
        </w:rPr>
        <w:t>β</w:t>
      </w:r>
      <w:r w:rsidR="002C630C">
        <w:rPr>
          <w:i/>
          <w:vertAlign w:val="subscript"/>
        </w:rPr>
        <w:t>7</w:t>
      </w:r>
      <w:r w:rsidR="00A80699">
        <w:t xml:space="preserve"> </w:t>
      </w:r>
      <w:r w:rsidR="00BF6B82">
        <w:t>+</w:t>
      </w:r>
      <w:r w:rsidR="008F0247" w:rsidRPr="008F0247">
        <w:rPr>
          <w:i/>
        </w:rPr>
        <w:t xml:space="preserve"> </w:t>
      </w:r>
      <w:r w:rsidR="008F0247" w:rsidRPr="00AE0182">
        <w:rPr>
          <w:i/>
        </w:rPr>
        <w:t>β</w:t>
      </w:r>
      <w:r w:rsidR="008F0247">
        <w:rPr>
          <w:i/>
          <w:vertAlign w:val="subscript"/>
        </w:rPr>
        <w:t>1</w:t>
      </w:r>
      <w:r w:rsidR="002C630C">
        <w:rPr>
          <w:i/>
          <w:vertAlign w:val="subscript"/>
        </w:rPr>
        <w:t>1</w:t>
      </w:r>
      <w:proofErr w:type="gramStart"/>
      <w:r w:rsidR="001E607E">
        <w:rPr>
          <w:i/>
          <w:vertAlign w:val="subscript"/>
        </w:rPr>
        <w:t>,f</w:t>
      </w:r>
      <w:proofErr w:type="gramEnd"/>
      <w:r w:rsidR="00B973F4">
        <w:t xml:space="preserve">. </w:t>
      </w:r>
      <w:r w:rsidR="00361C07">
        <w:t xml:space="preserve">By construction, </w:t>
      </w:r>
      <w:proofErr w:type="spellStart"/>
      <w:r w:rsidR="00361C07">
        <w:t>γ</w:t>
      </w:r>
      <w:r w:rsidR="001E607E" w:rsidRPr="00A01E2F">
        <w:rPr>
          <w:i/>
          <w:vertAlign w:val="subscript"/>
        </w:rPr>
        <w:t>f</w:t>
      </w:r>
      <w:proofErr w:type="spellEnd"/>
      <w:r w:rsidR="00361C07">
        <w:t xml:space="preserve"> is a time-invariant firm characteristic, reflecting that costly tax avoidance like income shifting is likely long-term (“sticky”) in nature. </w:t>
      </w:r>
      <w:r w:rsidR="00B973F4">
        <w:t>We multiply</w:t>
      </w:r>
      <w:r w:rsidR="00E50A9F">
        <w:t xml:space="preserve"> </w:t>
      </w:r>
      <w:r w:rsidR="0031680C">
        <w:t xml:space="preserve">estimated </w:t>
      </w:r>
      <w:proofErr w:type="spellStart"/>
      <w:r w:rsidR="0031680C">
        <w:t>γ</w:t>
      </w:r>
      <w:r w:rsidR="001E607E" w:rsidRPr="00A01E2F">
        <w:rPr>
          <w:i/>
          <w:vertAlign w:val="subscript"/>
        </w:rPr>
        <w:t>f</w:t>
      </w:r>
      <w:proofErr w:type="spellEnd"/>
      <w:r w:rsidR="006E28BA">
        <w:t xml:space="preserve"> by negative one to create the</w:t>
      </w:r>
      <w:r w:rsidR="00E50A9F">
        <w:t xml:space="preserve"> empirical proxy </w:t>
      </w:r>
      <w:r w:rsidR="00E50A9F">
        <w:rPr>
          <w:i/>
        </w:rPr>
        <w:t>G</w:t>
      </w:r>
      <w:r w:rsidR="001E607E" w:rsidRPr="00A01E2F">
        <w:rPr>
          <w:i/>
          <w:vertAlign w:val="subscript"/>
        </w:rPr>
        <w:t>f</w:t>
      </w:r>
      <w:r w:rsidR="006E28BA">
        <w:rPr>
          <w:i/>
        </w:rPr>
        <w:t>,</w:t>
      </w:r>
      <w:r w:rsidR="00E50A9F">
        <w:rPr>
          <w:i/>
        </w:rPr>
        <w:t xml:space="preserve"> </w:t>
      </w:r>
      <w:r w:rsidR="006E28BA">
        <w:t>which</w:t>
      </w:r>
      <w:r w:rsidR="00E50A9F">
        <w:t xml:space="preserve"> is </w:t>
      </w:r>
      <w:r w:rsidR="00E50A9F" w:rsidRPr="00BD11E5">
        <w:rPr>
          <w:i/>
        </w:rPr>
        <w:t>increasing</w:t>
      </w:r>
      <w:r w:rsidR="00E50A9F">
        <w:t xml:space="preserve"> in income shifting aggressiveness</w:t>
      </w:r>
      <w:r w:rsidR="00A80699">
        <w:t>.</w:t>
      </w:r>
    </w:p>
    <w:p w14:paraId="67D872F9" w14:textId="16A28A70" w:rsidR="00945E80" w:rsidRDefault="00945E80" w:rsidP="008E2FB5">
      <w:pPr>
        <w:pStyle w:val="ListParagraph"/>
        <w:keepNext/>
        <w:spacing w:line="480" w:lineRule="auto"/>
        <w:ind w:left="0"/>
        <w:contextualSpacing w:val="0"/>
        <w:jc w:val="both"/>
        <w:outlineLvl w:val="0"/>
        <w:rPr>
          <w:b/>
        </w:rPr>
      </w:pPr>
      <w:r>
        <w:rPr>
          <w:b/>
        </w:rPr>
        <w:t>Sample</w:t>
      </w:r>
      <w:r w:rsidR="006D76C3">
        <w:rPr>
          <w:b/>
        </w:rPr>
        <w:t xml:space="preserve"> </w:t>
      </w:r>
      <w:r w:rsidR="004A1AEA">
        <w:rPr>
          <w:b/>
        </w:rPr>
        <w:t xml:space="preserve">for Estimating </w:t>
      </w:r>
      <w:r w:rsidR="004A1AEA">
        <w:rPr>
          <w:b/>
          <w:i/>
          <w:iCs/>
        </w:rPr>
        <w:t>G</w:t>
      </w:r>
    </w:p>
    <w:p w14:paraId="7D74E77C" w14:textId="6E539A85" w:rsidR="00680AEE" w:rsidRDefault="00571014" w:rsidP="00F17478">
      <w:pPr>
        <w:spacing w:line="480" w:lineRule="auto"/>
        <w:ind w:firstLine="720"/>
        <w:jc w:val="both"/>
      </w:pPr>
      <w:r>
        <w:t xml:space="preserve">The </w:t>
      </w:r>
      <w:proofErr w:type="spellStart"/>
      <w:r w:rsidR="00730145">
        <w:t>BvD</w:t>
      </w:r>
      <w:proofErr w:type="spellEnd"/>
      <w:r w:rsidR="0016452B">
        <w:t xml:space="preserve"> </w:t>
      </w:r>
      <w:r>
        <w:t xml:space="preserve">Osiris </w:t>
      </w:r>
      <w:r w:rsidR="0016452B">
        <w:t xml:space="preserve">database </w:t>
      </w:r>
      <w:r w:rsidR="0016452B" w:rsidRPr="00176999">
        <w:t>contain</w:t>
      </w:r>
      <w:r w:rsidR="0016452B">
        <w:t>s</w:t>
      </w:r>
      <w:r w:rsidR="0016452B" w:rsidRPr="00176999">
        <w:t xml:space="preserve"> financial</w:t>
      </w:r>
      <w:r w:rsidR="003511BE">
        <w:t>,</w:t>
      </w:r>
      <w:r w:rsidR="0016452B" w:rsidRPr="00176999">
        <w:t xml:space="preserve"> operating</w:t>
      </w:r>
      <w:r w:rsidR="003511BE">
        <w:t>, and ownership</w:t>
      </w:r>
      <w:r w:rsidR="0016452B" w:rsidRPr="00176999">
        <w:t xml:space="preserve"> </w:t>
      </w:r>
      <w:r w:rsidR="0016452B">
        <w:t>information</w:t>
      </w:r>
      <w:r w:rsidR="0016452B" w:rsidRPr="00176999">
        <w:t xml:space="preserve"> on </w:t>
      </w:r>
      <w:r w:rsidR="0016452B">
        <w:t xml:space="preserve">independent and affiliated </w:t>
      </w:r>
      <w:r w:rsidR="003511BE">
        <w:t xml:space="preserve">companies </w:t>
      </w:r>
      <w:r>
        <w:t>worldwide</w:t>
      </w:r>
      <w:r w:rsidR="0016452B" w:rsidRPr="00176999">
        <w:t xml:space="preserve">. </w:t>
      </w:r>
      <w:proofErr w:type="gramStart"/>
      <w:r w:rsidR="0016452B">
        <w:t>We use unconsolidated company information</w:t>
      </w:r>
      <w:r w:rsidR="003511BE">
        <w:t>, including annual ownership information,</w:t>
      </w:r>
      <w:r w:rsidR="0016452B">
        <w:t xml:space="preserve"> from </w:t>
      </w:r>
      <w:r>
        <w:t>Osiris</w:t>
      </w:r>
      <w:r w:rsidR="0016452B">
        <w:t xml:space="preserve"> </w:t>
      </w:r>
      <w:r w:rsidR="00BF15A1">
        <w:t xml:space="preserve">over the period 2002 to 2014 </w:t>
      </w:r>
      <w:r w:rsidR="00730145">
        <w:t xml:space="preserve">and equation (1) </w:t>
      </w:r>
      <w:r w:rsidR="0016452B">
        <w:t>to estimate γ</w:t>
      </w:r>
      <w:r w:rsidR="005734FE">
        <w:t>.</w:t>
      </w:r>
      <w:r w:rsidR="003511BE">
        <w:rPr>
          <w:rStyle w:val="FootnoteReference"/>
        </w:rPr>
        <w:footnoteReference w:id="9"/>
      </w:r>
      <w:r w:rsidR="005734FE">
        <w:t xml:space="preserve"> </w:t>
      </w:r>
      <w:r w:rsidR="00730145">
        <w:t xml:space="preserve">To remain in the sample </w:t>
      </w:r>
      <w:r w:rsidR="000047F8">
        <w:t xml:space="preserve">of Osiris affiliate-year observations </w:t>
      </w:r>
      <w:r w:rsidR="00730145">
        <w:t xml:space="preserve">on which we estimate γ, </w:t>
      </w:r>
      <w:r w:rsidR="00531FF7">
        <w:t xml:space="preserve">we require each multinational </w:t>
      </w:r>
      <w:r w:rsidR="00E964A6">
        <w:t>firm</w:t>
      </w:r>
      <w:r w:rsidR="00531FF7">
        <w:t>-year to contain at least two affiliates in different jurisdictions such that they have the ability to engage in tax-motivated income shifting.</w:t>
      </w:r>
      <w:proofErr w:type="gramEnd"/>
      <w:r w:rsidR="00531FF7">
        <w:t xml:space="preserve"> We then </w:t>
      </w:r>
      <w:r w:rsidR="00F81FC6">
        <w:t>restrict the sample to</w:t>
      </w:r>
      <w:r w:rsidR="00730145">
        <w:t xml:space="preserve"> </w:t>
      </w:r>
      <w:r w:rsidR="000047F8">
        <w:t xml:space="preserve">affiliates </w:t>
      </w:r>
      <w:r w:rsidR="00F81FC6">
        <w:t>having</w:t>
      </w:r>
      <w:r w:rsidR="000047F8">
        <w:t xml:space="preserve"> all variables </w:t>
      </w:r>
      <w:r w:rsidR="00F81FC6">
        <w:t>required</w:t>
      </w:r>
      <w:r w:rsidR="000047F8">
        <w:t xml:space="preserve"> </w:t>
      </w:r>
      <w:r w:rsidR="00F81FC6">
        <w:t>for</w:t>
      </w:r>
      <w:r w:rsidR="000047F8">
        <w:t xml:space="preserve"> estimation (</w:t>
      </w:r>
      <w:r w:rsidR="00000AC8">
        <w:t>ROA</w:t>
      </w:r>
      <w:r w:rsidR="000047F8">
        <w:t xml:space="preserve">, </w:t>
      </w:r>
      <w:r w:rsidR="00730145">
        <w:t>tangible fixed assets</w:t>
      </w:r>
      <w:r w:rsidR="000047F8">
        <w:t>, compensation expense,</w:t>
      </w:r>
      <w:r w:rsidR="00F81FC6">
        <w:t xml:space="preserve"> age,</w:t>
      </w:r>
      <w:r w:rsidR="000047F8">
        <w:t xml:space="preserve"> </w:t>
      </w:r>
      <w:r w:rsidR="00F81FC6">
        <w:t xml:space="preserve">change in </w:t>
      </w:r>
      <w:r w:rsidR="000047F8">
        <w:t xml:space="preserve">GDP, </w:t>
      </w:r>
      <w:r w:rsidR="00F81FC6">
        <w:t xml:space="preserve">change in market size, </w:t>
      </w:r>
      <w:r w:rsidR="0069105A">
        <w:rPr>
          <w:i/>
        </w:rPr>
        <w:t>C</w:t>
      </w:r>
      <w:r w:rsidR="000047F8">
        <w:t xml:space="preserve">, </w:t>
      </w:r>
      <w:r w:rsidR="00F81FC6">
        <w:t xml:space="preserve">industry code, and ROA plus </w:t>
      </w:r>
      <w:proofErr w:type="gramStart"/>
      <w:r w:rsidR="00F81FC6">
        <w:t>one</w:t>
      </w:r>
      <w:proofErr w:type="gramEnd"/>
      <w:r w:rsidR="00F81FC6">
        <w:t xml:space="preserve"> greater than zero). Following De Simone et al. (2017), we drop </w:t>
      </w:r>
      <w:r w:rsidR="00BF15A1">
        <w:t xml:space="preserve">firms in the banking and insurance industries and </w:t>
      </w:r>
      <w:r w:rsidR="00F81FC6">
        <w:t xml:space="preserve">affiliate-year observations belonging to multinational </w:t>
      </w:r>
      <w:r w:rsidR="00E964A6">
        <w:t>firm</w:t>
      </w:r>
      <w:r w:rsidR="00F81FC6">
        <w:t xml:space="preserve">s reporting </w:t>
      </w:r>
      <w:r w:rsidR="00F81FC6">
        <w:lastRenderedPageBreak/>
        <w:t xml:space="preserve">a consolidated return on sales of less than three percent, as these firms likely have significantly different </w:t>
      </w:r>
      <w:r w:rsidR="00C77552">
        <w:t>income shifting</w:t>
      </w:r>
      <w:r w:rsidR="00F81FC6">
        <w:t xml:space="preserve"> incentives. </w:t>
      </w:r>
      <w:r w:rsidR="00091111">
        <w:t xml:space="preserve">Using these </w:t>
      </w:r>
      <w:r w:rsidR="00290939">
        <w:t xml:space="preserve">sample </w:t>
      </w:r>
      <w:r w:rsidR="00091111">
        <w:t xml:space="preserve">selection </w:t>
      </w:r>
      <w:r w:rsidR="00290939">
        <w:t xml:space="preserve">criteria, our resulting sample for estimating γ contains </w:t>
      </w:r>
      <w:r w:rsidR="00E02827">
        <w:t>151,083</w:t>
      </w:r>
      <w:r w:rsidR="00290939" w:rsidRPr="00CD04EB">
        <w:t xml:space="preserve"> affiliate-years representing </w:t>
      </w:r>
      <w:r w:rsidR="00E02827">
        <w:t>5,610</w:t>
      </w:r>
      <w:r w:rsidR="004F4394" w:rsidRPr="00CD04EB">
        <w:t xml:space="preserve"> uniqu</w:t>
      </w:r>
      <w:r w:rsidR="004F4394">
        <w:t>e firms.</w:t>
      </w:r>
      <w:r w:rsidR="00A55DED">
        <w:t xml:space="preserve"> Table 1 details our sample selection process.</w:t>
      </w:r>
    </w:p>
    <w:p w14:paraId="6A30DD05" w14:textId="69379BEC" w:rsidR="008133A0" w:rsidRDefault="00BF15A1" w:rsidP="00C45A2C">
      <w:pPr>
        <w:spacing w:line="480" w:lineRule="auto"/>
        <w:jc w:val="center"/>
      </w:pPr>
      <w:r>
        <w:t>[</w:t>
      </w:r>
      <w:proofErr w:type="gramStart"/>
      <w:r>
        <w:t>insert</w:t>
      </w:r>
      <w:proofErr w:type="gramEnd"/>
      <w:r>
        <w:t xml:space="preserve"> T</w:t>
      </w:r>
      <w:r w:rsidR="00DC4E9E">
        <w:t>ables</w:t>
      </w:r>
      <w:r w:rsidR="008133A0">
        <w:t xml:space="preserve"> 1 and 2 here]</w:t>
      </w:r>
    </w:p>
    <w:p w14:paraId="00AAC21A" w14:textId="065301EE" w:rsidR="000B0E53" w:rsidRDefault="004F4394" w:rsidP="00D557C3">
      <w:pPr>
        <w:spacing w:line="480" w:lineRule="auto"/>
        <w:ind w:firstLine="720"/>
        <w:jc w:val="both"/>
      </w:pPr>
      <w:r>
        <w:t xml:space="preserve">We </w:t>
      </w:r>
      <w:r w:rsidR="000B0E53">
        <w:t>describe</w:t>
      </w:r>
      <w:r>
        <w:t xml:space="preserve"> the sample used for estimating equation (1) in Table </w:t>
      </w:r>
      <w:r w:rsidR="00A55DED">
        <w:t>2</w:t>
      </w:r>
      <w:r>
        <w:t>.</w:t>
      </w:r>
      <w:r w:rsidR="00A55DED">
        <w:t xml:space="preserve"> </w:t>
      </w:r>
      <w:r w:rsidR="000B0E53">
        <w:t xml:space="preserve">Panel </w:t>
      </w:r>
      <w:proofErr w:type="gramStart"/>
      <w:r w:rsidR="000B0E53">
        <w:t>A</w:t>
      </w:r>
      <w:proofErr w:type="gramEnd"/>
      <w:r w:rsidR="000B0E53">
        <w:t xml:space="preserve"> presents summary statistics of sample affiliate-years, including all variables used in estimation. Values not expressed as logs or ratios</w:t>
      </w:r>
      <w:r w:rsidR="00D557C3">
        <w:t xml:space="preserve"> are reported in $USD </w:t>
      </w:r>
      <w:proofErr w:type="gramStart"/>
      <w:r w:rsidR="00D557C3">
        <w:t>millions</w:t>
      </w:r>
      <w:proofErr w:type="gramEnd"/>
      <w:r w:rsidR="00D557C3">
        <w:t>.</w:t>
      </w:r>
      <w:r w:rsidR="001611CC">
        <w:t xml:space="preserve"> </w:t>
      </w:r>
      <w:r w:rsidR="00D557C3">
        <w:t xml:space="preserve">All variables are </w:t>
      </w:r>
      <w:proofErr w:type="spellStart"/>
      <w:r w:rsidR="00D557C3">
        <w:t>winsorized</w:t>
      </w:r>
      <w:proofErr w:type="spellEnd"/>
      <w:r w:rsidR="00D557C3">
        <w:t xml:space="preserve"> at one and 99 percent. </w:t>
      </w:r>
      <w:r w:rsidR="000B0E53">
        <w:t>Sample affiliate-years have mean (median) operating profits of $</w:t>
      </w:r>
      <w:r w:rsidR="00A30071">
        <w:t>9</w:t>
      </w:r>
      <w:r w:rsidR="00E02827">
        <w:t>.</w:t>
      </w:r>
      <w:r w:rsidR="00A30071">
        <w:t>07</w:t>
      </w:r>
      <w:r w:rsidR="000B0E53">
        <w:t xml:space="preserve"> ($0.96) million and ROA of </w:t>
      </w:r>
      <w:r w:rsidR="00B40F9C">
        <w:t>7</w:t>
      </w:r>
      <w:r w:rsidR="00E02827">
        <w:t>.</w:t>
      </w:r>
      <w:r w:rsidR="00A30071">
        <w:t>6</w:t>
      </w:r>
      <w:r w:rsidR="000B0E53">
        <w:t xml:space="preserve"> (6.4) percent</w:t>
      </w:r>
      <w:r w:rsidR="00C870CB">
        <w:t xml:space="preserve">, and 22 percent of the sample reports EBIT less than </w:t>
      </w:r>
      <w:proofErr w:type="gramStart"/>
      <w:r w:rsidR="00C870CB">
        <w:t>zero</w:t>
      </w:r>
      <w:proofErr w:type="gramEnd"/>
      <w:r w:rsidR="000B0E53">
        <w:t xml:space="preserve">. Sample </w:t>
      </w:r>
      <w:r w:rsidR="00D557C3">
        <w:t>affiliates</w:t>
      </w:r>
      <w:r w:rsidR="000B0E53">
        <w:t xml:space="preserve"> report mean (median) total assets of $</w:t>
      </w:r>
      <w:r w:rsidR="00A30071">
        <w:t>205</w:t>
      </w:r>
      <w:r w:rsidR="00FD1E5E">
        <w:t>.</w:t>
      </w:r>
      <w:r w:rsidR="00A30071">
        <w:t>7</w:t>
      </w:r>
      <w:r w:rsidR="000B0E53">
        <w:t xml:space="preserve"> ($</w:t>
      </w:r>
      <w:r w:rsidR="00E02827">
        <w:t>20</w:t>
      </w:r>
      <w:r w:rsidR="00FD1E5E">
        <w:t>.1</w:t>
      </w:r>
      <w:r w:rsidR="000B0E53">
        <w:t>) million, tangible fixed assets of $</w:t>
      </w:r>
      <w:r w:rsidR="00A30071">
        <w:t>25</w:t>
      </w:r>
      <w:r w:rsidR="00E02827">
        <w:t>.9</w:t>
      </w:r>
      <w:r w:rsidR="000B0E53">
        <w:t xml:space="preserve"> ($1.</w:t>
      </w:r>
      <w:r w:rsidR="00E02827">
        <w:t>2</w:t>
      </w:r>
      <w:r w:rsidR="000B0E53">
        <w:t>) million, and compensation expense of $</w:t>
      </w:r>
      <w:r w:rsidR="00A30071">
        <w:t>19</w:t>
      </w:r>
      <w:r w:rsidR="00FD1E5E">
        <w:t>.4</w:t>
      </w:r>
      <w:r w:rsidR="000B0E53">
        <w:t xml:space="preserve"> ($4.4) million</w:t>
      </w:r>
      <w:r w:rsidR="001611CC">
        <w:t xml:space="preserve">. </w:t>
      </w:r>
      <w:r w:rsidR="00C870CB">
        <w:t>By construc</w:t>
      </w:r>
      <w:r w:rsidR="000B0E53">
        <w:t xml:space="preserve">tion, the tax incentive variable </w:t>
      </w:r>
      <w:r w:rsidR="000B0E53">
        <w:rPr>
          <w:i/>
          <w:iCs/>
        </w:rPr>
        <w:t xml:space="preserve">C </w:t>
      </w:r>
      <w:r w:rsidR="000B0E53">
        <w:t xml:space="preserve">is roughly centered </w:t>
      </w:r>
      <w:proofErr w:type="gramStart"/>
      <w:r w:rsidR="000B0E53">
        <w:t>around</w:t>
      </w:r>
      <w:proofErr w:type="gramEnd"/>
      <w:r w:rsidR="000B0E53">
        <w:t xml:space="preserve"> zero; mean and median </w:t>
      </w:r>
      <w:r w:rsidR="000B0E53">
        <w:rPr>
          <w:i/>
          <w:iCs/>
        </w:rPr>
        <w:t xml:space="preserve">C </w:t>
      </w:r>
      <w:r w:rsidR="000B0E53">
        <w:t>are 0.002</w:t>
      </w:r>
      <w:r w:rsidR="00FD1E5E">
        <w:t xml:space="preserve"> and 0.001 respectively</w:t>
      </w:r>
      <w:r w:rsidR="000B0E53">
        <w:t xml:space="preserve">. </w:t>
      </w:r>
    </w:p>
    <w:p w14:paraId="5013F531" w14:textId="7A224B97" w:rsidR="00D557C3" w:rsidRDefault="00D557C3" w:rsidP="001B6F4A">
      <w:pPr>
        <w:spacing w:line="480" w:lineRule="auto"/>
        <w:ind w:firstLine="720"/>
        <w:jc w:val="both"/>
      </w:pPr>
      <w:r>
        <w:t xml:space="preserve">Panel B presents the number of affiliate-year observations by country in which the affiliate is located. France is the most represented country with </w:t>
      </w:r>
      <w:r w:rsidR="00FD1E5E">
        <w:t>30,906</w:t>
      </w:r>
      <w:r>
        <w:t xml:space="preserve"> affiliate-years, followed by the United Kingdom, Spain, and Germany. High representation among European countries is consistent with the requirement in the European Union </w:t>
      </w:r>
      <w:r w:rsidR="00995646">
        <w:t xml:space="preserve">(EU) </w:t>
      </w:r>
      <w:r>
        <w:t xml:space="preserve">that companies publicly disclose unconsolidated financial results for affiliates with limited liability. </w:t>
      </w:r>
      <w:r w:rsidR="00FD1E5E">
        <w:t xml:space="preserve">Barbados, </w:t>
      </w:r>
      <w:r w:rsidR="00474120">
        <w:t xml:space="preserve">Egypt, </w:t>
      </w:r>
      <w:r>
        <w:t xml:space="preserve">Jamaica, </w:t>
      </w:r>
      <w:r w:rsidR="00474120">
        <w:t>Macedonia</w:t>
      </w:r>
      <w:r w:rsidR="00FD1E5E">
        <w:t>, and Turkey</w:t>
      </w:r>
      <w:r>
        <w:t xml:space="preserve"> </w:t>
      </w:r>
      <w:proofErr w:type="gramStart"/>
      <w:r w:rsidR="009161E1">
        <w:t xml:space="preserve">are each </w:t>
      </w:r>
      <w:r w:rsidR="00474120">
        <w:t>represented</w:t>
      </w:r>
      <w:proofErr w:type="gramEnd"/>
      <w:r w:rsidR="00474120">
        <w:t xml:space="preserve"> by</w:t>
      </w:r>
      <w:r>
        <w:t xml:space="preserve"> only one affiliate-year</w:t>
      </w:r>
      <w:r w:rsidR="00474120">
        <w:t xml:space="preserve"> in our sample.</w:t>
      </w:r>
      <w:r w:rsidR="00896BAD">
        <w:t xml:space="preserve"> In </w:t>
      </w:r>
      <w:proofErr w:type="spellStart"/>
      <w:r w:rsidR="00896BAD">
        <w:t>untabulated</w:t>
      </w:r>
      <w:proofErr w:type="spellEnd"/>
      <w:r w:rsidR="00896BAD">
        <w:t xml:space="preserve"> descriptive analyses, </w:t>
      </w:r>
      <w:r w:rsidR="00E32750">
        <w:t xml:space="preserve">we examine the frequency of affiliate-years by the location of their parent, finding greatest </w:t>
      </w:r>
      <w:r w:rsidR="009161E1">
        <w:t xml:space="preserve">parent </w:t>
      </w:r>
      <w:r w:rsidR="00E32750">
        <w:t xml:space="preserve">representation in France, </w:t>
      </w:r>
      <w:r w:rsidR="001B6F4A">
        <w:t xml:space="preserve">followed by the U.S., Germany, and </w:t>
      </w:r>
      <w:r w:rsidR="00E32750">
        <w:t xml:space="preserve">the United Kingdom, and the least </w:t>
      </w:r>
      <w:r w:rsidR="009161E1">
        <w:t xml:space="preserve">parent </w:t>
      </w:r>
      <w:r w:rsidR="00E32750">
        <w:t xml:space="preserve">representation </w:t>
      </w:r>
      <w:r w:rsidR="001B6F4A">
        <w:t>in Argentina</w:t>
      </w:r>
      <w:r w:rsidR="006651FB">
        <w:t xml:space="preserve"> and</w:t>
      </w:r>
      <w:r w:rsidR="001B6F4A">
        <w:t xml:space="preserve"> Montenegro.</w:t>
      </w:r>
    </w:p>
    <w:p w14:paraId="25CD93CA" w14:textId="375CD4B4" w:rsidR="004A1AEA" w:rsidRPr="004A1AEA" w:rsidRDefault="004A1AEA" w:rsidP="008E2FB5">
      <w:pPr>
        <w:pStyle w:val="ListParagraph"/>
        <w:keepNext/>
        <w:spacing w:line="480" w:lineRule="auto"/>
        <w:ind w:left="0"/>
        <w:contextualSpacing w:val="0"/>
        <w:jc w:val="both"/>
        <w:outlineLvl w:val="0"/>
        <w:rPr>
          <w:b/>
          <w:i/>
          <w:iCs/>
        </w:rPr>
      </w:pPr>
      <w:r>
        <w:rPr>
          <w:b/>
        </w:rPr>
        <w:lastRenderedPageBreak/>
        <w:t xml:space="preserve">Results of Estimating </w:t>
      </w:r>
      <w:r>
        <w:rPr>
          <w:b/>
          <w:i/>
          <w:iCs/>
        </w:rPr>
        <w:t>G</w:t>
      </w:r>
    </w:p>
    <w:p w14:paraId="1BEF0B7A" w14:textId="5A86666A" w:rsidR="007A7B66" w:rsidRDefault="007A7B66" w:rsidP="007B6A16">
      <w:pPr>
        <w:spacing w:line="480" w:lineRule="auto"/>
        <w:ind w:firstLine="720"/>
        <w:jc w:val="both"/>
      </w:pPr>
      <w:r w:rsidRPr="007A7B66">
        <w:t xml:space="preserve">We report results of estimating equation (1) to obtain the empirical proxy for income shifting aggressiveness </w:t>
      </w:r>
      <w:r w:rsidRPr="007A7B66">
        <w:rPr>
          <w:i/>
        </w:rPr>
        <w:t xml:space="preserve">G </w:t>
      </w:r>
      <w:r w:rsidRPr="007A7B66">
        <w:t xml:space="preserve">in </w:t>
      </w:r>
      <w:r w:rsidR="006D5578" w:rsidRPr="007A7B66">
        <w:t>Table 3</w:t>
      </w:r>
      <w:r w:rsidRPr="007A7B66">
        <w:t xml:space="preserve">, Panel A. In the first three columns, we </w:t>
      </w:r>
      <w:r w:rsidR="006D5578" w:rsidRPr="007A7B66">
        <w:t xml:space="preserve">replicate </w:t>
      </w:r>
      <w:r w:rsidRPr="007A7B66">
        <w:t>the main result from De Simone et al.</w:t>
      </w:r>
      <w:r w:rsidR="006D5578" w:rsidRPr="007A7B66">
        <w:t xml:space="preserve"> </w:t>
      </w:r>
      <w:r w:rsidRPr="007A7B66">
        <w:t>(</w:t>
      </w:r>
      <w:r w:rsidR="006D5578" w:rsidRPr="007A7B66">
        <w:t>2017</w:t>
      </w:r>
      <w:r w:rsidRPr="007A7B66">
        <w:t xml:space="preserve">) </w:t>
      </w:r>
      <w:r w:rsidR="006D5578" w:rsidRPr="007A7B66">
        <w:t>Table 5</w:t>
      </w:r>
      <w:r w:rsidRPr="007A7B66">
        <w:t>, Panel B</w:t>
      </w:r>
      <w:r w:rsidR="001611CC">
        <w:t xml:space="preserve"> to validate our sample</w:t>
      </w:r>
      <w:r w:rsidRPr="007A7B66">
        <w:t xml:space="preserve">. </w:t>
      </w:r>
      <w:proofErr w:type="gramStart"/>
      <w:r w:rsidRPr="007A7B66">
        <w:t>Th</w:t>
      </w:r>
      <w:r>
        <w:t xml:space="preserve">ese </w:t>
      </w:r>
      <w:r w:rsidR="00354FFC">
        <w:t xml:space="preserve">three columns report results from estimating variants of equation (1) that exclude the firm indicator variables we will use to estimate </w:t>
      </w:r>
      <w:r w:rsidR="00354FFC">
        <w:rPr>
          <w:i/>
          <w:iCs/>
        </w:rPr>
        <w:t>G</w:t>
      </w:r>
      <w:r w:rsidR="00354FFC">
        <w:t xml:space="preserve">. Column (1) excludes the </w:t>
      </w:r>
      <w:r w:rsidR="00354FFC">
        <w:rPr>
          <w:i/>
          <w:iCs/>
        </w:rPr>
        <w:t xml:space="preserve">Loss </w:t>
      </w:r>
      <w:r w:rsidR="00354FFC">
        <w:t xml:space="preserve">indicator variable and its interaction </w:t>
      </w:r>
      <w:r w:rsidR="00942582">
        <w:t xml:space="preserve">with the tax incentive variable </w:t>
      </w:r>
      <w:r w:rsidR="00942582">
        <w:rPr>
          <w:i/>
          <w:iCs/>
        </w:rPr>
        <w:t>C</w:t>
      </w:r>
      <w:r w:rsidR="007B6A16">
        <w:t>,</w:t>
      </w:r>
      <w:r w:rsidR="00942582">
        <w:t xml:space="preserve"> </w:t>
      </w:r>
      <w:r w:rsidR="007B6A16">
        <w:t xml:space="preserve">Column (2) includes </w:t>
      </w:r>
      <w:r w:rsidR="007B6A16" w:rsidRPr="007B6A16">
        <w:t>th</w:t>
      </w:r>
      <w:r w:rsidR="007B6A16">
        <w:t xml:space="preserve">e </w:t>
      </w:r>
      <w:r w:rsidR="007B6A16">
        <w:rPr>
          <w:i/>
          <w:iCs/>
        </w:rPr>
        <w:t xml:space="preserve">Loss </w:t>
      </w:r>
      <w:r w:rsidR="007B6A16">
        <w:t xml:space="preserve">indicator variable but excludes its interaction with </w:t>
      </w:r>
      <w:r w:rsidR="007B6A16">
        <w:rPr>
          <w:i/>
          <w:iCs/>
        </w:rPr>
        <w:t xml:space="preserve">C, </w:t>
      </w:r>
      <w:r w:rsidR="007B6A16">
        <w:t xml:space="preserve">and Column (3) includes both the </w:t>
      </w:r>
      <w:r w:rsidR="007B6A16">
        <w:rPr>
          <w:i/>
          <w:iCs/>
        </w:rPr>
        <w:t xml:space="preserve">Loss </w:t>
      </w:r>
      <w:r w:rsidR="007B6A16">
        <w:t xml:space="preserve">indicator variable and its interaction with </w:t>
      </w:r>
      <w:r w:rsidR="001611CC">
        <w:rPr>
          <w:i/>
          <w:iCs/>
        </w:rPr>
        <w:t>C.</w:t>
      </w:r>
      <w:r w:rsidR="00942582">
        <w:t xml:space="preserve"> </w:t>
      </w:r>
      <w:r w:rsidR="001611CC">
        <w:t>Across all three columns, w</w:t>
      </w:r>
      <w:r w:rsidR="007B6A16">
        <w:t xml:space="preserve">e </w:t>
      </w:r>
      <w:r w:rsidR="001611CC">
        <w:t>estimate</w:t>
      </w:r>
      <w:r w:rsidR="007B6A16">
        <w:t xml:space="preserve"> </w:t>
      </w:r>
      <w:r w:rsidR="001611CC">
        <w:t>the same sign</w:t>
      </w:r>
      <w:r w:rsidR="007B6A16">
        <w:t xml:space="preserve"> and </w:t>
      </w:r>
      <w:r w:rsidR="001611CC">
        <w:t xml:space="preserve">similar </w:t>
      </w:r>
      <w:r w:rsidR="007B6A16">
        <w:t xml:space="preserve">magnitudes </w:t>
      </w:r>
      <w:r w:rsidR="001611CC">
        <w:t xml:space="preserve">as De Simone et al. (2017) </w:t>
      </w:r>
      <w:r w:rsidR="007B6A16">
        <w:t xml:space="preserve">for the coefficients on capital, labor, productivity, </w:t>
      </w:r>
      <w:r w:rsidR="001342B3">
        <w:t>and change in market size</w:t>
      </w:r>
      <w:r w:rsidR="001611CC">
        <w:t xml:space="preserve"> as well as the variables of interest.</w:t>
      </w:r>
      <w:proofErr w:type="gramEnd"/>
      <w:r w:rsidR="001611CC">
        <w:t xml:space="preserve"> Specifically, i</w:t>
      </w:r>
      <w:r w:rsidR="007B6A16">
        <w:t>n Columns (</w:t>
      </w:r>
      <w:r w:rsidR="00FF006F">
        <w:t>1</w:t>
      </w:r>
      <w:r w:rsidR="007B6A16">
        <w:t xml:space="preserve">) </w:t>
      </w:r>
      <w:r w:rsidR="00FF006F">
        <w:t>through</w:t>
      </w:r>
      <w:r w:rsidR="007B6A16">
        <w:t xml:space="preserve"> (3), we </w:t>
      </w:r>
      <w:r w:rsidR="001611CC">
        <w:t>estimate</w:t>
      </w:r>
      <w:r w:rsidR="007B6A16">
        <w:t xml:space="preserve"> negative and significant coefficients on </w:t>
      </w:r>
      <w:r w:rsidR="007B6A16">
        <w:rPr>
          <w:i/>
          <w:iCs/>
        </w:rPr>
        <w:t xml:space="preserve">C </w:t>
      </w:r>
      <w:r w:rsidR="007B6A16">
        <w:t xml:space="preserve">and </w:t>
      </w:r>
      <w:r w:rsidR="007B6A16">
        <w:rPr>
          <w:i/>
          <w:iCs/>
        </w:rPr>
        <w:t xml:space="preserve">Loss. </w:t>
      </w:r>
      <w:r w:rsidR="007B6A16">
        <w:t>In Column (3)</w:t>
      </w:r>
      <w:r w:rsidR="008067A9">
        <w:t>,</w:t>
      </w:r>
      <w:r w:rsidR="007B6A16">
        <w:t xml:space="preserve"> we </w:t>
      </w:r>
      <w:r w:rsidR="001611CC">
        <w:t>estimate</w:t>
      </w:r>
      <w:r w:rsidR="007B6A16">
        <w:t xml:space="preserve"> a positive and significant coefficient on the interaction between </w:t>
      </w:r>
      <w:r w:rsidR="007B6A16">
        <w:rPr>
          <w:i/>
          <w:iCs/>
        </w:rPr>
        <w:t xml:space="preserve">C </w:t>
      </w:r>
      <w:r w:rsidR="007B6A16">
        <w:t xml:space="preserve">and </w:t>
      </w:r>
      <w:r w:rsidR="007B6A16">
        <w:rPr>
          <w:i/>
          <w:iCs/>
        </w:rPr>
        <w:t xml:space="preserve">Loss, </w:t>
      </w:r>
      <w:r w:rsidR="001611CC">
        <w:rPr>
          <w:iCs/>
        </w:rPr>
        <w:t xml:space="preserve">consistent </w:t>
      </w:r>
      <w:r w:rsidR="007B6A16">
        <w:t xml:space="preserve">with the main finding in De Simone et al. (2017) that unprofitable affiliates exhibit less responsiveness to tax incentives than profitable affiliates, </w:t>
      </w:r>
      <w:r w:rsidR="00B350C0">
        <w:t xml:space="preserve">or </w:t>
      </w:r>
      <w:r w:rsidR="007B6A16">
        <w:t>a “shift-to-loss” income shifting strategy</w:t>
      </w:r>
      <w:r w:rsidR="001611CC">
        <w:t xml:space="preserve">. </w:t>
      </w:r>
      <w:r w:rsidR="00354FFC">
        <w:t xml:space="preserve"> </w:t>
      </w:r>
      <w:r>
        <w:t xml:space="preserve"> </w:t>
      </w:r>
      <w:r w:rsidR="006D5578" w:rsidRPr="007A7B66">
        <w:t xml:space="preserve"> </w:t>
      </w:r>
    </w:p>
    <w:p w14:paraId="24078BF9" w14:textId="77777777" w:rsidR="00056848" w:rsidRPr="00C00C05" w:rsidRDefault="00056848" w:rsidP="00C45A2C">
      <w:pPr>
        <w:spacing w:line="480" w:lineRule="auto"/>
        <w:jc w:val="center"/>
      </w:pPr>
      <w:r>
        <w:t>[</w:t>
      </w:r>
      <w:proofErr w:type="gramStart"/>
      <w:r>
        <w:t>insert</w:t>
      </w:r>
      <w:proofErr w:type="gramEnd"/>
      <w:r>
        <w:t xml:space="preserve"> Table 3 here]</w:t>
      </w:r>
    </w:p>
    <w:p w14:paraId="52FF4381" w14:textId="28338E73" w:rsidR="004A1AEA" w:rsidRPr="00570770" w:rsidRDefault="004A5F48" w:rsidP="00DE4EE3">
      <w:pPr>
        <w:spacing w:line="480" w:lineRule="auto"/>
        <w:ind w:firstLine="720"/>
        <w:jc w:val="both"/>
      </w:pPr>
      <w:r w:rsidRPr="00A410E8">
        <w:t>Having validated their model using our sample, we estimate equation (1) including firm indicator</w:t>
      </w:r>
      <w:r w:rsidR="00133F0D" w:rsidRPr="00A410E8">
        <w:t xml:space="preserve"> variable</w:t>
      </w:r>
      <w:r w:rsidRPr="00A410E8">
        <w:t xml:space="preserve">s and their interactions with </w:t>
      </w:r>
      <w:r w:rsidRPr="00A410E8">
        <w:rPr>
          <w:i/>
          <w:iCs/>
        </w:rPr>
        <w:t xml:space="preserve">Loss, C, </w:t>
      </w:r>
      <w:r w:rsidRPr="00A410E8">
        <w:t xml:space="preserve">and </w:t>
      </w:r>
      <w:r w:rsidRPr="00A410E8">
        <w:rPr>
          <w:i/>
          <w:iCs/>
        </w:rPr>
        <w:t xml:space="preserve">Loss*C. </w:t>
      </w:r>
      <w:r w:rsidR="00FD0840">
        <w:t xml:space="preserve">Column (4) reports these results. </w:t>
      </w:r>
      <w:r w:rsidR="00DE4EE3">
        <w:t xml:space="preserve">All four columns </w:t>
      </w:r>
      <w:proofErr w:type="gramStart"/>
      <w:r w:rsidR="00DE4EE3">
        <w:t>are estimated</w:t>
      </w:r>
      <w:proofErr w:type="gramEnd"/>
      <w:r w:rsidR="00DE4EE3">
        <w:t xml:space="preserve"> on the full sample of 151,083 affiliate-years (representing 5</w:t>
      </w:r>
      <w:r w:rsidR="00DE4EE3" w:rsidRPr="00194063">
        <w:t>,</w:t>
      </w:r>
      <w:r w:rsidR="00DE4EE3">
        <w:t>610</w:t>
      </w:r>
      <w:r w:rsidR="00DE4EE3" w:rsidRPr="00194063">
        <w:t xml:space="preserve"> unique firms</w:t>
      </w:r>
      <w:r w:rsidR="00DE4EE3">
        <w:t xml:space="preserve">) </w:t>
      </w:r>
      <w:r w:rsidR="00DE4EE3" w:rsidRPr="00A410E8">
        <w:t xml:space="preserve">to generate better estimates of the income shifting prediction model, including the sample average coefficient on </w:t>
      </w:r>
      <w:r w:rsidR="00DE4EE3" w:rsidRPr="00A410E8">
        <w:rPr>
          <w:i/>
          <w:iCs/>
        </w:rPr>
        <w:t>C</w:t>
      </w:r>
      <w:r w:rsidR="00DE4EE3" w:rsidRPr="00A410E8">
        <w:t xml:space="preserve"> to which to compare firm-specific tax-rate sensitivities</w:t>
      </w:r>
      <w:r w:rsidR="00DE4EE3">
        <w:t xml:space="preserve">. </w:t>
      </w:r>
      <w:r w:rsidR="009A1230">
        <w:t>I</w:t>
      </w:r>
      <w:r w:rsidR="00DE4EE3">
        <w:t>n Column (</w:t>
      </w:r>
      <w:proofErr w:type="gramStart"/>
      <w:r w:rsidR="00DE4EE3">
        <w:t>4)</w:t>
      </w:r>
      <w:proofErr w:type="gramEnd"/>
      <w:r w:rsidR="00DE4EE3">
        <w:t xml:space="preserve"> we include firm indicator variables</w:t>
      </w:r>
      <w:r w:rsidR="009A1230">
        <w:t>, but we</w:t>
      </w:r>
      <w:r w:rsidR="005661D0">
        <w:t xml:space="preserve"> only</w:t>
      </w:r>
      <w:r w:rsidR="009A1230">
        <w:t xml:space="preserve"> include </w:t>
      </w:r>
      <w:r w:rsidR="005661D0">
        <w:t>indicators</w:t>
      </w:r>
      <w:r w:rsidR="00DE4EE3">
        <w:t xml:space="preserve"> for the 2,243 unique </w:t>
      </w:r>
      <w:r w:rsidR="00DE4EE3">
        <w:lastRenderedPageBreak/>
        <w:t xml:space="preserve">firms with at least ten affiliate-years available to generate a firm-specific </w:t>
      </w:r>
      <w:r w:rsidR="005661D0">
        <w:t>coefficient</w:t>
      </w:r>
      <w:r w:rsidR="00DE4EE3">
        <w:t>.</w:t>
      </w:r>
      <w:r w:rsidR="00DE4EE3" w:rsidRPr="00A410E8">
        <w:rPr>
          <w:rStyle w:val="FootnoteReference"/>
        </w:rPr>
        <w:footnoteReference w:id="10"/>
      </w:r>
      <w:r w:rsidR="00DE4EE3">
        <w:t xml:space="preserve"> </w:t>
      </w:r>
      <w:r w:rsidRPr="00A410E8">
        <w:t>For parsimony, we do not report</w:t>
      </w:r>
      <w:r w:rsidR="00133F0D" w:rsidRPr="00A410E8">
        <w:t xml:space="preserve"> estimated coefficients on</w:t>
      </w:r>
      <w:r w:rsidRPr="00A410E8">
        <w:t xml:space="preserve"> </w:t>
      </w:r>
      <w:r w:rsidR="00133F0D" w:rsidRPr="00A410E8">
        <w:t>the</w:t>
      </w:r>
      <w:r w:rsidR="00DE4EE3">
        <w:t>se</w:t>
      </w:r>
      <w:r w:rsidRPr="00A410E8">
        <w:t xml:space="preserve"> 2,2</w:t>
      </w:r>
      <w:r w:rsidR="00FF006F">
        <w:t>43</w:t>
      </w:r>
      <w:r w:rsidRPr="00A410E8">
        <w:t xml:space="preserve"> firm</w:t>
      </w:r>
      <w:r w:rsidR="00133F0D" w:rsidRPr="00A410E8">
        <w:t xml:space="preserve"> indicator variable</w:t>
      </w:r>
      <w:r w:rsidRPr="00A410E8">
        <w:t>s</w:t>
      </w:r>
      <w:r w:rsidR="00DE4EE3">
        <w:t xml:space="preserve"> </w:t>
      </w:r>
      <w:r w:rsidR="00133F0D" w:rsidRPr="00A410E8">
        <w:t>or the interactions</w:t>
      </w:r>
      <w:r w:rsidRPr="00A410E8">
        <w:t>.</w:t>
      </w:r>
      <w:r w:rsidR="00133F0D" w:rsidRPr="00A410E8">
        <w:t xml:space="preserve"> </w:t>
      </w:r>
      <w:r w:rsidR="00A410E8">
        <w:t xml:space="preserve">After including these firm indicator variables and their interactions, we </w:t>
      </w:r>
      <w:r w:rsidR="00570770">
        <w:t xml:space="preserve">continue to find </w:t>
      </w:r>
      <w:r w:rsidR="00A410E8">
        <w:t>negative and significant coefficient</w:t>
      </w:r>
      <w:r w:rsidR="00570770">
        <w:t>s</w:t>
      </w:r>
      <w:r w:rsidR="00A410E8">
        <w:t xml:space="preserve"> on </w:t>
      </w:r>
      <w:r w:rsidR="00A410E8">
        <w:rPr>
          <w:i/>
          <w:iCs/>
        </w:rPr>
        <w:t>C</w:t>
      </w:r>
      <w:r w:rsidR="00570770">
        <w:rPr>
          <w:i/>
          <w:iCs/>
        </w:rPr>
        <w:t xml:space="preserve"> </w:t>
      </w:r>
      <w:r w:rsidR="00570770">
        <w:t xml:space="preserve">and </w:t>
      </w:r>
      <w:r w:rsidR="00570770">
        <w:rPr>
          <w:i/>
          <w:iCs/>
        </w:rPr>
        <w:t xml:space="preserve">Loss </w:t>
      </w:r>
      <w:r w:rsidR="008067A9">
        <w:t>and</w:t>
      </w:r>
      <w:r w:rsidR="00570770">
        <w:t xml:space="preserve"> a positive and significant coefficient on their interaction, consistent with prior results.</w:t>
      </w:r>
    </w:p>
    <w:p w14:paraId="54814DA8" w14:textId="6BA5F4B2" w:rsidR="005649A5" w:rsidRDefault="00727C18" w:rsidP="00222F3F">
      <w:pPr>
        <w:spacing w:line="480" w:lineRule="auto"/>
        <w:ind w:firstLine="720"/>
        <w:jc w:val="both"/>
      </w:pPr>
      <w:r w:rsidRPr="00DD1A5F">
        <w:t xml:space="preserve">In </w:t>
      </w:r>
      <w:r w:rsidR="006D5578" w:rsidRPr="00DD1A5F">
        <w:t>Panel B</w:t>
      </w:r>
      <w:r w:rsidR="00056848">
        <w:t xml:space="preserve"> of Table 3</w:t>
      </w:r>
      <w:r w:rsidRPr="00DD1A5F">
        <w:t xml:space="preserve">, we present descriptive statistics for the resulting empirical estimate of firm-specific sensitivity to tax incentives </w:t>
      </w:r>
      <w:r w:rsidRPr="00DD1A5F">
        <w:rPr>
          <w:i/>
          <w:iCs/>
        </w:rPr>
        <w:t xml:space="preserve">G. </w:t>
      </w:r>
      <w:r w:rsidRPr="00DD1A5F">
        <w:t xml:space="preserve">We measure </w:t>
      </w:r>
      <w:r w:rsidRPr="00DD1A5F">
        <w:rPr>
          <w:i/>
          <w:iCs/>
        </w:rPr>
        <w:t xml:space="preserve">G </w:t>
      </w:r>
      <w:r w:rsidRPr="00DD1A5F">
        <w:t xml:space="preserve">as the sum of the coefficient on the tax incentive variable </w:t>
      </w:r>
      <w:r w:rsidRPr="00DD1A5F">
        <w:rPr>
          <w:i/>
          <w:iCs/>
        </w:rPr>
        <w:t xml:space="preserve">C </w:t>
      </w:r>
      <w:r w:rsidRPr="00DD1A5F">
        <w:t xml:space="preserve">and its interaction with the firm indicator variable, multiplied by negative one such that </w:t>
      </w:r>
      <w:r w:rsidRPr="00DD1A5F">
        <w:rPr>
          <w:i/>
          <w:iCs/>
        </w:rPr>
        <w:t xml:space="preserve">G </w:t>
      </w:r>
      <w:r w:rsidRPr="00DD1A5F">
        <w:t xml:space="preserve">is </w:t>
      </w:r>
      <w:r w:rsidRPr="00DD1A5F">
        <w:rPr>
          <w:i/>
          <w:iCs/>
        </w:rPr>
        <w:t xml:space="preserve">increasing </w:t>
      </w:r>
      <w:r w:rsidRPr="00DD1A5F">
        <w:t xml:space="preserve">in income shifting aggressiveness. </w:t>
      </w:r>
      <w:r w:rsidR="00DD1A5F" w:rsidRPr="00DD1A5F">
        <w:t xml:space="preserve">The resulting measure is positive at the mean and median, consistent with firms on average responding to </w:t>
      </w:r>
      <w:r w:rsidR="00F3456C">
        <w:t xml:space="preserve">explicit </w:t>
      </w:r>
      <w:r w:rsidR="00DD1A5F" w:rsidRPr="00DD1A5F">
        <w:t xml:space="preserve">tax incentives when reporting affiliate profitability. </w:t>
      </w:r>
      <w:r w:rsidR="008067A9">
        <w:t xml:space="preserve">In economic terms, the mean value of </w:t>
      </w:r>
      <w:r w:rsidR="008067A9">
        <w:rPr>
          <w:i/>
          <w:iCs/>
        </w:rPr>
        <w:t>G</w:t>
      </w:r>
      <w:r w:rsidR="008067A9">
        <w:t xml:space="preserve"> (0.</w:t>
      </w:r>
      <w:r w:rsidR="003856B1">
        <w:t>240</w:t>
      </w:r>
      <w:r w:rsidR="008067A9">
        <w:t xml:space="preserve">) translates to a semi-elasticity of </w:t>
      </w:r>
      <w:r w:rsidR="00222F3F">
        <w:t xml:space="preserve">reported ROA of </w:t>
      </w:r>
      <w:r w:rsidR="00B957CB">
        <w:t>-</w:t>
      </w:r>
      <w:r w:rsidR="00542113">
        <w:t>3.</w:t>
      </w:r>
      <w:r w:rsidR="00672105">
        <w:t>3</w:t>
      </w:r>
      <w:r w:rsidR="00542113">
        <w:t>8</w:t>
      </w:r>
      <w:r w:rsidR="00964411">
        <w:t xml:space="preserve"> </w:t>
      </w:r>
      <w:r w:rsidR="002D2E5D">
        <w:t>at the mean ROA</w:t>
      </w:r>
      <w:r w:rsidR="008067A9">
        <w:t xml:space="preserve">. </w:t>
      </w:r>
      <w:r w:rsidR="00DD1A5F">
        <w:t xml:space="preserve">In contrast, we estimate a negative </w:t>
      </w:r>
      <w:r w:rsidR="00DD1A5F">
        <w:rPr>
          <w:i/>
          <w:iCs/>
        </w:rPr>
        <w:t xml:space="preserve">G </w:t>
      </w:r>
      <w:r w:rsidR="00DD1A5F">
        <w:t xml:space="preserve">for </w:t>
      </w:r>
      <w:r w:rsidR="00964411">
        <w:t>4</w:t>
      </w:r>
      <w:r w:rsidR="00542113">
        <w:t>4</w:t>
      </w:r>
      <w:r w:rsidR="00964411">
        <w:t xml:space="preserve"> percent</w:t>
      </w:r>
      <w:r w:rsidR="002D2E5D">
        <w:t xml:space="preserve"> of the firms in our sample</w:t>
      </w:r>
      <w:r w:rsidR="00DD1A5F">
        <w:t xml:space="preserve">, </w:t>
      </w:r>
      <w:r w:rsidR="00A93ED7">
        <w:t>which suggests</w:t>
      </w:r>
      <w:r w:rsidR="00DD1A5F">
        <w:t xml:space="preserve"> these firms respond more </w:t>
      </w:r>
      <w:proofErr w:type="gramStart"/>
      <w:r w:rsidR="00DD1A5F">
        <w:t>to</w:t>
      </w:r>
      <w:proofErr w:type="gramEnd"/>
      <w:r w:rsidR="00672105" w:rsidRPr="00672105">
        <w:t xml:space="preserve"> </w:t>
      </w:r>
      <w:r w:rsidR="00672105">
        <w:t>implicit tax</w:t>
      </w:r>
      <w:r w:rsidR="00672105" w:rsidRPr="00E66C11">
        <w:t xml:space="preserve"> </w:t>
      </w:r>
      <w:r w:rsidR="00672105">
        <w:t>incentives</w:t>
      </w:r>
      <w:r w:rsidR="00A93ED7">
        <w:t xml:space="preserve">, </w:t>
      </w:r>
      <w:r w:rsidR="001E607E">
        <w:t xml:space="preserve">consistent with </w:t>
      </w:r>
      <w:proofErr w:type="spellStart"/>
      <w:r w:rsidR="001E607E">
        <w:t>Markle</w:t>
      </w:r>
      <w:proofErr w:type="spellEnd"/>
      <w:r w:rsidR="001E607E">
        <w:t xml:space="preserve"> et al. </w:t>
      </w:r>
      <w:r w:rsidR="00A93ED7">
        <w:t>(</w:t>
      </w:r>
      <w:r w:rsidR="001E607E">
        <w:t>2017)</w:t>
      </w:r>
      <w:r w:rsidR="00DD1A5F">
        <w:t>.</w:t>
      </w:r>
      <w:r w:rsidR="008F05C3">
        <w:t xml:space="preserve"> We also report the distribution of affiliate-years included in each of the 2,2</w:t>
      </w:r>
      <w:r w:rsidR="00542113">
        <w:t>43</w:t>
      </w:r>
      <w:r w:rsidR="008F05C3">
        <w:t xml:space="preserve"> unique </w:t>
      </w:r>
      <w:r w:rsidR="00E964A6">
        <w:t>multinational firm</w:t>
      </w:r>
      <w:r w:rsidR="008F05C3">
        <w:t xml:space="preserve">s for which we estimate </w:t>
      </w:r>
      <w:r w:rsidR="008F05C3">
        <w:rPr>
          <w:i/>
          <w:iCs/>
        </w:rPr>
        <w:t>G</w:t>
      </w:r>
      <w:r w:rsidR="008F05C3">
        <w:t xml:space="preserve">. </w:t>
      </w:r>
      <w:r w:rsidR="00067D79">
        <w:t>At the mean (median), we include 5</w:t>
      </w:r>
      <w:r w:rsidR="00542113">
        <w:t>9</w:t>
      </w:r>
      <w:r w:rsidR="00067D79">
        <w:t xml:space="preserve"> (28) affilia</w:t>
      </w:r>
      <w:r w:rsidR="00562693">
        <w:t xml:space="preserve">te-years for each unique </w:t>
      </w:r>
      <w:r w:rsidR="00E964A6">
        <w:t>firm</w:t>
      </w:r>
      <w:r w:rsidR="00562693">
        <w:t>.</w:t>
      </w:r>
    </w:p>
    <w:p w14:paraId="3065C846" w14:textId="7F8D0470" w:rsidR="006D5578" w:rsidRPr="008F05C3" w:rsidRDefault="006D5578" w:rsidP="00222F3F">
      <w:pPr>
        <w:spacing w:line="480" w:lineRule="auto"/>
        <w:ind w:firstLine="720"/>
        <w:jc w:val="both"/>
      </w:pPr>
    </w:p>
    <w:p w14:paraId="1397B8EB" w14:textId="5AAB83BF" w:rsidR="004A1AEA" w:rsidRDefault="004A1AEA" w:rsidP="008067A9">
      <w:pPr>
        <w:pStyle w:val="ListParagraph"/>
        <w:keepNext/>
        <w:numPr>
          <w:ilvl w:val="0"/>
          <w:numId w:val="8"/>
        </w:numPr>
        <w:spacing w:line="480" w:lineRule="auto"/>
        <w:contextualSpacing w:val="0"/>
        <w:jc w:val="center"/>
        <w:rPr>
          <w:b/>
        </w:rPr>
      </w:pPr>
      <w:r>
        <w:rPr>
          <w:b/>
        </w:rPr>
        <w:t>Hypothesis Test</w:t>
      </w:r>
    </w:p>
    <w:p w14:paraId="3E9DBF1A" w14:textId="6A00E10A" w:rsidR="004A1AEA" w:rsidRPr="00BD11E5" w:rsidRDefault="004A1AEA" w:rsidP="008067A9">
      <w:pPr>
        <w:pStyle w:val="ListParagraph"/>
        <w:keepNext/>
        <w:spacing w:line="480" w:lineRule="auto"/>
        <w:ind w:left="0"/>
        <w:contextualSpacing w:val="0"/>
        <w:jc w:val="both"/>
        <w:outlineLvl w:val="0"/>
        <w:rPr>
          <w:b/>
        </w:rPr>
      </w:pPr>
      <w:r>
        <w:rPr>
          <w:b/>
        </w:rPr>
        <w:t>Research Design</w:t>
      </w:r>
    </w:p>
    <w:p w14:paraId="44B916F8" w14:textId="74453F49" w:rsidR="004A1AEA" w:rsidRPr="0042218F" w:rsidRDefault="004A1AEA" w:rsidP="001E607E">
      <w:pPr>
        <w:spacing w:line="480" w:lineRule="auto"/>
        <w:ind w:firstLine="720"/>
        <w:jc w:val="both"/>
      </w:pPr>
      <w:r>
        <w:t xml:space="preserve">To examine the relation between income shifting aggressiveness and investment, we </w:t>
      </w:r>
      <w:r w:rsidR="00600369">
        <w:t xml:space="preserve">first </w:t>
      </w:r>
      <w:r w:rsidR="00056848">
        <w:t xml:space="preserve">estimate </w:t>
      </w:r>
      <w:r w:rsidRPr="0042218F">
        <w:t xml:space="preserve">the following </w:t>
      </w:r>
      <w:r w:rsidR="005D3951">
        <w:t xml:space="preserve">industry-year </w:t>
      </w:r>
      <w:r w:rsidRPr="0042218F">
        <w:t>model</w:t>
      </w:r>
      <w:r w:rsidR="00600369">
        <w:t xml:space="preserve"> for the determinants of investment</w:t>
      </w:r>
      <w:r w:rsidR="00056848">
        <w:t>:</w:t>
      </w:r>
    </w:p>
    <w:p w14:paraId="0BB30FB9" w14:textId="75211391" w:rsidR="004A1AEA" w:rsidRPr="0042218F" w:rsidRDefault="004A1AEA" w:rsidP="004A1AEA">
      <w:pPr>
        <w:spacing w:line="480" w:lineRule="auto"/>
        <w:jc w:val="right"/>
      </w:pPr>
      <w:proofErr w:type="spellStart"/>
      <w:r w:rsidRPr="0042218F">
        <w:rPr>
          <w:i/>
        </w:rPr>
        <w:t>INV</w:t>
      </w:r>
      <w:r w:rsidR="001342B3">
        <w:rPr>
          <w:i/>
          <w:vertAlign w:val="subscript"/>
        </w:rPr>
        <w:t>f</w:t>
      </w:r>
      <w:r w:rsidRPr="0042218F">
        <w:rPr>
          <w:i/>
          <w:vertAlign w:val="subscript"/>
        </w:rPr>
        <w:t>t</w:t>
      </w:r>
      <w:proofErr w:type="spellEnd"/>
      <w:r w:rsidRPr="0042218F">
        <w:rPr>
          <w:i/>
        </w:rPr>
        <w:t xml:space="preserve"> = </w:t>
      </w:r>
      <w:r>
        <w:rPr>
          <w:i/>
        </w:rPr>
        <w:sym w:font="Symbol" w:char="F064"/>
      </w:r>
      <w:r w:rsidRPr="00BD11E5">
        <w:rPr>
          <w:i/>
          <w:vertAlign w:val="subscript"/>
        </w:rPr>
        <w:t>0</w:t>
      </w:r>
      <w:r w:rsidRPr="0042218F">
        <w:rPr>
          <w:i/>
        </w:rPr>
        <w:t xml:space="preserve"> + </w:t>
      </w:r>
      <w:r>
        <w:rPr>
          <w:i/>
        </w:rPr>
        <w:sym w:font="Symbol" w:char="F064"/>
      </w:r>
      <w:r w:rsidRPr="0042218F">
        <w:rPr>
          <w:i/>
          <w:vertAlign w:val="subscript"/>
        </w:rPr>
        <w:t>1</w:t>
      </w:r>
      <w:r w:rsidRPr="0042218F">
        <w:rPr>
          <w:i/>
        </w:rPr>
        <w:t xml:space="preserve"> Q + </w:t>
      </w:r>
      <w:r>
        <w:rPr>
          <w:i/>
        </w:rPr>
        <w:sym w:font="Symbol" w:char="F064"/>
      </w:r>
      <w:r w:rsidRPr="0042218F">
        <w:rPr>
          <w:i/>
          <w:vertAlign w:val="subscript"/>
        </w:rPr>
        <w:t>2</w:t>
      </w:r>
      <w:r w:rsidRPr="0042218F">
        <w:rPr>
          <w:i/>
        </w:rPr>
        <w:t xml:space="preserve"> </w:t>
      </w:r>
      <w:proofErr w:type="spellStart"/>
      <w:r w:rsidRPr="0042218F">
        <w:rPr>
          <w:i/>
        </w:rPr>
        <w:t>CF</w:t>
      </w:r>
      <w:r w:rsidR="001342B3">
        <w:rPr>
          <w:i/>
          <w:vertAlign w:val="subscript"/>
        </w:rPr>
        <w:t>f</w:t>
      </w:r>
      <w:r w:rsidRPr="0042218F">
        <w:rPr>
          <w:i/>
          <w:vertAlign w:val="subscript"/>
        </w:rPr>
        <w:t>t</w:t>
      </w:r>
      <w:proofErr w:type="spellEnd"/>
      <w:r w:rsidRPr="0042218F">
        <w:rPr>
          <w:i/>
        </w:rPr>
        <w:t xml:space="preserve"> + </w:t>
      </w:r>
      <w:r>
        <w:rPr>
          <w:i/>
        </w:rPr>
        <w:sym w:font="Symbol" w:char="F064"/>
      </w:r>
      <w:r w:rsidRPr="0042218F">
        <w:rPr>
          <w:i/>
          <w:vertAlign w:val="subscript"/>
        </w:rPr>
        <w:t>3</w:t>
      </w:r>
      <w:r w:rsidRPr="0042218F">
        <w:rPr>
          <w:i/>
        </w:rPr>
        <w:t xml:space="preserve"> </w:t>
      </w:r>
      <w:r w:rsidR="00056848">
        <w:rPr>
          <w:i/>
        </w:rPr>
        <w:t>LogAT</w:t>
      </w:r>
      <w:r w:rsidR="001342B3">
        <w:rPr>
          <w:i/>
          <w:vertAlign w:val="subscript"/>
        </w:rPr>
        <w:t>f</w:t>
      </w:r>
      <w:r w:rsidRPr="0042218F">
        <w:rPr>
          <w:i/>
          <w:vertAlign w:val="subscript"/>
        </w:rPr>
        <w:t>t</w:t>
      </w:r>
      <w:r w:rsidR="00056848">
        <w:rPr>
          <w:i/>
          <w:vertAlign w:val="subscript"/>
        </w:rPr>
        <w:t>-1</w:t>
      </w:r>
      <w:r w:rsidRPr="0042218F">
        <w:rPr>
          <w:i/>
        </w:rPr>
        <w:t xml:space="preserve"> </w:t>
      </w:r>
      <w:r w:rsidR="00056848" w:rsidRPr="0042218F">
        <w:rPr>
          <w:i/>
        </w:rPr>
        <w:t xml:space="preserve">+ </w:t>
      </w:r>
      <w:r w:rsidR="00056848">
        <w:rPr>
          <w:i/>
        </w:rPr>
        <w:sym w:font="Symbol" w:char="F064"/>
      </w:r>
      <w:r w:rsidR="00056848">
        <w:rPr>
          <w:i/>
          <w:vertAlign w:val="subscript"/>
        </w:rPr>
        <w:t>4</w:t>
      </w:r>
      <w:r w:rsidR="00056848" w:rsidRPr="0042218F">
        <w:rPr>
          <w:i/>
        </w:rPr>
        <w:t xml:space="preserve"> </w:t>
      </w:r>
      <w:r w:rsidR="00056848">
        <w:rPr>
          <w:i/>
        </w:rPr>
        <w:t>ROA</w:t>
      </w:r>
      <w:r w:rsidR="00056848">
        <w:rPr>
          <w:i/>
          <w:vertAlign w:val="subscript"/>
        </w:rPr>
        <w:t>f</w:t>
      </w:r>
      <w:r w:rsidR="00056848" w:rsidRPr="0042218F">
        <w:rPr>
          <w:i/>
          <w:vertAlign w:val="subscript"/>
        </w:rPr>
        <w:t>t</w:t>
      </w:r>
      <w:r w:rsidR="00056848">
        <w:rPr>
          <w:i/>
          <w:vertAlign w:val="subscript"/>
        </w:rPr>
        <w:t>-1</w:t>
      </w:r>
      <w:r w:rsidR="00056848" w:rsidRPr="0042218F">
        <w:rPr>
          <w:i/>
        </w:rPr>
        <w:t xml:space="preserve"> </w:t>
      </w:r>
      <w:r w:rsidR="00C45A2C" w:rsidRPr="0042218F">
        <w:rPr>
          <w:i/>
        </w:rPr>
        <w:t xml:space="preserve">+ </w:t>
      </w:r>
      <w:r w:rsidR="00C45A2C">
        <w:rPr>
          <w:i/>
        </w:rPr>
        <w:sym w:font="Symbol" w:char="F064"/>
      </w:r>
      <w:r w:rsidR="00C45A2C">
        <w:rPr>
          <w:i/>
          <w:vertAlign w:val="subscript"/>
        </w:rPr>
        <w:t>5</w:t>
      </w:r>
      <w:r w:rsidR="00C45A2C" w:rsidRPr="0042218F">
        <w:rPr>
          <w:i/>
        </w:rPr>
        <w:t xml:space="preserve"> </w:t>
      </w:r>
      <w:r w:rsidR="00C45A2C" w:rsidRPr="008F0247">
        <w:rPr>
          <w:i/>
        </w:rPr>
        <w:t>G</w:t>
      </w:r>
      <w:r w:rsidR="00C45A2C">
        <w:rPr>
          <w:i/>
          <w:vertAlign w:val="subscript"/>
        </w:rPr>
        <w:t>f</w:t>
      </w:r>
      <w:r w:rsidR="00C45A2C" w:rsidRPr="0042218F">
        <w:rPr>
          <w:i/>
        </w:rPr>
        <w:t xml:space="preserve"> </w:t>
      </w:r>
      <w:r w:rsidRPr="0042218F">
        <w:rPr>
          <w:i/>
        </w:rPr>
        <w:t xml:space="preserve">+ </w:t>
      </w:r>
      <w:proofErr w:type="spellStart"/>
      <w:r w:rsidRPr="0042218F">
        <w:rPr>
          <w:i/>
        </w:rPr>
        <w:t>ε</w:t>
      </w:r>
      <w:r w:rsidR="001342B3">
        <w:rPr>
          <w:i/>
          <w:vertAlign w:val="subscript"/>
        </w:rPr>
        <w:t>f</w:t>
      </w:r>
      <w:r w:rsidRPr="0042218F">
        <w:rPr>
          <w:i/>
          <w:vertAlign w:val="subscript"/>
        </w:rPr>
        <w:t>t</w:t>
      </w:r>
      <w:proofErr w:type="spellEnd"/>
      <w:r>
        <w:rPr>
          <w:i/>
          <w:vertAlign w:val="subscript"/>
        </w:rPr>
        <w:tab/>
      </w:r>
      <w:r>
        <w:rPr>
          <w:i/>
          <w:vertAlign w:val="subscript"/>
        </w:rPr>
        <w:tab/>
      </w:r>
      <w:r w:rsidR="00C367B5">
        <w:rPr>
          <w:i/>
          <w:vertAlign w:val="subscript"/>
        </w:rPr>
        <w:tab/>
      </w:r>
      <w:r w:rsidRPr="004E0E44">
        <w:t>(</w:t>
      </w:r>
      <w:r>
        <w:t>2</w:t>
      </w:r>
      <w:r w:rsidRPr="004E0E44">
        <w:t>)</w:t>
      </w:r>
    </w:p>
    <w:p w14:paraId="6243BF54" w14:textId="25064374" w:rsidR="00A277CD" w:rsidRDefault="004A1AEA" w:rsidP="0098351A">
      <w:pPr>
        <w:spacing w:line="480" w:lineRule="auto"/>
        <w:jc w:val="both"/>
      </w:pPr>
      <w:r>
        <w:lastRenderedPageBreak/>
        <w:t xml:space="preserve">We obtain all variables from </w:t>
      </w:r>
      <w:proofErr w:type="spellStart"/>
      <w:r w:rsidRPr="000123C6">
        <w:rPr>
          <w:i/>
        </w:rPr>
        <w:t>Compustat</w:t>
      </w:r>
      <w:proofErr w:type="spellEnd"/>
      <w:r w:rsidRPr="000123C6">
        <w:rPr>
          <w:i/>
        </w:rPr>
        <w:t xml:space="preserve"> North America</w:t>
      </w:r>
      <w:r>
        <w:t xml:space="preserve"> and </w:t>
      </w:r>
      <w:r w:rsidRPr="000123C6">
        <w:rPr>
          <w:i/>
        </w:rPr>
        <w:t>Global</w:t>
      </w:r>
      <w:r>
        <w:t xml:space="preserve">. </w:t>
      </w:r>
      <w:r w:rsidR="00BE048D">
        <w:t xml:space="preserve">Our model specification </w:t>
      </w:r>
      <w:proofErr w:type="gramStart"/>
      <w:r w:rsidR="00BE048D">
        <w:t>is informed</w:t>
      </w:r>
      <w:proofErr w:type="gramEnd"/>
      <w:r w:rsidR="00BE048D">
        <w:t xml:space="preserve"> by prior research, as well our intent to test the model using affiliate-level data, which imposes numerous data constraints. </w:t>
      </w:r>
      <w:r w:rsidR="00600369">
        <w:t xml:space="preserve">We </w:t>
      </w:r>
      <w:r w:rsidR="00A277CD">
        <w:t>specify two proxies for the dependent variable,</w:t>
      </w:r>
      <w:r w:rsidR="00A277CD" w:rsidRPr="0042218F">
        <w:t xml:space="preserve"> </w:t>
      </w:r>
      <w:proofErr w:type="spellStart"/>
      <w:r w:rsidR="00A277CD" w:rsidRPr="0042218F">
        <w:rPr>
          <w:i/>
        </w:rPr>
        <w:t>INV</w:t>
      </w:r>
      <w:r w:rsidR="00A277CD">
        <w:rPr>
          <w:i/>
          <w:vertAlign w:val="subscript"/>
        </w:rPr>
        <w:t>f</w:t>
      </w:r>
      <w:r w:rsidR="00A277CD" w:rsidRPr="0042218F">
        <w:rPr>
          <w:i/>
          <w:vertAlign w:val="subscript"/>
        </w:rPr>
        <w:t>t</w:t>
      </w:r>
      <w:proofErr w:type="spellEnd"/>
      <w:r w:rsidR="00A277CD">
        <w:t xml:space="preserve">, based on investment in fixed assets. The first </w:t>
      </w:r>
      <w:r w:rsidR="00600369">
        <w:t>define</w:t>
      </w:r>
      <w:r w:rsidR="00A277CD">
        <w:t>s</w:t>
      </w:r>
      <w:r w:rsidR="00600369">
        <w:t xml:space="preserve"> </w:t>
      </w:r>
      <w:proofErr w:type="spellStart"/>
      <w:r w:rsidR="00A277CD" w:rsidRPr="0042218F">
        <w:rPr>
          <w:i/>
        </w:rPr>
        <w:t>INV</w:t>
      </w:r>
      <w:r w:rsidR="00A277CD">
        <w:rPr>
          <w:i/>
          <w:vertAlign w:val="subscript"/>
        </w:rPr>
        <w:t>f</w:t>
      </w:r>
      <w:r w:rsidR="00A277CD" w:rsidRPr="0042218F">
        <w:rPr>
          <w:i/>
          <w:vertAlign w:val="subscript"/>
        </w:rPr>
        <w:t>t</w:t>
      </w:r>
      <w:proofErr w:type="spellEnd"/>
      <w:r w:rsidR="00A277CD">
        <w:t xml:space="preserve"> </w:t>
      </w:r>
      <w:r w:rsidR="00600369">
        <w:t xml:space="preserve">as </w:t>
      </w:r>
      <w:r w:rsidRPr="0042218F">
        <w:t>capital expenditures</w:t>
      </w:r>
      <w:r>
        <w:t xml:space="preserve"> (</w:t>
      </w:r>
      <w:proofErr w:type="spellStart"/>
      <w:r w:rsidRPr="00BD11E5">
        <w:rPr>
          <w:i/>
        </w:rPr>
        <w:t>CAPX</w:t>
      </w:r>
      <w:r w:rsidR="00600369">
        <w:rPr>
          <w:i/>
          <w:vertAlign w:val="subscript"/>
        </w:rPr>
        <w:t>ft</w:t>
      </w:r>
      <w:proofErr w:type="spellEnd"/>
      <w:r>
        <w:t>)</w:t>
      </w:r>
      <w:r w:rsidR="00600369">
        <w:t xml:space="preserve"> scaled by net fixed assets at the beginning of the period (PPE</w:t>
      </w:r>
      <w:r w:rsidR="00223A61">
        <w:t>NT</w:t>
      </w:r>
      <w:r w:rsidR="00600369">
        <w:rPr>
          <w:i/>
          <w:vertAlign w:val="subscript"/>
        </w:rPr>
        <w:t>ft</w:t>
      </w:r>
      <w:r w:rsidR="00600369" w:rsidRPr="00BD11E5">
        <w:rPr>
          <w:i/>
          <w:vertAlign w:val="subscript"/>
        </w:rPr>
        <w:t>-1</w:t>
      </w:r>
      <w:r w:rsidR="00600369">
        <w:t>).</w:t>
      </w:r>
      <w:r w:rsidRPr="0042218F">
        <w:t xml:space="preserve"> </w:t>
      </w:r>
      <w:r w:rsidR="00A277CD">
        <w:t>The second</w:t>
      </w:r>
      <w:r w:rsidR="00A9124E">
        <w:t xml:space="preserve">, </w:t>
      </w:r>
      <w:r w:rsidR="00A9124E" w:rsidRPr="00D251D2">
        <w:rPr>
          <w:i/>
        </w:rPr>
        <w:t>INV2</w:t>
      </w:r>
      <w:r w:rsidR="00A9124E">
        <w:t xml:space="preserve">, is </w:t>
      </w:r>
      <w:r w:rsidR="00A277CD">
        <w:t xml:space="preserve">the change in </w:t>
      </w:r>
      <w:r w:rsidR="00A9124E">
        <w:t xml:space="preserve">gross fixed </w:t>
      </w:r>
      <w:r w:rsidR="005D1452">
        <w:t>assets</w:t>
      </w:r>
      <w:r w:rsidR="00A277CD">
        <w:t xml:space="preserve"> (</w:t>
      </w:r>
      <w:proofErr w:type="spellStart"/>
      <w:r w:rsidR="00A9124E">
        <w:t>PPEG</w:t>
      </w:r>
      <w:r w:rsidR="00A277CD">
        <w:t>T</w:t>
      </w:r>
      <w:r w:rsidR="00A277CD">
        <w:rPr>
          <w:i/>
          <w:vertAlign w:val="subscript"/>
        </w:rPr>
        <w:t>ft</w:t>
      </w:r>
      <w:proofErr w:type="spellEnd"/>
      <w:r w:rsidR="00A277CD" w:rsidRPr="00A277CD">
        <w:t xml:space="preserve"> </w:t>
      </w:r>
      <w:r w:rsidR="00A277CD">
        <w:t xml:space="preserve">- </w:t>
      </w:r>
      <w:r w:rsidR="00A9124E">
        <w:t>PPEG</w:t>
      </w:r>
      <w:r w:rsidR="00A277CD">
        <w:t>T</w:t>
      </w:r>
      <w:r w:rsidR="00A277CD">
        <w:rPr>
          <w:i/>
          <w:vertAlign w:val="subscript"/>
        </w:rPr>
        <w:t>ft</w:t>
      </w:r>
      <w:r w:rsidR="00A277CD" w:rsidRPr="00BD11E5">
        <w:rPr>
          <w:i/>
          <w:vertAlign w:val="subscript"/>
        </w:rPr>
        <w:t>-1</w:t>
      </w:r>
      <w:r w:rsidR="00A277CD">
        <w:rPr>
          <w:i/>
          <w:vertAlign w:val="subscript"/>
        </w:rPr>
        <w:t xml:space="preserve"> / </w:t>
      </w:r>
      <w:r w:rsidR="005D1452">
        <w:t>A</w:t>
      </w:r>
      <w:r w:rsidR="00A277CD">
        <w:t>T</w:t>
      </w:r>
      <w:r w:rsidR="00A277CD">
        <w:rPr>
          <w:i/>
          <w:vertAlign w:val="subscript"/>
        </w:rPr>
        <w:t>ft</w:t>
      </w:r>
      <w:r w:rsidR="00A277CD" w:rsidRPr="00BD11E5">
        <w:rPr>
          <w:i/>
          <w:vertAlign w:val="subscript"/>
        </w:rPr>
        <w:t>-1</w:t>
      </w:r>
      <w:r w:rsidR="00A277CD">
        <w:t>)</w:t>
      </w:r>
      <w:r w:rsidR="00A9124E">
        <w:t>,</w:t>
      </w:r>
      <w:r w:rsidR="00A277CD">
        <w:t xml:space="preserve"> </w:t>
      </w:r>
      <w:r w:rsidR="00A9124E">
        <w:t xml:space="preserve">following </w:t>
      </w:r>
      <w:proofErr w:type="spellStart"/>
      <w:r w:rsidR="00A9124E">
        <w:t>Badertscher</w:t>
      </w:r>
      <w:proofErr w:type="spellEnd"/>
      <w:r w:rsidR="00A9124E">
        <w:t xml:space="preserve"> et al. (2013).</w:t>
      </w:r>
    </w:p>
    <w:p w14:paraId="1B40CDE2" w14:textId="51405C0C" w:rsidR="004B01E0" w:rsidRDefault="00A277CD" w:rsidP="0098351A">
      <w:pPr>
        <w:spacing w:line="480" w:lineRule="auto"/>
        <w:jc w:val="both"/>
        <w:rPr>
          <w:i/>
        </w:rPr>
      </w:pPr>
      <w:r>
        <w:tab/>
      </w:r>
      <w:proofErr w:type="gramStart"/>
      <w:r w:rsidR="00C45A2C">
        <w:t>We use</w:t>
      </w:r>
      <w:r w:rsidR="00600369">
        <w:t xml:space="preserve"> </w:t>
      </w:r>
      <w:r w:rsidR="004A1AEA" w:rsidRPr="0042218F">
        <w:rPr>
          <w:i/>
        </w:rPr>
        <w:t xml:space="preserve">Q </w:t>
      </w:r>
      <w:r w:rsidR="00C45A2C">
        <w:t>to p</w:t>
      </w:r>
      <w:r w:rsidR="00600369">
        <w:t>rox</w:t>
      </w:r>
      <w:r w:rsidR="00C45A2C">
        <w:t>y</w:t>
      </w:r>
      <w:r w:rsidR="00600369">
        <w:t xml:space="preserve"> for investment opportunities</w:t>
      </w:r>
      <w:r w:rsidR="00C4128E">
        <w:t xml:space="preserve">, </w:t>
      </w:r>
      <w:r w:rsidR="004A1AEA" w:rsidRPr="0042218F">
        <w:t xml:space="preserve">and </w:t>
      </w:r>
      <w:r w:rsidR="00D6379D">
        <w:t>w</w:t>
      </w:r>
      <w:r w:rsidR="00BE048D">
        <w:t xml:space="preserve">e specify four alternative proxies for </w:t>
      </w:r>
      <w:r w:rsidR="00C367B5" w:rsidRPr="009133F4">
        <w:rPr>
          <w:i/>
        </w:rPr>
        <w:t>Q</w:t>
      </w:r>
      <w:r w:rsidR="00BE048D">
        <w:t xml:space="preserve">: </w:t>
      </w:r>
      <w:r w:rsidR="00C367B5">
        <w:t xml:space="preserve">a) </w:t>
      </w:r>
      <w:r w:rsidR="00BE048D">
        <w:t>firm-level Tobin’s Q from the prior year (where Tobin’s Q is estimated as market value of equity (</w:t>
      </w:r>
      <w:proofErr w:type="spellStart"/>
      <w:r w:rsidR="00BE048D">
        <w:rPr>
          <w:i/>
        </w:rPr>
        <w:t>PRCC_F</w:t>
      </w:r>
      <w:r w:rsidR="00BE048D">
        <w:rPr>
          <w:i/>
          <w:vertAlign w:val="subscript"/>
        </w:rPr>
        <w:t>f</w:t>
      </w:r>
      <w:r w:rsidR="00BE048D" w:rsidRPr="0042218F">
        <w:rPr>
          <w:i/>
          <w:vertAlign w:val="subscript"/>
        </w:rPr>
        <w:t>t</w:t>
      </w:r>
      <w:proofErr w:type="spellEnd"/>
      <w:r w:rsidR="00BE048D">
        <w:rPr>
          <w:i/>
        </w:rPr>
        <w:t>*</w:t>
      </w:r>
      <w:proofErr w:type="spellStart"/>
      <w:r w:rsidR="00BE048D">
        <w:rPr>
          <w:i/>
        </w:rPr>
        <w:t>CSHO</w:t>
      </w:r>
      <w:r w:rsidR="00BE048D">
        <w:rPr>
          <w:i/>
          <w:vertAlign w:val="subscript"/>
        </w:rPr>
        <w:t>f</w:t>
      </w:r>
      <w:r w:rsidR="00BE048D" w:rsidRPr="0042218F">
        <w:rPr>
          <w:i/>
          <w:vertAlign w:val="subscript"/>
        </w:rPr>
        <w:t>t</w:t>
      </w:r>
      <w:proofErr w:type="spellEnd"/>
      <w:r w:rsidR="00BE048D" w:rsidRPr="00BD11E5">
        <w:t>)</w:t>
      </w:r>
      <w:r w:rsidR="00BE048D">
        <w:rPr>
          <w:i/>
        </w:rPr>
        <w:t xml:space="preserve"> </w:t>
      </w:r>
      <w:r w:rsidR="00BE048D">
        <w:t>plus consolidated total assets (</w:t>
      </w:r>
      <w:proofErr w:type="spellStart"/>
      <w:r w:rsidR="0098351A">
        <w:rPr>
          <w:i/>
        </w:rPr>
        <w:t>AT</w:t>
      </w:r>
      <w:r w:rsidR="00BE048D">
        <w:rPr>
          <w:i/>
          <w:vertAlign w:val="subscript"/>
        </w:rPr>
        <w:t>f</w:t>
      </w:r>
      <w:r w:rsidR="00BE048D" w:rsidRPr="00CE1ED6">
        <w:rPr>
          <w:i/>
          <w:vertAlign w:val="subscript"/>
        </w:rPr>
        <w:t>t</w:t>
      </w:r>
      <w:proofErr w:type="spellEnd"/>
      <w:r w:rsidR="00BE048D" w:rsidRPr="00BD11E5">
        <w:t>)</w:t>
      </w:r>
      <w:r w:rsidR="00BE048D">
        <w:t xml:space="preserve"> less the book value of equity (</w:t>
      </w:r>
      <w:r w:rsidR="00BE048D">
        <w:rPr>
          <w:i/>
        </w:rPr>
        <w:t>CEQ</w:t>
      </w:r>
      <w:r w:rsidR="00BE048D" w:rsidRPr="00BE048D">
        <w:rPr>
          <w:i/>
          <w:vertAlign w:val="subscript"/>
        </w:rPr>
        <w:t xml:space="preserve"> </w:t>
      </w:r>
      <w:r w:rsidR="00BE048D">
        <w:rPr>
          <w:i/>
          <w:vertAlign w:val="subscript"/>
        </w:rPr>
        <w:t>f</w:t>
      </w:r>
      <w:r w:rsidR="00BE048D" w:rsidRPr="00BD11E5">
        <w:t>)</w:t>
      </w:r>
      <w:r w:rsidR="00BE048D">
        <w:rPr>
          <w:i/>
        </w:rPr>
        <w:t xml:space="preserve">, </w:t>
      </w:r>
      <w:r w:rsidR="00BE048D">
        <w:t xml:space="preserve">scaled by total assets; b) </w:t>
      </w:r>
      <w:r w:rsidR="00C367B5">
        <w:t xml:space="preserve">mean </w:t>
      </w:r>
      <w:r w:rsidR="00BE048D">
        <w:t>and c</w:t>
      </w:r>
      <w:r w:rsidR="00C367B5">
        <w:t xml:space="preserve">) median country-industry-year </w:t>
      </w:r>
      <w:r w:rsidR="004A1AEA">
        <w:t xml:space="preserve">Tobin’s Q </w:t>
      </w:r>
      <w:r w:rsidR="00C367B5">
        <w:t xml:space="preserve">from the prior year (where Tobin’s Q </w:t>
      </w:r>
      <w:r w:rsidR="004A1AEA">
        <w:t xml:space="preserve">is estimated as </w:t>
      </w:r>
      <w:r w:rsidR="00C367B5">
        <w:t xml:space="preserve">country-industry-year mean (median) </w:t>
      </w:r>
      <w:r w:rsidR="004A1AEA">
        <w:t>market value of equity (</w:t>
      </w:r>
      <w:r w:rsidR="004A1AEA">
        <w:rPr>
          <w:i/>
        </w:rPr>
        <w:t>PRCC_F*CSHO</w:t>
      </w:r>
      <w:r w:rsidR="004A1AEA" w:rsidRPr="00BD11E5">
        <w:t>)</w:t>
      </w:r>
      <w:r w:rsidR="004A1AEA">
        <w:rPr>
          <w:i/>
        </w:rPr>
        <w:t xml:space="preserve"> </w:t>
      </w:r>
      <w:r w:rsidR="004A1AEA">
        <w:t xml:space="preserve">plus </w:t>
      </w:r>
      <w:r w:rsidR="00C367B5">
        <w:t xml:space="preserve">consolidated </w:t>
      </w:r>
      <w:r w:rsidR="004A1AEA">
        <w:t>total assets (</w:t>
      </w:r>
      <w:proofErr w:type="spellStart"/>
      <w:r w:rsidR="0098351A">
        <w:rPr>
          <w:i/>
        </w:rPr>
        <w:t>AT</w:t>
      </w:r>
      <w:r w:rsidR="001342B3">
        <w:rPr>
          <w:i/>
          <w:vertAlign w:val="subscript"/>
        </w:rPr>
        <w:t>f</w:t>
      </w:r>
      <w:r w:rsidR="004A1AEA" w:rsidRPr="00CE1ED6">
        <w:rPr>
          <w:i/>
          <w:vertAlign w:val="subscript"/>
        </w:rPr>
        <w:t>t</w:t>
      </w:r>
      <w:proofErr w:type="spellEnd"/>
      <w:r w:rsidR="004A1AEA" w:rsidRPr="00BD11E5">
        <w:t>)</w:t>
      </w:r>
      <w:r w:rsidR="004A1AEA">
        <w:t xml:space="preserve"> less the book value of equity (</w:t>
      </w:r>
      <w:r w:rsidR="004A1AEA">
        <w:rPr>
          <w:i/>
        </w:rPr>
        <w:t>CEQ</w:t>
      </w:r>
      <w:r w:rsidR="004A1AEA" w:rsidRPr="00BD11E5">
        <w:t>)</w:t>
      </w:r>
      <w:r w:rsidR="004A1AEA">
        <w:rPr>
          <w:i/>
        </w:rPr>
        <w:t xml:space="preserve">, </w:t>
      </w:r>
      <w:r w:rsidR="004A1AEA">
        <w:t>scaled by total assets</w:t>
      </w:r>
      <w:r w:rsidR="00C367B5">
        <w:t xml:space="preserve">); </w:t>
      </w:r>
      <w:r w:rsidR="00BE048D">
        <w:t>and d</w:t>
      </w:r>
      <w:r w:rsidR="00C367B5">
        <w:t xml:space="preserve">) median country-industry-year price to earnings ratio at the beginning of the year as reported by </w:t>
      </w:r>
      <w:proofErr w:type="spellStart"/>
      <w:r w:rsidR="00C367B5" w:rsidRPr="000123C6">
        <w:rPr>
          <w:i/>
        </w:rPr>
        <w:t>WorldScope</w:t>
      </w:r>
      <w:proofErr w:type="spellEnd"/>
      <w:r w:rsidR="00BE048D">
        <w:t>.</w:t>
      </w:r>
      <w:proofErr w:type="gramEnd"/>
      <w:r w:rsidR="004B01E0">
        <w:rPr>
          <w:i/>
        </w:rPr>
        <w:t xml:space="preserve"> </w:t>
      </w:r>
    </w:p>
    <w:p w14:paraId="6F6EE7B3" w14:textId="246BADC3" w:rsidR="004A1AEA" w:rsidRPr="0042218F" w:rsidRDefault="004B01E0" w:rsidP="004B01E0">
      <w:pPr>
        <w:spacing w:line="480" w:lineRule="auto"/>
        <w:ind w:firstLine="720"/>
        <w:jc w:val="both"/>
      </w:pPr>
      <w:proofErr w:type="spellStart"/>
      <w:r w:rsidRPr="0042218F">
        <w:rPr>
          <w:i/>
        </w:rPr>
        <w:t>CF</w:t>
      </w:r>
      <w:r>
        <w:rPr>
          <w:i/>
          <w:vertAlign w:val="subscript"/>
        </w:rPr>
        <w:t>f</w:t>
      </w:r>
      <w:r w:rsidRPr="0042218F">
        <w:rPr>
          <w:i/>
          <w:vertAlign w:val="subscript"/>
        </w:rPr>
        <w:t>t</w:t>
      </w:r>
      <w:proofErr w:type="spellEnd"/>
      <w:r w:rsidRPr="0042218F">
        <w:t xml:space="preserve"> </w:t>
      </w:r>
      <w:r>
        <w:t xml:space="preserve">controls for differences in internal financing capability and is defined as </w:t>
      </w:r>
      <w:r w:rsidRPr="0042218F">
        <w:t>cash flow from operations</w:t>
      </w:r>
      <w:r>
        <w:t xml:space="preserve"> (</w:t>
      </w:r>
      <w:r w:rsidRPr="00BD11E5">
        <w:rPr>
          <w:i/>
        </w:rPr>
        <w:t>OANCF</w:t>
      </w:r>
      <w:r>
        <w:t>, where available) scaled by beginning of year net fixed assets (</w:t>
      </w:r>
      <w:r w:rsidRPr="00BD11E5">
        <w:rPr>
          <w:i/>
        </w:rPr>
        <w:t>PPENT</w:t>
      </w:r>
      <w:r>
        <w:rPr>
          <w:i/>
          <w:vertAlign w:val="subscript"/>
        </w:rPr>
        <w:t>f</w:t>
      </w:r>
      <w:r w:rsidRPr="00BD11E5">
        <w:rPr>
          <w:i/>
          <w:vertAlign w:val="subscript"/>
        </w:rPr>
        <w:t>t-1</w:t>
      </w:r>
      <w:r>
        <w:t>)</w:t>
      </w:r>
      <w:r w:rsidRPr="0042218F">
        <w:t>.</w:t>
      </w:r>
      <w:r>
        <w:rPr>
          <w:rStyle w:val="FootnoteReference"/>
        </w:rPr>
        <w:footnoteReference w:id="11"/>
      </w:r>
      <w:r w:rsidRPr="0042218F">
        <w:t xml:space="preserve"> </w:t>
      </w:r>
      <w:r>
        <w:rPr>
          <w:i/>
        </w:rPr>
        <w:t>L</w:t>
      </w:r>
      <w:r w:rsidR="00C4128E">
        <w:rPr>
          <w:i/>
        </w:rPr>
        <w:t>ogAT</w:t>
      </w:r>
      <w:r w:rsidR="00C4128E">
        <w:rPr>
          <w:i/>
          <w:vertAlign w:val="subscript"/>
        </w:rPr>
        <w:t>f</w:t>
      </w:r>
      <w:r w:rsidR="00C4128E" w:rsidRPr="0042218F">
        <w:rPr>
          <w:i/>
          <w:vertAlign w:val="subscript"/>
        </w:rPr>
        <w:t>t</w:t>
      </w:r>
      <w:r w:rsidR="00C4128E">
        <w:rPr>
          <w:i/>
          <w:vertAlign w:val="subscript"/>
        </w:rPr>
        <w:t>-1</w:t>
      </w:r>
      <w:r w:rsidR="00C4128E" w:rsidRPr="0042218F">
        <w:rPr>
          <w:i/>
        </w:rPr>
        <w:t xml:space="preserve"> </w:t>
      </w:r>
      <w:r w:rsidR="00C4128E">
        <w:t xml:space="preserve">and </w:t>
      </w:r>
      <w:r w:rsidR="00C4128E">
        <w:rPr>
          <w:i/>
        </w:rPr>
        <w:t>ROA</w:t>
      </w:r>
      <w:r w:rsidR="00C4128E">
        <w:rPr>
          <w:i/>
          <w:vertAlign w:val="subscript"/>
        </w:rPr>
        <w:t>f</w:t>
      </w:r>
      <w:r w:rsidR="00C4128E" w:rsidRPr="0042218F">
        <w:rPr>
          <w:i/>
          <w:vertAlign w:val="subscript"/>
        </w:rPr>
        <w:t>t</w:t>
      </w:r>
      <w:r w:rsidR="00C4128E">
        <w:rPr>
          <w:i/>
          <w:vertAlign w:val="subscript"/>
        </w:rPr>
        <w:t>-</w:t>
      </w:r>
      <w:r w:rsidR="00C4128E" w:rsidRPr="009133F4">
        <w:rPr>
          <w:vertAlign w:val="subscript"/>
        </w:rPr>
        <w:t>1</w:t>
      </w:r>
      <w:r w:rsidR="00C4128E">
        <w:rPr>
          <w:vertAlign w:val="subscript"/>
        </w:rPr>
        <w:t xml:space="preserve"> </w:t>
      </w:r>
      <w:r w:rsidR="00C4128E">
        <w:t>control for firm size and profitabili</w:t>
      </w:r>
      <w:r w:rsidR="00945ACF">
        <w:t>ty following Shroff et al. (2015</w:t>
      </w:r>
      <w:r w:rsidR="00C4128E">
        <w:t>) and are defined as the natural log of beginning of year consolidated assets (ln(</w:t>
      </w:r>
      <w:r w:rsidR="0098351A">
        <w:rPr>
          <w:i/>
        </w:rPr>
        <w:t>AT</w:t>
      </w:r>
      <w:r w:rsidR="00C4128E" w:rsidRPr="009133F4">
        <w:rPr>
          <w:i/>
          <w:vertAlign w:val="subscript"/>
        </w:rPr>
        <w:t>t-1</w:t>
      </w:r>
      <w:r w:rsidR="00C4128E">
        <w:t>)) and income before extraordinary</w:t>
      </w:r>
      <w:r w:rsidR="00135F65">
        <w:t xml:space="preserve"> items scaled by </w:t>
      </w:r>
      <w:r w:rsidR="00C4128E">
        <w:t>assets</w:t>
      </w:r>
      <w:r w:rsidR="00135F65">
        <w:t>, where both are measured at the consolidated level</w:t>
      </w:r>
      <w:r w:rsidR="00C4128E">
        <w:t xml:space="preserve"> (</w:t>
      </w:r>
      <w:proofErr w:type="spellStart"/>
      <w:r w:rsidR="00C4128E" w:rsidRPr="009133F4">
        <w:rPr>
          <w:i/>
        </w:rPr>
        <w:t>IB</w:t>
      </w:r>
      <w:r w:rsidR="00C4128E" w:rsidRPr="009133F4">
        <w:rPr>
          <w:i/>
          <w:vertAlign w:val="subscript"/>
        </w:rPr>
        <w:t>t</w:t>
      </w:r>
      <w:proofErr w:type="spellEnd"/>
      <w:r w:rsidR="00C4128E">
        <w:t>/</w:t>
      </w:r>
      <w:r w:rsidR="0098351A">
        <w:rPr>
          <w:i/>
        </w:rPr>
        <w:t>AT</w:t>
      </w:r>
      <w:r w:rsidR="00C4128E" w:rsidRPr="001417CA">
        <w:rPr>
          <w:i/>
          <w:vertAlign w:val="subscript"/>
        </w:rPr>
        <w:t>t-1</w:t>
      </w:r>
      <w:r w:rsidR="00C4128E">
        <w:t xml:space="preserve">). </w:t>
      </w:r>
      <w:r w:rsidR="004A1AEA" w:rsidRPr="00C4128E">
        <w:t>All</w:t>
      </w:r>
      <w:r w:rsidR="004A1AEA">
        <w:t xml:space="preserve"> variables are </w:t>
      </w:r>
      <w:proofErr w:type="spellStart"/>
      <w:r w:rsidR="004A1AEA">
        <w:t>winsorized</w:t>
      </w:r>
      <w:proofErr w:type="spellEnd"/>
      <w:r w:rsidR="004A1AEA">
        <w:t xml:space="preserve"> at 1 and 99 percent. </w:t>
      </w:r>
    </w:p>
    <w:p w14:paraId="143DB796" w14:textId="0F97DCA4" w:rsidR="004A1AEA" w:rsidRDefault="004A1AEA" w:rsidP="009133F4">
      <w:pPr>
        <w:spacing w:line="480" w:lineRule="auto"/>
        <w:ind w:firstLine="720"/>
        <w:jc w:val="both"/>
      </w:pPr>
      <w:r w:rsidRPr="0042218F">
        <w:lastRenderedPageBreak/>
        <w:t>We</w:t>
      </w:r>
      <w:r>
        <w:t xml:space="preserve"> incorporate our empirical measure </w:t>
      </w:r>
      <w:r w:rsidRPr="008F0247">
        <w:rPr>
          <w:i/>
        </w:rPr>
        <w:t>G</w:t>
      </w:r>
      <w:r w:rsidRPr="0042218F">
        <w:t xml:space="preserve"> into the model</w:t>
      </w:r>
      <w:r w:rsidR="004B01E0">
        <w:t xml:space="preserve"> to test our hypothesis.</w:t>
      </w:r>
      <w:r w:rsidR="004B01E0">
        <w:rPr>
          <w:i/>
        </w:rPr>
        <w:t xml:space="preserve"> </w:t>
      </w:r>
      <w:r>
        <w:t xml:space="preserve">Recall that our empirical estimate of γ, </w:t>
      </w:r>
      <w:r>
        <w:rPr>
          <w:i/>
        </w:rPr>
        <w:t xml:space="preserve">G, </w:t>
      </w:r>
      <w:r>
        <w:t xml:space="preserve">is the sum of the estimated coefficients on the tax incentive variable and the interaction between the tax incentive variable and the firm-specific indicator variable, all multiplied by negative one. As such, </w:t>
      </w:r>
      <w:r>
        <w:rPr>
          <w:i/>
        </w:rPr>
        <w:t xml:space="preserve">G </w:t>
      </w:r>
      <w:r>
        <w:t>is increasing in the firm’s income shifting aggressiveness. Our hypothesis therefore predicts</w:t>
      </w:r>
      <w:r w:rsidRPr="0042218F">
        <w:t xml:space="preserve"> </w:t>
      </w:r>
      <w:r>
        <w:rPr>
          <w:i/>
        </w:rPr>
        <w:sym w:font="Symbol" w:char="F064"/>
      </w:r>
      <w:proofErr w:type="gramStart"/>
      <w:r w:rsidR="001A7107">
        <w:rPr>
          <w:i/>
          <w:vertAlign w:val="subscript"/>
        </w:rPr>
        <w:t>5</w:t>
      </w:r>
      <w:proofErr w:type="gramEnd"/>
      <w:r>
        <w:t xml:space="preserve"> &gt; 0, or that </w:t>
      </w:r>
      <w:r w:rsidRPr="0016452B">
        <w:t>higher</w:t>
      </w:r>
      <w:r w:rsidRPr="0042218F">
        <w:t xml:space="preserve"> firm-level sensitivity to tax </w:t>
      </w:r>
      <w:r>
        <w:t>incentives</w:t>
      </w:r>
      <w:r w:rsidRPr="0042218F">
        <w:t xml:space="preserve"> will lead to higher absolute values of unexpected investment.</w:t>
      </w:r>
    </w:p>
    <w:p w14:paraId="2BF73239" w14:textId="332B4012" w:rsidR="004A1AEA" w:rsidRPr="004A1AEA" w:rsidRDefault="004A1AEA" w:rsidP="005661D0">
      <w:pPr>
        <w:keepNext/>
        <w:spacing w:line="480" w:lineRule="auto"/>
        <w:jc w:val="both"/>
        <w:outlineLvl w:val="0"/>
        <w:rPr>
          <w:b/>
          <w:bCs/>
        </w:rPr>
      </w:pPr>
      <w:r>
        <w:rPr>
          <w:b/>
          <w:bCs/>
        </w:rPr>
        <w:t>Hypothesis Test Sample</w:t>
      </w:r>
    </w:p>
    <w:p w14:paraId="1A8D09B7" w14:textId="52E630D4" w:rsidR="00FB1A87" w:rsidRDefault="00730145" w:rsidP="00B85833">
      <w:pPr>
        <w:spacing w:line="480" w:lineRule="auto"/>
        <w:ind w:firstLine="720"/>
        <w:jc w:val="both"/>
      </w:pPr>
      <w:r>
        <w:t xml:space="preserve">We require </w:t>
      </w:r>
      <w:r w:rsidRPr="00BF6B82">
        <w:rPr>
          <w:i/>
        </w:rPr>
        <w:t>G</w:t>
      </w:r>
      <w:r>
        <w:t xml:space="preserve"> for each consolidated firm in order to estimate equation </w:t>
      </w:r>
      <w:r w:rsidR="004B01E0">
        <w:t>(2)</w:t>
      </w:r>
      <w:r w:rsidR="00392DDF">
        <w:t xml:space="preserve"> and test our hypothesis</w:t>
      </w:r>
      <w:r>
        <w:t>.</w:t>
      </w:r>
      <w:r w:rsidR="00392DDF">
        <w:t xml:space="preserve"> Specifically, we match the </w:t>
      </w:r>
      <w:r w:rsidR="006D5578">
        <w:t>2,2</w:t>
      </w:r>
      <w:r w:rsidR="00542113">
        <w:t>43</w:t>
      </w:r>
      <w:r w:rsidR="006D5578">
        <w:t xml:space="preserve"> unique firms from our affiliate-year </w:t>
      </w:r>
      <w:r w:rsidR="00392DDF">
        <w:t xml:space="preserve">sample </w:t>
      </w:r>
      <w:r w:rsidR="006D5578">
        <w:t>for which we could estimate</w:t>
      </w:r>
      <w:r w:rsidR="00392DDF">
        <w:t xml:space="preserve"> </w:t>
      </w:r>
      <w:r w:rsidR="006D5578">
        <w:rPr>
          <w:i/>
          <w:iCs/>
        </w:rPr>
        <w:t>G</w:t>
      </w:r>
      <w:r w:rsidR="00392DDF">
        <w:rPr>
          <w:i/>
          <w:iCs/>
        </w:rPr>
        <w:t xml:space="preserve"> </w:t>
      </w:r>
      <w:r w:rsidR="00680AEE">
        <w:t xml:space="preserve">to </w:t>
      </w:r>
      <w:r w:rsidR="005734FE">
        <w:t xml:space="preserve">consolidated company information from </w:t>
      </w:r>
      <w:proofErr w:type="spellStart"/>
      <w:r w:rsidR="005734FE" w:rsidRPr="000123C6">
        <w:rPr>
          <w:i/>
        </w:rPr>
        <w:t>Compustat</w:t>
      </w:r>
      <w:proofErr w:type="spellEnd"/>
      <w:r w:rsidR="005734FE" w:rsidRPr="000123C6">
        <w:rPr>
          <w:i/>
        </w:rPr>
        <w:t xml:space="preserve"> North America</w:t>
      </w:r>
      <w:r w:rsidR="005734FE">
        <w:t xml:space="preserve"> and </w:t>
      </w:r>
      <w:r w:rsidR="005734FE" w:rsidRPr="000123C6">
        <w:rPr>
          <w:i/>
        </w:rPr>
        <w:t>Global</w:t>
      </w:r>
      <w:r w:rsidR="00C21248">
        <w:t xml:space="preserve"> 2002 to 2014</w:t>
      </w:r>
      <w:r w:rsidR="005734FE">
        <w:t>. To</w:t>
      </w:r>
      <w:r w:rsidR="005734FE" w:rsidRPr="00176999">
        <w:t xml:space="preserve"> remain in </w:t>
      </w:r>
      <w:r w:rsidR="005734FE">
        <w:t xml:space="preserve">the consolidated company </w:t>
      </w:r>
      <w:r w:rsidR="005734FE" w:rsidRPr="00176999">
        <w:t>sample</w:t>
      </w:r>
      <w:r w:rsidR="005734FE">
        <w:t xml:space="preserve"> on which we </w:t>
      </w:r>
      <w:r w:rsidR="006D7D49">
        <w:t>test</w:t>
      </w:r>
      <w:r w:rsidR="005734FE">
        <w:t xml:space="preserve"> our hypothesis</w:t>
      </w:r>
      <w:r w:rsidR="005734FE" w:rsidRPr="00176999">
        <w:t xml:space="preserve">, we require </w:t>
      </w:r>
      <w:r w:rsidR="005734FE">
        <w:t xml:space="preserve">an ISIN to facilitate the </w:t>
      </w:r>
      <w:r w:rsidR="005734FE" w:rsidRPr="000123C6">
        <w:rPr>
          <w:i/>
        </w:rPr>
        <w:t>Osiris</w:t>
      </w:r>
      <w:r w:rsidR="005734FE">
        <w:t>-</w:t>
      </w:r>
      <w:proofErr w:type="spellStart"/>
      <w:r w:rsidR="005734FE" w:rsidRPr="000123C6">
        <w:rPr>
          <w:i/>
        </w:rPr>
        <w:t>Compustat</w:t>
      </w:r>
      <w:proofErr w:type="spellEnd"/>
      <w:r w:rsidR="005734FE" w:rsidRPr="000123C6">
        <w:rPr>
          <w:i/>
        </w:rPr>
        <w:t xml:space="preserve"> Global</w:t>
      </w:r>
      <w:r w:rsidR="005734FE">
        <w:t xml:space="preserve"> match for international firms and a ticker to facilitate the </w:t>
      </w:r>
      <w:r w:rsidR="005734FE" w:rsidRPr="000123C6">
        <w:rPr>
          <w:i/>
        </w:rPr>
        <w:t>Osiris</w:t>
      </w:r>
      <w:r w:rsidR="005734FE">
        <w:t>-</w:t>
      </w:r>
      <w:proofErr w:type="spellStart"/>
      <w:r w:rsidR="005734FE" w:rsidRPr="000123C6">
        <w:rPr>
          <w:i/>
        </w:rPr>
        <w:t>Compustat</w:t>
      </w:r>
      <w:proofErr w:type="spellEnd"/>
      <w:r w:rsidR="005734FE" w:rsidRPr="000123C6">
        <w:rPr>
          <w:i/>
        </w:rPr>
        <w:t xml:space="preserve"> North America</w:t>
      </w:r>
      <w:r w:rsidR="005734FE">
        <w:t xml:space="preserve"> match for North American firms. We also require an industry classification (</w:t>
      </w:r>
      <w:proofErr w:type="spellStart"/>
      <w:r w:rsidR="005734FE" w:rsidRPr="000123C6">
        <w:rPr>
          <w:i/>
        </w:rPr>
        <w:t>Compustat</w:t>
      </w:r>
      <w:proofErr w:type="spellEnd"/>
      <w:r w:rsidR="005734FE">
        <w:t xml:space="preserve"> variable NAICS) code to include industry controls because investment </w:t>
      </w:r>
      <w:proofErr w:type="gramStart"/>
      <w:r w:rsidR="005734FE">
        <w:t>is known</w:t>
      </w:r>
      <w:proofErr w:type="gramEnd"/>
      <w:r w:rsidR="005734FE">
        <w:t xml:space="preserve"> to vary by industry. </w:t>
      </w:r>
      <w:r w:rsidR="002A6556">
        <w:t xml:space="preserve">In addition to being able to calculate the variables defined above, we require that total assets in year </w:t>
      </w:r>
      <w:r w:rsidR="002A6556" w:rsidRPr="003C508F">
        <w:rPr>
          <w:i/>
        </w:rPr>
        <w:t>t</w:t>
      </w:r>
      <w:r w:rsidR="002A6556">
        <w:t xml:space="preserve"> and net PP&amp;E in year </w:t>
      </w:r>
      <w:r w:rsidR="002A6556" w:rsidRPr="003C508F">
        <w:rPr>
          <w:i/>
        </w:rPr>
        <w:t>t-1</w:t>
      </w:r>
      <w:r w:rsidR="002A6556">
        <w:t xml:space="preserve"> are positive. </w:t>
      </w:r>
      <w:r w:rsidR="00A34577">
        <w:t xml:space="preserve">Of the </w:t>
      </w:r>
      <w:r w:rsidR="00B86D05">
        <w:t>2,2</w:t>
      </w:r>
      <w:r w:rsidR="00542113">
        <w:t>43</w:t>
      </w:r>
      <w:r w:rsidR="00B86D05">
        <w:t xml:space="preserve"> unique firms with estimated </w:t>
      </w:r>
      <w:r w:rsidR="00B86D05">
        <w:rPr>
          <w:i/>
          <w:iCs/>
        </w:rPr>
        <w:t xml:space="preserve">G </w:t>
      </w:r>
      <w:r w:rsidR="00B86D05">
        <w:t>from the affiliate-year sample, we are able to match 2,</w:t>
      </w:r>
      <w:r w:rsidR="002C7797">
        <w:t>094</w:t>
      </w:r>
      <w:r w:rsidR="00B86D05">
        <w:t xml:space="preserve"> unique firms to </w:t>
      </w:r>
      <w:proofErr w:type="spellStart"/>
      <w:r w:rsidR="00B86D05" w:rsidRPr="000123C6">
        <w:rPr>
          <w:i/>
        </w:rPr>
        <w:t>Compustat</w:t>
      </w:r>
      <w:proofErr w:type="spellEnd"/>
      <w:r w:rsidR="00B86D05">
        <w:t xml:space="preserve"> meeting these sample selection criteria. These 2,</w:t>
      </w:r>
      <w:r w:rsidR="002C7797">
        <w:t>094</w:t>
      </w:r>
      <w:r w:rsidR="00B86D05">
        <w:t xml:space="preserve"> unique firms represent </w:t>
      </w:r>
      <w:r w:rsidR="002C7797">
        <w:t>21,306</w:t>
      </w:r>
      <w:r w:rsidR="0053330A">
        <w:t xml:space="preserve"> </w:t>
      </w:r>
      <w:proofErr w:type="spellStart"/>
      <w:r w:rsidR="0053330A" w:rsidRPr="000123C6">
        <w:rPr>
          <w:i/>
        </w:rPr>
        <w:t>Compustat</w:t>
      </w:r>
      <w:proofErr w:type="spellEnd"/>
      <w:r w:rsidR="00A34577">
        <w:t xml:space="preserve"> firm-years</w:t>
      </w:r>
      <w:r w:rsidR="001611CC">
        <w:rPr>
          <w:i/>
          <w:iCs/>
        </w:rPr>
        <w:t xml:space="preserve">. </w:t>
      </w:r>
      <w:r w:rsidR="0053330A">
        <w:t xml:space="preserve">We summarize this sample selection process in Table 4. </w:t>
      </w:r>
    </w:p>
    <w:p w14:paraId="5E9430D0" w14:textId="75820F75" w:rsidR="004526B1" w:rsidRDefault="004526B1" w:rsidP="004526B1">
      <w:pPr>
        <w:spacing w:line="480" w:lineRule="auto"/>
        <w:ind w:firstLine="720"/>
        <w:jc w:val="center"/>
      </w:pPr>
      <w:r>
        <w:t>[</w:t>
      </w:r>
      <w:proofErr w:type="gramStart"/>
      <w:r>
        <w:t>insert</w:t>
      </w:r>
      <w:proofErr w:type="gramEnd"/>
      <w:r>
        <w:t xml:space="preserve"> Table 4 here.]</w:t>
      </w:r>
    </w:p>
    <w:p w14:paraId="42597F29" w14:textId="26667C9A" w:rsidR="00311852" w:rsidRDefault="005734FE">
      <w:pPr>
        <w:spacing w:line="480" w:lineRule="auto"/>
        <w:ind w:firstLine="720"/>
        <w:jc w:val="both"/>
      </w:pPr>
      <w:r w:rsidRPr="0030558B">
        <w:t xml:space="preserve">Table </w:t>
      </w:r>
      <w:r w:rsidR="00870172" w:rsidRPr="0030558B">
        <w:t>5</w:t>
      </w:r>
      <w:r w:rsidRPr="0030558B">
        <w:t xml:space="preserve"> </w:t>
      </w:r>
      <w:r w:rsidR="00D3608A" w:rsidRPr="0030558B">
        <w:t>describes the</w:t>
      </w:r>
      <w:r w:rsidR="004034B7" w:rsidRPr="0030558B">
        <w:t xml:space="preserve"> </w:t>
      </w:r>
      <w:proofErr w:type="spellStart"/>
      <w:r w:rsidR="004034B7" w:rsidRPr="000123C6">
        <w:rPr>
          <w:i/>
        </w:rPr>
        <w:t>Compustat</w:t>
      </w:r>
      <w:proofErr w:type="spellEnd"/>
      <w:r w:rsidR="004034B7" w:rsidRPr="0030558B">
        <w:t xml:space="preserve"> sample</w:t>
      </w:r>
      <w:r w:rsidR="00AD11BE">
        <w:t xml:space="preserve"> used to test our hypothesis</w:t>
      </w:r>
      <w:r w:rsidR="004034B7" w:rsidRPr="0030558B">
        <w:t>.</w:t>
      </w:r>
      <w:r w:rsidR="002A6556" w:rsidRPr="0030558B">
        <w:t xml:space="preserve"> </w:t>
      </w:r>
      <w:r w:rsidR="00E11DE0" w:rsidRPr="0030558B">
        <w:t xml:space="preserve">Values are reported in $USD </w:t>
      </w:r>
      <w:proofErr w:type="gramStart"/>
      <w:r w:rsidR="00E11DE0" w:rsidRPr="0030558B">
        <w:t>millions</w:t>
      </w:r>
      <w:proofErr w:type="gramEnd"/>
      <w:r w:rsidR="00E11DE0" w:rsidRPr="0030558B">
        <w:t xml:space="preserve"> and all variables are </w:t>
      </w:r>
      <w:proofErr w:type="spellStart"/>
      <w:r w:rsidR="00E11DE0" w:rsidRPr="0030558B">
        <w:t>winsorized</w:t>
      </w:r>
      <w:proofErr w:type="spellEnd"/>
      <w:r w:rsidR="00E11DE0" w:rsidRPr="0030558B">
        <w:t xml:space="preserve"> at one and 99 percent. </w:t>
      </w:r>
      <w:r w:rsidR="00256824" w:rsidRPr="0030558B">
        <w:t xml:space="preserve">Sample firms report mean </w:t>
      </w:r>
      <w:r w:rsidR="00256824" w:rsidRPr="0030558B">
        <w:lastRenderedPageBreak/>
        <w:t xml:space="preserve">(median) capital expenditures of </w:t>
      </w:r>
      <w:r w:rsidR="00E11DE0" w:rsidRPr="0030558B">
        <w:t>$</w:t>
      </w:r>
      <w:r w:rsidR="008143B7" w:rsidRPr="0030558B">
        <w:t>4</w:t>
      </w:r>
      <w:r w:rsidR="008143B7">
        <w:t>36</w:t>
      </w:r>
      <w:r w:rsidR="008143B7" w:rsidRPr="0030558B">
        <w:t xml:space="preserve"> </w:t>
      </w:r>
      <w:r w:rsidR="00E11DE0" w:rsidRPr="0030558B">
        <w:t>($</w:t>
      </w:r>
      <w:r w:rsidR="008143B7" w:rsidRPr="0030558B">
        <w:t>5</w:t>
      </w:r>
      <w:r w:rsidR="008143B7">
        <w:t>3</w:t>
      </w:r>
      <w:r w:rsidR="00542113">
        <w:t>.</w:t>
      </w:r>
      <w:r w:rsidR="008143B7">
        <w:t>3</w:t>
      </w:r>
      <w:r w:rsidR="00E11DE0" w:rsidRPr="0030558B">
        <w:t>) million</w:t>
      </w:r>
      <w:r w:rsidR="00C53F56" w:rsidRPr="0030558B">
        <w:t>.</w:t>
      </w:r>
      <w:r w:rsidR="00E11DE0" w:rsidRPr="0030558B">
        <w:t xml:space="preserve"> </w:t>
      </w:r>
      <w:r w:rsidR="00C53F56" w:rsidRPr="0030558B">
        <w:t>Mean (median) t</w:t>
      </w:r>
      <w:r w:rsidR="00E11DE0" w:rsidRPr="0030558B">
        <w:t xml:space="preserve">otal consolidated assets </w:t>
      </w:r>
      <w:r w:rsidR="00C53F56" w:rsidRPr="0030558B">
        <w:t>are</w:t>
      </w:r>
      <w:r w:rsidR="00E11DE0" w:rsidRPr="0030558B">
        <w:t xml:space="preserve"> $</w:t>
      </w:r>
      <w:r w:rsidR="0012487F">
        <w:t>9</w:t>
      </w:r>
      <w:r w:rsidR="00542113">
        <w:t>.</w:t>
      </w:r>
      <w:r w:rsidR="008143B7">
        <w:t>8</w:t>
      </w:r>
      <w:r w:rsidR="008143B7" w:rsidRPr="0030558B">
        <w:t xml:space="preserve"> </w:t>
      </w:r>
      <w:r w:rsidR="00E11DE0" w:rsidRPr="0030558B">
        <w:t>($1.</w:t>
      </w:r>
      <w:r w:rsidR="008143B7">
        <w:t>7</w:t>
      </w:r>
      <w:r w:rsidR="00E11DE0" w:rsidRPr="0030558B">
        <w:t>) billion</w:t>
      </w:r>
      <w:r w:rsidR="00C53F56" w:rsidRPr="0030558B">
        <w:t>, lagged net property, plant, and equipment are $2.</w:t>
      </w:r>
      <w:r w:rsidR="008143B7">
        <w:t>5</w:t>
      </w:r>
      <w:r w:rsidR="008143B7" w:rsidRPr="0030558B">
        <w:t xml:space="preserve"> </w:t>
      </w:r>
      <w:r w:rsidR="00C53F56" w:rsidRPr="0030558B">
        <w:t>($0.3) billion, and operating cash flows are $</w:t>
      </w:r>
      <w:r w:rsidR="008143B7">
        <w:t>848</w:t>
      </w:r>
      <w:r w:rsidR="008143B7" w:rsidRPr="0030558B">
        <w:t xml:space="preserve"> </w:t>
      </w:r>
      <w:r w:rsidR="00C53F56" w:rsidRPr="0030558B">
        <w:t>($</w:t>
      </w:r>
      <w:r w:rsidR="008143B7" w:rsidRPr="0030558B">
        <w:t>1</w:t>
      </w:r>
      <w:r w:rsidR="008143B7">
        <w:t>25</w:t>
      </w:r>
      <w:r w:rsidR="00C53F56" w:rsidRPr="0030558B">
        <w:t>) million</w:t>
      </w:r>
      <w:r w:rsidR="002468DC">
        <w:t>.</w:t>
      </w:r>
      <w:r w:rsidR="00C53F56" w:rsidRPr="0030558B">
        <w:t xml:space="preserve"> On average, sample firms have an estimated Tobin’s Q of 1.63. For the </w:t>
      </w:r>
      <w:r w:rsidR="002C7797">
        <w:t>21,306</w:t>
      </w:r>
      <w:r w:rsidR="00C53F56" w:rsidRPr="0030558B">
        <w:t xml:space="preserve"> firm</w:t>
      </w:r>
      <w:r w:rsidR="00C460D1">
        <w:t>-year</w:t>
      </w:r>
      <w:r w:rsidR="00C53F56" w:rsidRPr="0030558B">
        <w:t xml:space="preserve">s included in the hypothesis test sample, we estimate mean (median) </w:t>
      </w:r>
      <w:r w:rsidR="00C53F56" w:rsidRPr="0030558B">
        <w:rPr>
          <w:i/>
          <w:iCs/>
        </w:rPr>
        <w:t>G</w:t>
      </w:r>
      <w:r w:rsidR="00C53F56" w:rsidRPr="0030558B">
        <w:t xml:space="preserve"> of 0.</w:t>
      </w:r>
      <w:r w:rsidR="008143B7">
        <w:t>198</w:t>
      </w:r>
      <w:r w:rsidR="00C53F56" w:rsidRPr="0030558B">
        <w:t xml:space="preserve"> (</w:t>
      </w:r>
      <w:r w:rsidR="008143B7">
        <w:t>0</w:t>
      </w:r>
      <w:r w:rsidR="002C7797">
        <w:t>.</w:t>
      </w:r>
      <w:r w:rsidR="008143B7">
        <w:t>0</w:t>
      </w:r>
      <w:r w:rsidR="002C7797">
        <w:t>8</w:t>
      </w:r>
      <w:r w:rsidR="008143B7">
        <w:t>2</w:t>
      </w:r>
      <w:r w:rsidR="00C53F56" w:rsidRPr="0030558B">
        <w:t>), indicating that sample firms on average respond to explicit tax incentives when reporting affiliate profitability</w:t>
      </w:r>
      <w:r w:rsidR="000620A7" w:rsidRPr="0030558B">
        <w:t xml:space="preserve">. </w:t>
      </w:r>
      <w:r w:rsidR="00311852" w:rsidRPr="00E21BFA">
        <w:t>Table 6 presents correlations between regression variables.</w:t>
      </w:r>
      <w:r w:rsidR="00311852">
        <w:t xml:space="preserve"> </w:t>
      </w:r>
    </w:p>
    <w:p w14:paraId="6724B2B5" w14:textId="4906CDD2" w:rsidR="004526B1" w:rsidRPr="004526B1" w:rsidRDefault="004526B1" w:rsidP="00114476">
      <w:pPr>
        <w:spacing w:line="480" w:lineRule="auto"/>
        <w:jc w:val="center"/>
      </w:pPr>
      <w:r>
        <w:t>[</w:t>
      </w:r>
      <w:proofErr w:type="gramStart"/>
      <w:r>
        <w:t>insert</w:t>
      </w:r>
      <w:proofErr w:type="gramEnd"/>
      <w:r>
        <w:t xml:space="preserve"> Tables 5 and 6 here.]</w:t>
      </w:r>
    </w:p>
    <w:p w14:paraId="427BB796" w14:textId="356F8616" w:rsidR="004A1AEA" w:rsidRPr="004A1AEA" w:rsidRDefault="004A1AEA" w:rsidP="008E2FB5">
      <w:pPr>
        <w:spacing w:line="480" w:lineRule="auto"/>
        <w:outlineLvl w:val="0"/>
        <w:rPr>
          <w:b/>
          <w:bCs/>
        </w:rPr>
      </w:pPr>
      <w:r>
        <w:rPr>
          <w:b/>
          <w:bCs/>
        </w:rPr>
        <w:t xml:space="preserve">Hypothesis Test </w:t>
      </w:r>
      <w:r w:rsidRPr="004A1AEA">
        <w:rPr>
          <w:b/>
          <w:bCs/>
        </w:rPr>
        <w:t>Results</w:t>
      </w:r>
    </w:p>
    <w:p w14:paraId="5CE1169B" w14:textId="1E51CFE1" w:rsidR="00311852" w:rsidRDefault="005734FE" w:rsidP="009132BC">
      <w:pPr>
        <w:spacing w:line="480" w:lineRule="auto"/>
        <w:ind w:firstLine="720"/>
        <w:jc w:val="both"/>
      </w:pPr>
      <w:r w:rsidRPr="00857E8B">
        <w:t xml:space="preserve">Table </w:t>
      </w:r>
      <w:r w:rsidR="00870172" w:rsidRPr="00857E8B">
        <w:t>7</w:t>
      </w:r>
      <w:r w:rsidRPr="00857E8B">
        <w:t xml:space="preserve"> presents results</w:t>
      </w:r>
      <w:r w:rsidR="00857E8B" w:rsidRPr="00857E8B">
        <w:t xml:space="preserve"> of our hypothesis tests. Panel A reports </w:t>
      </w:r>
      <w:r w:rsidR="00D6379D">
        <w:t xml:space="preserve">results </w:t>
      </w:r>
      <w:r w:rsidR="00A277CD">
        <w:t xml:space="preserve">using the capital expenditures proxy for investment; the proxy in Panel B </w:t>
      </w:r>
      <w:r w:rsidR="00400950">
        <w:t>uses the</w:t>
      </w:r>
      <w:r w:rsidR="00A277CD">
        <w:t xml:space="preserve"> change in gross fixed </w:t>
      </w:r>
      <w:r w:rsidR="00A277CD" w:rsidRPr="00A277CD">
        <w:t>assets</w:t>
      </w:r>
      <w:r w:rsidRPr="00A277CD">
        <w:t xml:space="preserve">. </w:t>
      </w:r>
      <w:r w:rsidR="00A277CD" w:rsidRPr="00A277CD">
        <w:t>The base investmen</w:t>
      </w:r>
      <w:r w:rsidR="00A277CD">
        <w:t xml:space="preserve">t model of equation (2) </w:t>
      </w:r>
      <w:proofErr w:type="gramStart"/>
      <w:r w:rsidR="00A277CD">
        <w:t>is presented</w:t>
      </w:r>
      <w:proofErr w:type="gramEnd"/>
      <w:r w:rsidR="00A277CD">
        <w:t xml:space="preserve"> in the odd-numbered columns</w:t>
      </w:r>
      <w:r w:rsidR="00114476">
        <w:t>; w</w:t>
      </w:r>
      <w:r w:rsidR="00A277CD">
        <w:t>e include income</w:t>
      </w:r>
      <w:r w:rsidR="005C6057">
        <w:t>-</w:t>
      </w:r>
      <w:r w:rsidR="00A277CD">
        <w:t xml:space="preserve">shifting aggressiveness in the even-numbered columns. </w:t>
      </w:r>
      <w:r w:rsidR="00A277CD" w:rsidRPr="009133F4">
        <w:t xml:space="preserve">Columns </w:t>
      </w:r>
      <w:r w:rsidR="00114476">
        <w:t xml:space="preserve">otherwise </w:t>
      </w:r>
      <w:r w:rsidR="00A277CD" w:rsidRPr="009133F4">
        <w:t xml:space="preserve">vary in the proxy for growth opportunities: (1)-(2) use </w:t>
      </w:r>
      <w:r w:rsidR="00A277CD" w:rsidRPr="009133F4">
        <w:rPr>
          <w:i/>
          <w:iCs/>
        </w:rPr>
        <w:t>Q</w:t>
      </w:r>
      <w:r w:rsidR="00A277CD" w:rsidRPr="009133F4">
        <w:rPr>
          <w:i/>
          <w:iCs/>
          <w:vertAlign w:val="subscript"/>
        </w:rPr>
        <w:t>t-1</w:t>
      </w:r>
      <w:r w:rsidR="00A277CD" w:rsidRPr="009133F4">
        <w:rPr>
          <w:i/>
          <w:iCs/>
        </w:rPr>
        <w:t>,</w:t>
      </w:r>
      <w:r w:rsidR="00A277CD" w:rsidRPr="009133F4">
        <w:rPr>
          <w:i/>
          <w:iCs/>
          <w:vertAlign w:val="subscript"/>
        </w:rPr>
        <w:t xml:space="preserve"> </w:t>
      </w:r>
      <w:r w:rsidR="00A277CD" w:rsidRPr="009133F4">
        <w:t>(3)-(4) use</w:t>
      </w:r>
      <w:r w:rsidR="00A277CD" w:rsidRPr="009133F4">
        <w:rPr>
          <w:i/>
          <w:iCs/>
        </w:rPr>
        <w:t xml:space="preserve"> MeanQ</w:t>
      </w:r>
      <w:r w:rsidR="00A277CD" w:rsidRPr="009133F4">
        <w:rPr>
          <w:i/>
          <w:iCs/>
          <w:vertAlign w:val="subscript"/>
        </w:rPr>
        <w:t>t-1</w:t>
      </w:r>
      <w:r w:rsidR="00A277CD" w:rsidRPr="009133F4">
        <w:t>, (5)-(6) use</w:t>
      </w:r>
      <w:r w:rsidR="00A277CD" w:rsidRPr="009133F4">
        <w:rPr>
          <w:i/>
          <w:iCs/>
        </w:rPr>
        <w:t xml:space="preserve"> MedQ</w:t>
      </w:r>
      <w:r w:rsidR="00A277CD" w:rsidRPr="009133F4">
        <w:rPr>
          <w:i/>
          <w:iCs/>
          <w:vertAlign w:val="subscript"/>
        </w:rPr>
        <w:t>t-1</w:t>
      </w:r>
      <w:r w:rsidR="00A277CD" w:rsidRPr="009133F4">
        <w:t>, and (7)-(8) use</w:t>
      </w:r>
      <w:r w:rsidR="00A277CD" w:rsidRPr="009133F4">
        <w:rPr>
          <w:i/>
          <w:iCs/>
        </w:rPr>
        <w:t xml:space="preserve"> MedPE</w:t>
      </w:r>
      <w:r w:rsidR="00A277CD" w:rsidRPr="009133F4">
        <w:rPr>
          <w:i/>
          <w:iCs/>
          <w:vertAlign w:val="subscript"/>
        </w:rPr>
        <w:t>t-1</w:t>
      </w:r>
      <w:r w:rsidR="00A277CD" w:rsidRPr="009133F4">
        <w:rPr>
          <w:i/>
        </w:rPr>
        <w:t xml:space="preserve">. </w:t>
      </w:r>
      <w:r w:rsidR="00114476">
        <w:t xml:space="preserve">We </w:t>
      </w:r>
      <w:r w:rsidR="00A277CD">
        <w:t xml:space="preserve">estimate </w:t>
      </w:r>
      <w:r w:rsidR="00FF5011">
        <w:t xml:space="preserve">a positive and significant coefficient on </w:t>
      </w:r>
      <w:r w:rsidR="00FF5011">
        <w:rPr>
          <w:i/>
          <w:iCs/>
        </w:rPr>
        <w:t>G</w:t>
      </w:r>
      <w:r w:rsidR="00A277CD">
        <w:rPr>
          <w:iCs/>
        </w:rPr>
        <w:t xml:space="preserve"> in three of the four columns</w:t>
      </w:r>
      <w:r w:rsidR="00114476">
        <w:rPr>
          <w:iCs/>
        </w:rPr>
        <w:t xml:space="preserve"> in which it is included in Panel A and each of the four columns in which it is included in Panel B</w:t>
      </w:r>
      <w:r w:rsidR="00FF5011">
        <w:t>,</w:t>
      </w:r>
      <w:r w:rsidRPr="00857E8B">
        <w:t xml:space="preserve"> suggest</w:t>
      </w:r>
      <w:r w:rsidR="00FF5011">
        <w:t>ing</w:t>
      </w:r>
      <w:r w:rsidRPr="00857E8B">
        <w:t xml:space="preserve"> that tax-motivated </w:t>
      </w:r>
      <w:r w:rsidR="00FF5011">
        <w:t>income shifting</w:t>
      </w:r>
      <w:r w:rsidRPr="00857E8B">
        <w:t xml:space="preserve"> incentives </w:t>
      </w:r>
      <w:proofErr w:type="gramStart"/>
      <w:r w:rsidRPr="00857E8B">
        <w:t>are also positively related</w:t>
      </w:r>
      <w:proofErr w:type="gramEnd"/>
      <w:r w:rsidRPr="00857E8B">
        <w:t xml:space="preserve"> to investment. </w:t>
      </w:r>
      <w:r w:rsidR="00683197">
        <w:t>In terms of economic magnitude, we estimate that a one standard deviation increase in income shifting aggressiveness for the average sample firm is associated with a</w:t>
      </w:r>
      <w:r w:rsidR="00F65A01">
        <w:t xml:space="preserve">n increase </w:t>
      </w:r>
      <w:r w:rsidR="00683197">
        <w:t>in investment</w:t>
      </w:r>
      <w:r w:rsidR="00F65A01">
        <w:t xml:space="preserve"> of between 2.34% and 6.30%, depending on the specification</w:t>
      </w:r>
      <w:r w:rsidR="00683197">
        <w:t xml:space="preserve">. </w:t>
      </w:r>
    </w:p>
    <w:p w14:paraId="5FF037CB" w14:textId="7CDE7CB1" w:rsidR="005649A5" w:rsidRPr="00452E16" w:rsidRDefault="00311852" w:rsidP="009133F4">
      <w:pPr>
        <w:spacing w:line="480" w:lineRule="auto"/>
        <w:jc w:val="center"/>
      </w:pPr>
      <w:r>
        <w:t>[</w:t>
      </w:r>
      <w:proofErr w:type="gramStart"/>
      <w:r>
        <w:t>insert</w:t>
      </w:r>
      <w:proofErr w:type="gramEnd"/>
      <w:r>
        <w:t xml:space="preserve"> Table 7 here.]</w:t>
      </w:r>
    </w:p>
    <w:p w14:paraId="6EA3ACCF" w14:textId="2646475F" w:rsidR="008E2DEE" w:rsidRDefault="008E2DEE" w:rsidP="00133EC5">
      <w:pPr>
        <w:pStyle w:val="ListParagraph"/>
        <w:keepNext/>
        <w:numPr>
          <w:ilvl w:val="0"/>
          <w:numId w:val="8"/>
        </w:numPr>
        <w:spacing w:line="480" w:lineRule="auto"/>
        <w:contextualSpacing w:val="0"/>
        <w:jc w:val="center"/>
        <w:rPr>
          <w:b/>
        </w:rPr>
      </w:pPr>
      <w:r>
        <w:rPr>
          <w:b/>
        </w:rPr>
        <w:lastRenderedPageBreak/>
        <w:t>Conclusions and Future Work</w:t>
      </w:r>
    </w:p>
    <w:p w14:paraId="4D60417D" w14:textId="2949883F" w:rsidR="008E2DEE" w:rsidRPr="00885C04" w:rsidRDefault="004766EB">
      <w:pPr>
        <w:spacing w:line="480" w:lineRule="auto"/>
        <w:ind w:firstLine="720"/>
        <w:jc w:val="both"/>
      </w:pPr>
      <w:r>
        <w:t xml:space="preserve">We study the relation between income shifting aggressiveness and corporate investment efficiency. Using a sample of unconsolidated affiliates of multinational </w:t>
      </w:r>
      <w:r w:rsidR="00E964A6">
        <w:t>firm</w:t>
      </w:r>
      <w:r>
        <w:t>s, we first estimate a firm-specific measure of income shifting aggressiveness. This measure builds off prior income shifting models and provides a new measure of firm-specific sensitivity to tax incentives</w:t>
      </w:r>
      <w:r w:rsidR="00311852">
        <w:t xml:space="preserve"> that may be</w:t>
      </w:r>
      <w:r>
        <w:t xml:space="preserve"> useful to future researchers. </w:t>
      </w:r>
      <w:r w:rsidR="00D052E9">
        <w:t xml:space="preserve">We then use this measure of income shifting </w:t>
      </w:r>
      <w:r w:rsidR="00311852">
        <w:t>aggressiveness</w:t>
      </w:r>
      <w:r w:rsidR="00D052E9">
        <w:t xml:space="preserve"> to examine whether firms engaging in aggressive income shifting are “fooled” </w:t>
      </w:r>
      <w:r w:rsidR="00311852">
        <w:t xml:space="preserve">into overinvesting </w:t>
      </w:r>
      <w:r w:rsidR="00D052E9">
        <w:t xml:space="preserve">by their own tax-motivated profit allocations. </w:t>
      </w:r>
      <w:r w:rsidR="00885C04">
        <w:t xml:space="preserve">Such aggregate overinvestment </w:t>
      </w:r>
      <w:r w:rsidR="00CF56A2">
        <w:t xml:space="preserve">can </w:t>
      </w:r>
      <w:r w:rsidR="00885C04">
        <w:t xml:space="preserve">result from </w:t>
      </w:r>
      <w:r w:rsidR="00CF56A2">
        <w:t>aggressive income shifting lead</w:t>
      </w:r>
      <w:r w:rsidR="004D6A21">
        <w:t>ing</w:t>
      </w:r>
      <w:r w:rsidR="00CF56A2">
        <w:t xml:space="preserve"> to reported profitability exceeding operational profitability, thus resulting in overinvestment based on reported profitability. </w:t>
      </w:r>
      <w:r w:rsidR="004D6A21">
        <w:t>Further</w:t>
      </w:r>
      <w:r w:rsidR="00CF56A2">
        <w:t xml:space="preserve">, firms </w:t>
      </w:r>
      <w:r w:rsidR="004D6A21">
        <w:t>may</w:t>
      </w:r>
      <w:r w:rsidR="00CF56A2">
        <w:t xml:space="preserve"> </w:t>
      </w:r>
      <w:r w:rsidR="00885C04">
        <w:t xml:space="preserve">invest more </w:t>
      </w:r>
      <w:r w:rsidR="00CF56A2">
        <w:t xml:space="preserve">both </w:t>
      </w:r>
      <w:r w:rsidR="00885C04">
        <w:t xml:space="preserve">in affiliates in which reported profitability is greater than actual profitability due to tax incentives </w:t>
      </w:r>
      <w:r w:rsidR="00885C04">
        <w:rPr>
          <w:i/>
          <w:iCs/>
        </w:rPr>
        <w:t xml:space="preserve">and </w:t>
      </w:r>
      <w:r w:rsidR="00885C04">
        <w:t>in affiliates in which reported profitability is lower but the effe</w:t>
      </w:r>
      <w:r w:rsidR="00DB136E">
        <w:t xml:space="preserve">ct </w:t>
      </w:r>
      <w:proofErr w:type="gramStart"/>
      <w:r w:rsidR="00DB136E">
        <w:t>is attributed</w:t>
      </w:r>
      <w:proofErr w:type="gramEnd"/>
      <w:r w:rsidR="00DB136E">
        <w:t xml:space="preserve"> to income shif</w:t>
      </w:r>
      <w:r w:rsidR="00885C04">
        <w:t>ting and therefore unwound.</w:t>
      </w:r>
      <w:r w:rsidR="009E6EEA">
        <w:t xml:space="preserve"> We find evidence consistent with a positive relation between income shifting ag</w:t>
      </w:r>
      <w:r w:rsidR="00032548">
        <w:t>gressiveness and overinvestment, thereby documenting a previously under-explored consequence of tax-motivated cross-jurisdictional income shifting.</w:t>
      </w:r>
    </w:p>
    <w:p w14:paraId="460A7C5D" w14:textId="35C0B367" w:rsidR="00683197" w:rsidRDefault="005734FE" w:rsidP="009133F4">
      <w:pPr>
        <w:spacing w:line="480" w:lineRule="auto"/>
        <w:ind w:firstLine="720"/>
        <w:jc w:val="both"/>
        <w:rPr>
          <w:b/>
        </w:rPr>
      </w:pPr>
      <w:r>
        <w:t xml:space="preserve">Over the next few months, we plan </w:t>
      </w:r>
      <w:proofErr w:type="gramStart"/>
      <w:r>
        <w:t>to further test</w:t>
      </w:r>
      <w:proofErr w:type="gramEnd"/>
      <w:r>
        <w:t xml:space="preserve"> this result. First, </w:t>
      </w:r>
      <w:r w:rsidR="00311852">
        <w:t xml:space="preserve">we intend to </w:t>
      </w:r>
      <w:r w:rsidR="00C9729D">
        <w:t xml:space="preserve">test our hypothesis at the affiliate-level. We expect to find the overinvestment concentrated in relatively low-tax affiliates who have a tax incentive to report higher than predicted profit. </w:t>
      </w:r>
      <w:r w:rsidR="005D1452">
        <w:t>Second</w:t>
      </w:r>
      <w:r w:rsidR="00C9729D">
        <w:t xml:space="preserve">, we may </w:t>
      </w:r>
      <w:r w:rsidR="00311852">
        <w:t>test additional measures of investment, such as number of employees and the total compensation expense of observable affiliates to provide a more complete picture of the type of investment decisions affected</w:t>
      </w:r>
      <w:r w:rsidR="00311852" w:rsidRPr="00BF6B82">
        <w:t xml:space="preserve">. </w:t>
      </w:r>
    </w:p>
    <w:p w14:paraId="5732087A" w14:textId="77777777" w:rsidR="00A9124E" w:rsidRDefault="00A9124E">
      <w:pPr>
        <w:rPr>
          <w:b/>
        </w:rPr>
      </w:pPr>
      <w:r>
        <w:rPr>
          <w:b/>
        </w:rPr>
        <w:br w:type="page"/>
      </w:r>
    </w:p>
    <w:p w14:paraId="44F2E8EC" w14:textId="58AF468A" w:rsidR="001D6A5D" w:rsidRPr="0042218F" w:rsidRDefault="006B59A4" w:rsidP="008E2FB5">
      <w:pPr>
        <w:jc w:val="both"/>
        <w:outlineLvl w:val="0"/>
        <w:rPr>
          <w:b/>
        </w:rPr>
      </w:pPr>
      <w:r w:rsidRPr="0042218F">
        <w:rPr>
          <w:b/>
        </w:rPr>
        <w:lastRenderedPageBreak/>
        <w:t>References</w:t>
      </w:r>
    </w:p>
    <w:p w14:paraId="2D9D17DA" w14:textId="77777777" w:rsidR="006B59A4" w:rsidRPr="0042218F" w:rsidRDefault="006B59A4" w:rsidP="001230D1">
      <w:pPr>
        <w:jc w:val="both"/>
      </w:pPr>
    </w:p>
    <w:p w14:paraId="360B12DD" w14:textId="74BAB3FE" w:rsidR="007674B9" w:rsidRDefault="007674B9" w:rsidP="00934F86">
      <w:pPr>
        <w:jc w:val="both"/>
      </w:pPr>
      <w:proofErr w:type="spellStart"/>
      <w:r>
        <w:t>Badertscher</w:t>
      </w:r>
      <w:proofErr w:type="spellEnd"/>
      <w:r>
        <w:t xml:space="preserve">, B., N. Shroff, and H.D. White, 2013. Externalities of public firm pressure: Evidence from private firms’ investment decisions. </w:t>
      </w:r>
      <w:r w:rsidRPr="007674B9">
        <w:rPr>
          <w:i/>
        </w:rPr>
        <w:t>Journal of Financial Economics</w:t>
      </w:r>
      <w:r>
        <w:t xml:space="preserve">. </w:t>
      </w:r>
      <w:proofErr w:type="gramStart"/>
      <w:r>
        <w:t>109</w:t>
      </w:r>
      <w:proofErr w:type="gramEnd"/>
      <w:r>
        <w:t>: 682-706.</w:t>
      </w:r>
    </w:p>
    <w:p w14:paraId="61DF6D24" w14:textId="77777777" w:rsidR="007674B9" w:rsidRDefault="007674B9" w:rsidP="007674B9"/>
    <w:p w14:paraId="2F85185E" w14:textId="021C0D74" w:rsidR="00934F86" w:rsidRPr="00934F86" w:rsidRDefault="00934F86" w:rsidP="00934F86">
      <w:pPr>
        <w:jc w:val="both"/>
      </w:pPr>
      <w:proofErr w:type="spellStart"/>
      <w:r w:rsidRPr="00934F86">
        <w:t>Bem</w:t>
      </w:r>
      <w:proofErr w:type="spellEnd"/>
      <w:r w:rsidRPr="00934F86">
        <w:t>, D.J., 1965</w:t>
      </w:r>
      <w:r w:rsidR="007674B9">
        <w:t>.</w:t>
      </w:r>
      <w:r w:rsidRPr="00934F86">
        <w:t> An experimental analysis of self-persuasion. </w:t>
      </w:r>
      <w:r w:rsidRPr="00934F86">
        <w:rPr>
          <w:i/>
        </w:rPr>
        <w:t>Journal of Experimental Social Psychology</w:t>
      </w:r>
      <w:r>
        <w:rPr>
          <w:i/>
        </w:rPr>
        <w:t>.</w:t>
      </w:r>
      <w:r w:rsidRPr="00934F86">
        <w:rPr>
          <w:i/>
        </w:rPr>
        <w:t> </w:t>
      </w:r>
      <w:proofErr w:type="gramStart"/>
      <w:r w:rsidRPr="00934F86">
        <w:t>1</w:t>
      </w:r>
      <w:proofErr w:type="gramEnd"/>
      <w:r w:rsidRPr="00934F86">
        <w:t>: 199–218.</w:t>
      </w:r>
    </w:p>
    <w:p w14:paraId="617C8C3C" w14:textId="77777777" w:rsidR="00934F86" w:rsidRDefault="00934F86" w:rsidP="001230D1">
      <w:pPr>
        <w:jc w:val="both"/>
      </w:pPr>
    </w:p>
    <w:p w14:paraId="5F66DE80" w14:textId="0E3D5012" w:rsidR="0042218F" w:rsidRPr="0042218F" w:rsidRDefault="0042218F" w:rsidP="001230D1">
      <w:pPr>
        <w:jc w:val="both"/>
      </w:pPr>
      <w:proofErr w:type="spellStart"/>
      <w:r w:rsidRPr="0042218F">
        <w:t>Blouin</w:t>
      </w:r>
      <w:proofErr w:type="spellEnd"/>
      <w:r w:rsidRPr="0042218F">
        <w:t xml:space="preserve">, </w:t>
      </w:r>
      <w:r w:rsidR="00582C4F">
        <w:t xml:space="preserve">J., L. </w:t>
      </w:r>
      <w:proofErr w:type="spellStart"/>
      <w:r w:rsidRPr="0042218F">
        <w:t>Krull</w:t>
      </w:r>
      <w:proofErr w:type="spellEnd"/>
      <w:r w:rsidRPr="0042218F">
        <w:t xml:space="preserve">, and </w:t>
      </w:r>
      <w:r w:rsidR="00582C4F">
        <w:t>L. Robinson, 201</w:t>
      </w:r>
      <w:r w:rsidR="004F38A1">
        <w:t>4</w:t>
      </w:r>
      <w:r w:rsidR="00582C4F">
        <w:t>. The location, composition, and investment implications of permanently reinvested earnings. University of Pennsylvania, University of Oregon and Dartmouth College working paper.</w:t>
      </w:r>
    </w:p>
    <w:p w14:paraId="365157F0" w14:textId="77777777" w:rsidR="0042218F" w:rsidRPr="0042218F" w:rsidRDefault="0042218F" w:rsidP="001230D1">
      <w:pPr>
        <w:jc w:val="both"/>
      </w:pPr>
    </w:p>
    <w:p w14:paraId="2842D622" w14:textId="36F17D0C" w:rsidR="006374F3" w:rsidRDefault="006374F3" w:rsidP="001230D1">
      <w:pPr>
        <w:jc w:val="both"/>
      </w:pPr>
      <w:proofErr w:type="spellStart"/>
      <w:r>
        <w:t>Blouin</w:t>
      </w:r>
      <w:proofErr w:type="spellEnd"/>
      <w:r>
        <w:t xml:space="preserve">, J., L. Robinson, and J. Seidman, 2016. </w:t>
      </w:r>
      <w:r w:rsidR="00DB039C">
        <w:t xml:space="preserve">Conflicting transfer pricing incentives and the role of coordination. </w:t>
      </w:r>
      <w:r w:rsidR="00F926A6">
        <w:rPr>
          <w:i/>
        </w:rPr>
        <w:t xml:space="preserve">Contemporary Accounting Research, </w:t>
      </w:r>
      <w:r w:rsidR="00F926A6">
        <w:t>forthcoming</w:t>
      </w:r>
      <w:r w:rsidR="00DB039C">
        <w:t>.</w:t>
      </w:r>
    </w:p>
    <w:p w14:paraId="271D95D1" w14:textId="77777777" w:rsidR="006374F3" w:rsidRDefault="006374F3" w:rsidP="001230D1">
      <w:pPr>
        <w:jc w:val="both"/>
      </w:pPr>
    </w:p>
    <w:p w14:paraId="35E9EAFF" w14:textId="48EAAF97" w:rsidR="0042218F" w:rsidRPr="0042218F" w:rsidRDefault="0042218F" w:rsidP="001230D1">
      <w:pPr>
        <w:jc w:val="both"/>
      </w:pPr>
      <w:proofErr w:type="spellStart"/>
      <w:r w:rsidRPr="0042218F">
        <w:t>Buet</w:t>
      </w:r>
      <w:r w:rsidR="00582C4F">
        <w:t>tner</w:t>
      </w:r>
      <w:proofErr w:type="spellEnd"/>
      <w:r w:rsidR="00582C4F">
        <w:t xml:space="preserve">, T., M. </w:t>
      </w:r>
      <w:proofErr w:type="spellStart"/>
      <w:r w:rsidR="00582C4F">
        <w:t>Overesch</w:t>
      </w:r>
      <w:proofErr w:type="spellEnd"/>
      <w:r w:rsidR="00582C4F">
        <w:t xml:space="preserve">, and G. </w:t>
      </w:r>
      <w:proofErr w:type="spellStart"/>
      <w:r w:rsidR="00582C4F">
        <w:t>Wamser</w:t>
      </w:r>
      <w:proofErr w:type="spellEnd"/>
      <w:r w:rsidR="00582C4F">
        <w:t xml:space="preserve">, 2014. </w:t>
      </w:r>
      <w:proofErr w:type="spellStart"/>
      <w:r w:rsidR="00582C4F">
        <w:t>Anti profit</w:t>
      </w:r>
      <w:proofErr w:type="spellEnd"/>
      <w:r w:rsidR="00582C4F">
        <w:t xml:space="preserve">-shifting rules and foreign direct investment. </w:t>
      </w:r>
      <w:proofErr w:type="spellStart"/>
      <w:r w:rsidR="00582C4F">
        <w:t>CESifo</w:t>
      </w:r>
      <w:proofErr w:type="spellEnd"/>
      <w:r w:rsidR="00582C4F">
        <w:t xml:space="preserve"> Working paper No. 4710.</w:t>
      </w:r>
    </w:p>
    <w:p w14:paraId="216B8EC8" w14:textId="77777777" w:rsidR="0042218F" w:rsidRPr="0042218F" w:rsidRDefault="0042218F" w:rsidP="001230D1">
      <w:pPr>
        <w:jc w:val="both"/>
      </w:pPr>
    </w:p>
    <w:p w14:paraId="61414B5B" w14:textId="57F1D607" w:rsidR="00D928DF" w:rsidRDefault="00D928DF" w:rsidP="0042218F">
      <w:pPr>
        <w:jc w:val="both"/>
      </w:pPr>
      <w:r>
        <w:t xml:space="preserve">Chen, C., B. </w:t>
      </w:r>
      <w:proofErr w:type="spellStart"/>
      <w:r>
        <w:t>Hepfer</w:t>
      </w:r>
      <w:proofErr w:type="spellEnd"/>
      <w:r>
        <w:t>, P. Quinn, and R. Wilson</w:t>
      </w:r>
      <w:r w:rsidR="00F65A01">
        <w:t>,</w:t>
      </w:r>
      <w:r>
        <w:t xml:space="preserve"> 201</w:t>
      </w:r>
      <w:r w:rsidR="00F65A01">
        <w:t>7</w:t>
      </w:r>
      <w:r>
        <w:t xml:space="preserve">. </w:t>
      </w:r>
      <w:r w:rsidR="00F65A01">
        <w:t xml:space="preserve">The effect of income shifting on the information environment: Evidence from two-stage least squares and SFAS 131. </w:t>
      </w:r>
      <w:r>
        <w:t>University of Illinois, Texas A&amp;M University, University of Washington and University of Illinois working paper.</w:t>
      </w:r>
    </w:p>
    <w:p w14:paraId="20F4D6E0" w14:textId="77777777" w:rsidR="00D928DF" w:rsidRDefault="00D928DF" w:rsidP="0042218F">
      <w:pPr>
        <w:jc w:val="both"/>
      </w:pPr>
    </w:p>
    <w:p w14:paraId="3CD41127" w14:textId="736D3B8F" w:rsidR="0042218F" w:rsidRDefault="0042218F" w:rsidP="0042218F">
      <w:pPr>
        <w:jc w:val="both"/>
      </w:pPr>
      <w:r w:rsidRPr="0042218F">
        <w:t xml:space="preserve">Cook, Jr., P., 1955. Decentralization and the transfer-pricing problem. </w:t>
      </w:r>
      <w:r w:rsidRPr="0042218F">
        <w:rPr>
          <w:i/>
        </w:rPr>
        <w:t>Journal of Business</w:t>
      </w:r>
      <w:r w:rsidRPr="0042218F">
        <w:t xml:space="preserve"> 28: 87-94.</w:t>
      </w:r>
    </w:p>
    <w:p w14:paraId="275CE976" w14:textId="77777777" w:rsidR="00934F86" w:rsidRDefault="00934F86" w:rsidP="0042218F">
      <w:pPr>
        <w:jc w:val="both"/>
      </w:pPr>
    </w:p>
    <w:p w14:paraId="32750EB0" w14:textId="728B713B" w:rsidR="00934F86" w:rsidRPr="0042218F" w:rsidRDefault="00934F86" w:rsidP="0042218F">
      <w:pPr>
        <w:jc w:val="both"/>
      </w:pPr>
      <w:r>
        <w:t xml:space="preserve">Daniel, K., D. </w:t>
      </w:r>
      <w:proofErr w:type="spellStart"/>
      <w:r>
        <w:t>Hirschleifer</w:t>
      </w:r>
      <w:proofErr w:type="spellEnd"/>
      <w:r>
        <w:t xml:space="preserve">, and A. </w:t>
      </w:r>
      <w:proofErr w:type="spellStart"/>
      <w:r>
        <w:t>Subrahmanyam</w:t>
      </w:r>
      <w:proofErr w:type="spellEnd"/>
      <w:r>
        <w:t xml:space="preserve">. 1998. Investor psychology and security market under- and overreactions. </w:t>
      </w:r>
      <w:r w:rsidRPr="00934F86">
        <w:rPr>
          <w:i/>
        </w:rPr>
        <w:t>Journal of Finance</w:t>
      </w:r>
      <w:r>
        <w:t>. 53(6): 1839-1885.</w:t>
      </w:r>
    </w:p>
    <w:p w14:paraId="2EA2CA41" w14:textId="77777777" w:rsidR="0042218F" w:rsidRPr="0042218F" w:rsidRDefault="0042218F" w:rsidP="0042218F">
      <w:pPr>
        <w:jc w:val="both"/>
      </w:pPr>
    </w:p>
    <w:p w14:paraId="302CF975" w14:textId="412292B3" w:rsidR="0042218F" w:rsidRPr="0042218F" w:rsidRDefault="0042218F" w:rsidP="008E2FB5">
      <w:pPr>
        <w:jc w:val="both"/>
        <w:outlineLvl w:val="0"/>
      </w:pPr>
      <w:r w:rsidRPr="0042218F">
        <w:t xml:space="preserve">Dean, J., 1955. Decentralization and intra-company pricing. </w:t>
      </w:r>
      <w:r w:rsidRPr="0042218F">
        <w:rPr>
          <w:i/>
        </w:rPr>
        <w:t>Harvard Business Review</w:t>
      </w:r>
      <w:r w:rsidRPr="0042218F">
        <w:t xml:space="preserve"> 33: 65-74.</w:t>
      </w:r>
    </w:p>
    <w:p w14:paraId="486AB806" w14:textId="77777777" w:rsidR="0042218F" w:rsidRPr="0042218F" w:rsidRDefault="0042218F" w:rsidP="0042218F">
      <w:pPr>
        <w:jc w:val="both"/>
      </w:pPr>
    </w:p>
    <w:p w14:paraId="319E79FE" w14:textId="385DC283" w:rsidR="006374F3" w:rsidRDefault="006374F3" w:rsidP="0042218F">
      <w:pPr>
        <w:jc w:val="both"/>
      </w:pPr>
      <w:r>
        <w:t xml:space="preserve">De Simone, L., 2016. </w:t>
      </w:r>
      <w:r w:rsidR="00DB039C">
        <w:t>Does a common set of accounting standards affect tax-motivated income shifting for multinational firms?</w:t>
      </w:r>
      <w:r w:rsidR="00DB039C" w:rsidRPr="00DB039C">
        <w:rPr>
          <w:i/>
        </w:rPr>
        <w:t xml:space="preserve"> Journal of Accounting and Economics </w:t>
      </w:r>
      <w:r w:rsidR="00DB039C">
        <w:t>61: 135-165.</w:t>
      </w:r>
    </w:p>
    <w:p w14:paraId="27BAD48D" w14:textId="77777777" w:rsidR="006374F3" w:rsidRDefault="006374F3" w:rsidP="0042218F">
      <w:pPr>
        <w:jc w:val="both"/>
      </w:pPr>
    </w:p>
    <w:p w14:paraId="69A75E63" w14:textId="695716C4" w:rsidR="0042218F" w:rsidRDefault="0042218F" w:rsidP="0042218F">
      <w:pPr>
        <w:jc w:val="both"/>
      </w:pPr>
      <w:r w:rsidRPr="0042218F">
        <w:t xml:space="preserve">De Simone, </w:t>
      </w:r>
      <w:r>
        <w:t xml:space="preserve">L., K. </w:t>
      </w:r>
      <w:r w:rsidRPr="0042218F">
        <w:t>Klassen</w:t>
      </w:r>
      <w:r>
        <w:t>,</w:t>
      </w:r>
      <w:r w:rsidRPr="0042218F">
        <w:t xml:space="preserve"> and </w:t>
      </w:r>
      <w:r>
        <w:t xml:space="preserve">J. </w:t>
      </w:r>
      <w:r w:rsidRPr="0042218F">
        <w:t>Seidman</w:t>
      </w:r>
      <w:r>
        <w:t xml:space="preserve">, 2017. Unprofitable affiliates and income shifting behavior. </w:t>
      </w:r>
      <w:r w:rsidRPr="0042218F">
        <w:rPr>
          <w:i/>
        </w:rPr>
        <w:t>The Accounting Review</w:t>
      </w:r>
      <w:r w:rsidR="00F926A6">
        <w:t xml:space="preserve"> 92: 113-136</w:t>
      </w:r>
      <w:r>
        <w:t>.</w:t>
      </w:r>
    </w:p>
    <w:p w14:paraId="62A9C6A0" w14:textId="77777777" w:rsidR="0048642F" w:rsidRDefault="0048642F" w:rsidP="0042218F">
      <w:pPr>
        <w:jc w:val="both"/>
      </w:pPr>
    </w:p>
    <w:p w14:paraId="37A123C1" w14:textId="6AA7701F" w:rsidR="00F926A6" w:rsidRDefault="008535D2" w:rsidP="0042218F">
      <w:pPr>
        <w:jc w:val="both"/>
      </w:pPr>
      <w:proofErr w:type="spellStart"/>
      <w:r>
        <w:t>Dharmapala</w:t>
      </w:r>
      <w:proofErr w:type="spellEnd"/>
      <w:r>
        <w:t xml:space="preserve">, D., and N. Riedel, 2013. “Earnings shocks and tax-motivated income-shifting: Evidence from European multinationals,” </w:t>
      </w:r>
      <w:r w:rsidRPr="00DA5E13">
        <w:rPr>
          <w:i/>
        </w:rPr>
        <w:t>Journal of Public Economics</w:t>
      </w:r>
      <w:r>
        <w:t xml:space="preserve"> 97(1): 95-107.</w:t>
      </w:r>
    </w:p>
    <w:p w14:paraId="5A66AD32" w14:textId="77777777" w:rsidR="008535D2" w:rsidRDefault="008535D2" w:rsidP="0042218F">
      <w:pPr>
        <w:jc w:val="both"/>
      </w:pPr>
    </w:p>
    <w:p w14:paraId="2635D4ED" w14:textId="6DB0EDD6" w:rsidR="0048642F" w:rsidRDefault="0048642F" w:rsidP="0042218F">
      <w:pPr>
        <w:jc w:val="both"/>
      </w:pPr>
      <w:r>
        <w:t xml:space="preserve">Donohoe, M.P., G.A. McGill, and E. </w:t>
      </w:r>
      <w:proofErr w:type="spellStart"/>
      <w:proofErr w:type="gramStart"/>
      <w:r>
        <w:t>Outslay</w:t>
      </w:r>
      <w:proofErr w:type="spellEnd"/>
      <w:r>
        <w:t>,</w:t>
      </w:r>
      <w:proofErr w:type="gramEnd"/>
      <w:r>
        <w:t xml:space="preserve"> 2012. Through a glass darkly: What can we learn about a U.S. multinational </w:t>
      </w:r>
      <w:proofErr w:type="spellStart"/>
      <w:r>
        <w:t>coporation’s</w:t>
      </w:r>
      <w:proofErr w:type="spellEnd"/>
      <w:r>
        <w:t xml:space="preserve"> international operations from its financial statement disclosure? </w:t>
      </w:r>
      <w:r w:rsidRPr="0048642F">
        <w:rPr>
          <w:i/>
        </w:rPr>
        <w:t>National Tax Journal</w:t>
      </w:r>
      <w:r>
        <w:t xml:space="preserve"> 65(4): 961-984.</w:t>
      </w:r>
    </w:p>
    <w:p w14:paraId="61E9BC94" w14:textId="77777777" w:rsidR="002A3C09" w:rsidRDefault="002A3C09" w:rsidP="0042218F">
      <w:pPr>
        <w:jc w:val="both"/>
      </w:pPr>
    </w:p>
    <w:p w14:paraId="44ACF268" w14:textId="439F797B" w:rsidR="006374F3" w:rsidRDefault="006374F3" w:rsidP="0042218F">
      <w:pPr>
        <w:jc w:val="both"/>
      </w:pPr>
      <w:proofErr w:type="spellStart"/>
      <w:r>
        <w:lastRenderedPageBreak/>
        <w:t>Dyreng</w:t>
      </w:r>
      <w:proofErr w:type="spellEnd"/>
      <w:r>
        <w:t>, S., and B. Lindsey, 2009.</w:t>
      </w:r>
      <w:r w:rsidR="00DB039C">
        <w:t xml:space="preserve"> Using financial accounting data to examine the effect of foreign operations located in tax havens and other countries on U.S. multinational firms’ tax rates. </w:t>
      </w:r>
      <w:r w:rsidR="00DB039C" w:rsidRPr="00DB039C">
        <w:rPr>
          <w:i/>
        </w:rPr>
        <w:t>Journal of Accounting Research</w:t>
      </w:r>
      <w:r w:rsidR="00DB039C">
        <w:t xml:space="preserve"> 47: 1283-1316.</w:t>
      </w:r>
    </w:p>
    <w:p w14:paraId="39DC4D55" w14:textId="77777777" w:rsidR="006374F3" w:rsidRDefault="006374F3" w:rsidP="0042218F">
      <w:pPr>
        <w:jc w:val="both"/>
      </w:pPr>
    </w:p>
    <w:p w14:paraId="5EF4612A" w14:textId="72B1BDDA" w:rsidR="002A3C09" w:rsidRPr="0042218F" w:rsidRDefault="002A3C09" w:rsidP="0042218F">
      <w:pPr>
        <w:jc w:val="both"/>
      </w:pPr>
      <w:r>
        <w:t xml:space="preserve">EY, 2013. </w:t>
      </w:r>
      <w:r w:rsidRPr="001F1DEB">
        <w:rPr>
          <w:i/>
        </w:rPr>
        <w:t>Navigating the Choppy Waters of International Tax</w:t>
      </w:r>
      <w:r w:rsidR="00B87131" w:rsidRPr="001F1DEB">
        <w:rPr>
          <w:i/>
        </w:rPr>
        <w:t>: 2013 Global Transfer Pricing Survey</w:t>
      </w:r>
      <w:r w:rsidR="00B87131">
        <w:t xml:space="preserve">. Available at </w:t>
      </w:r>
      <w:r w:rsidR="00750E4E" w:rsidRPr="001F1DEB">
        <w:t>tinyurl.</w:t>
      </w:r>
      <w:r w:rsidR="00750E4E">
        <w:t>com/l47jp5n</w:t>
      </w:r>
    </w:p>
    <w:p w14:paraId="54DCF1C0" w14:textId="77777777" w:rsidR="0042218F" w:rsidRPr="0042218F" w:rsidRDefault="0042218F" w:rsidP="0042218F">
      <w:pPr>
        <w:jc w:val="both"/>
      </w:pPr>
    </w:p>
    <w:p w14:paraId="33EE9BDB" w14:textId="18847FBF" w:rsidR="0042218F" w:rsidRPr="0042218F" w:rsidRDefault="0042218F" w:rsidP="0042218F">
      <w:pPr>
        <w:jc w:val="both"/>
      </w:pPr>
      <w:r w:rsidRPr="0042218F">
        <w:t xml:space="preserve">Erickson, </w:t>
      </w:r>
      <w:r w:rsidR="00582C4F">
        <w:t xml:space="preserve">M., M. </w:t>
      </w:r>
      <w:r w:rsidRPr="0042218F">
        <w:t>Hanlon</w:t>
      </w:r>
      <w:r w:rsidR="00582C4F">
        <w:t>,</w:t>
      </w:r>
      <w:r w:rsidRPr="0042218F">
        <w:t xml:space="preserve"> and </w:t>
      </w:r>
      <w:r w:rsidR="00582C4F">
        <w:t xml:space="preserve">E. Maydew, 2004. How much will firms pay for earnings that do not exist? Evidence of taxes paid on allegedly fraudulent earnings. </w:t>
      </w:r>
      <w:r w:rsidR="00582C4F" w:rsidRPr="00582C4F">
        <w:rPr>
          <w:i/>
        </w:rPr>
        <w:t>The Accounting Review</w:t>
      </w:r>
      <w:r w:rsidR="00582C4F">
        <w:t xml:space="preserve"> 79: 387-408. </w:t>
      </w:r>
    </w:p>
    <w:p w14:paraId="63DDEC9C" w14:textId="77777777" w:rsidR="0042218F" w:rsidRPr="0042218F" w:rsidRDefault="0042218F" w:rsidP="001230D1">
      <w:pPr>
        <w:jc w:val="both"/>
      </w:pPr>
    </w:p>
    <w:p w14:paraId="4838ABCE" w14:textId="4873184D" w:rsidR="0042218F" w:rsidRPr="0042218F" w:rsidRDefault="0042218F" w:rsidP="001230D1">
      <w:pPr>
        <w:jc w:val="both"/>
      </w:pPr>
      <w:proofErr w:type="spellStart"/>
      <w:r w:rsidRPr="0042218F">
        <w:t>Gallemore</w:t>
      </w:r>
      <w:proofErr w:type="spellEnd"/>
      <w:r w:rsidR="00582C4F">
        <w:t>, J.,</w:t>
      </w:r>
      <w:r w:rsidRPr="0042218F">
        <w:t xml:space="preserve"> and </w:t>
      </w:r>
      <w:r w:rsidR="00582C4F">
        <w:t xml:space="preserve">E. </w:t>
      </w:r>
      <w:proofErr w:type="spellStart"/>
      <w:r w:rsidRPr="0042218F">
        <w:t>Labro</w:t>
      </w:r>
      <w:proofErr w:type="spellEnd"/>
      <w:r w:rsidR="00582C4F">
        <w:t>, 2015</w:t>
      </w:r>
      <w:r w:rsidRPr="0042218F">
        <w:t>.</w:t>
      </w:r>
      <w:r w:rsidR="00582C4F">
        <w:t xml:space="preserve"> The importance of the internal information environment for tax avoidance. </w:t>
      </w:r>
      <w:r w:rsidR="00582C4F" w:rsidRPr="00582C4F">
        <w:rPr>
          <w:i/>
        </w:rPr>
        <w:t>Journal of Accounting and Economics</w:t>
      </w:r>
      <w:r w:rsidR="00582C4F">
        <w:t xml:space="preserve"> 60: 149-167.</w:t>
      </w:r>
      <w:r w:rsidRPr="0042218F">
        <w:t xml:space="preserve"> </w:t>
      </w:r>
    </w:p>
    <w:p w14:paraId="32170E6C" w14:textId="77777777" w:rsidR="00230DE7" w:rsidRDefault="00230DE7" w:rsidP="00230DE7">
      <w:pPr>
        <w:jc w:val="both"/>
      </w:pPr>
    </w:p>
    <w:p w14:paraId="3EC54C90" w14:textId="299335AE" w:rsidR="00230DE7" w:rsidRDefault="00230DE7" w:rsidP="00230DE7">
      <w:pPr>
        <w:jc w:val="both"/>
      </w:pPr>
      <w:proofErr w:type="spellStart"/>
      <w:r>
        <w:t>Halperin</w:t>
      </w:r>
      <w:proofErr w:type="spellEnd"/>
      <w:r>
        <w:t xml:space="preserve">, R., and B. </w:t>
      </w:r>
      <w:proofErr w:type="spellStart"/>
      <w:r>
        <w:t>Srinidhi</w:t>
      </w:r>
      <w:proofErr w:type="spellEnd"/>
      <w:r>
        <w:t xml:space="preserve">, 1987. The effect of the U.S. income tax regulations’ transfer pricing rules on allocative efficiency. </w:t>
      </w:r>
      <w:r w:rsidRPr="00230DE7">
        <w:rPr>
          <w:i/>
        </w:rPr>
        <w:t>The Accounting Review</w:t>
      </w:r>
      <w:r>
        <w:t xml:space="preserve"> 62: 686-706.</w:t>
      </w:r>
    </w:p>
    <w:p w14:paraId="15750C46" w14:textId="77777777" w:rsidR="0042218F" w:rsidRPr="0042218F" w:rsidRDefault="0042218F" w:rsidP="001230D1">
      <w:pPr>
        <w:jc w:val="both"/>
      </w:pPr>
    </w:p>
    <w:p w14:paraId="031923AF" w14:textId="1509D435" w:rsidR="00230DE7" w:rsidRDefault="00230DE7" w:rsidP="001230D1">
      <w:pPr>
        <w:jc w:val="both"/>
      </w:pPr>
      <w:proofErr w:type="spellStart"/>
      <w:r>
        <w:t>Halperin</w:t>
      </w:r>
      <w:proofErr w:type="spellEnd"/>
      <w:r>
        <w:t xml:space="preserve">, R., and B. </w:t>
      </w:r>
      <w:proofErr w:type="spellStart"/>
      <w:r>
        <w:t>Srinidhi</w:t>
      </w:r>
      <w:proofErr w:type="spellEnd"/>
      <w:r>
        <w:t xml:space="preserve">, 1991. U.S. income tax transfer-pricing rules and resource allocation: the case of decentralized multinational firms. </w:t>
      </w:r>
      <w:r w:rsidRPr="00230DE7">
        <w:rPr>
          <w:i/>
        </w:rPr>
        <w:t>The Accounting Review</w:t>
      </w:r>
      <w:r>
        <w:t xml:space="preserve"> 66: 141-157.</w:t>
      </w:r>
    </w:p>
    <w:p w14:paraId="0A3ABB7B" w14:textId="3DE0D79D" w:rsidR="00801984" w:rsidRDefault="00801984" w:rsidP="001230D1">
      <w:pPr>
        <w:jc w:val="both"/>
      </w:pPr>
      <w:r>
        <w:t xml:space="preserve">Hanlon, M., and S. </w:t>
      </w:r>
      <w:proofErr w:type="spellStart"/>
      <w:r>
        <w:t>Heitzman</w:t>
      </w:r>
      <w:proofErr w:type="spellEnd"/>
      <w:r>
        <w:t xml:space="preserve">, 2010. A review of tax research. </w:t>
      </w:r>
      <w:r w:rsidRPr="00801984">
        <w:rPr>
          <w:i/>
        </w:rPr>
        <w:t>Journal of Accounting and Economics</w:t>
      </w:r>
      <w:r>
        <w:t xml:space="preserve"> 50: 127-178.</w:t>
      </w:r>
    </w:p>
    <w:p w14:paraId="6BC36D34" w14:textId="77777777" w:rsidR="001F1DEB" w:rsidRDefault="001F1DEB" w:rsidP="001230D1">
      <w:pPr>
        <w:jc w:val="both"/>
      </w:pPr>
    </w:p>
    <w:p w14:paraId="434149CB" w14:textId="3D8DD860" w:rsidR="001F1DEB" w:rsidRDefault="001F1DEB" w:rsidP="001230D1">
      <w:pPr>
        <w:jc w:val="both"/>
      </w:pPr>
      <w:r w:rsidRPr="004A1AEA">
        <w:rPr>
          <w:lang w:val="de-DE"/>
        </w:rPr>
        <w:t xml:space="preserve">Hiemann, M. and S. Reichelstein, 2012. </w:t>
      </w:r>
      <w:r>
        <w:t xml:space="preserve">Transfer pricing in multinational corporations: An integrated management- and tax perspective. </w:t>
      </w:r>
      <w:proofErr w:type="gramStart"/>
      <w:r>
        <w:t>in</w:t>
      </w:r>
      <w:proofErr w:type="gramEnd"/>
      <w:r>
        <w:t xml:space="preserve"> </w:t>
      </w:r>
      <w:proofErr w:type="spellStart"/>
      <w:r>
        <w:t>Schön</w:t>
      </w:r>
      <w:proofErr w:type="spellEnd"/>
      <w:r>
        <w:t xml:space="preserve">, W., and K. Konrad, Eds. </w:t>
      </w:r>
      <w:r w:rsidRPr="001F1DEB">
        <w:rPr>
          <w:i/>
        </w:rPr>
        <w:t>Fundamentals of International Transfer Pricing in Law and Economics</w:t>
      </w:r>
      <w:r>
        <w:t>. Berlin: Springer</w:t>
      </w:r>
    </w:p>
    <w:p w14:paraId="0A371236" w14:textId="77777777" w:rsidR="00801984" w:rsidRDefault="00801984" w:rsidP="001230D1">
      <w:pPr>
        <w:jc w:val="both"/>
      </w:pPr>
    </w:p>
    <w:p w14:paraId="27392BD1" w14:textId="0773ACCB" w:rsidR="00FB7151" w:rsidRPr="00176999" w:rsidRDefault="00FB7151" w:rsidP="00FB7151">
      <w:r w:rsidRPr="00176999">
        <w:t>Hine</w:t>
      </w:r>
      <w:r w:rsidR="00D16FEF">
        <w:t>s, J. R. and E. M. Rice, 1994. Fiscal p</w:t>
      </w:r>
      <w:r w:rsidRPr="00176999">
        <w:t xml:space="preserve">aradise: </w:t>
      </w:r>
      <w:r w:rsidR="00D16FEF">
        <w:t>foreign tax h</w:t>
      </w:r>
      <w:r>
        <w:t xml:space="preserve">avens and American </w:t>
      </w:r>
      <w:r w:rsidR="00D16FEF">
        <w:t>business.</w:t>
      </w:r>
      <w:r w:rsidRPr="00176999">
        <w:t xml:space="preserve"> </w:t>
      </w:r>
      <w:r w:rsidRPr="00176999">
        <w:rPr>
          <w:i/>
        </w:rPr>
        <w:t>The Quarterly Journal of Economics</w:t>
      </w:r>
      <w:r w:rsidR="00D16FEF">
        <w:t xml:space="preserve"> 109</w:t>
      </w:r>
      <w:r w:rsidRPr="00176999">
        <w:t>: 149-182.</w:t>
      </w:r>
    </w:p>
    <w:p w14:paraId="1963705C" w14:textId="77777777" w:rsidR="004C7737" w:rsidRDefault="004C7737" w:rsidP="001230D1">
      <w:pPr>
        <w:jc w:val="both"/>
      </w:pPr>
    </w:p>
    <w:p w14:paraId="2F798D03" w14:textId="4123CCD0" w:rsidR="006B59A4" w:rsidRPr="0042218F" w:rsidRDefault="006B59A4" w:rsidP="008E2FB5">
      <w:pPr>
        <w:jc w:val="both"/>
        <w:outlineLvl w:val="0"/>
      </w:pPr>
      <w:proofErr w:type="spellStart"/>
      <w:r w:rsidRPr="0042218F">
        <w:t>Hirshleifer</w:t>
      </w:r>
      <w:proofErr w:type="spellEnd"/>
      <w:r w:rsidRPr="0042218F">
        <w:t xml:space="preserve">, J., 1956. On the economics of transfer pricing. </w:t>
      </w:r>
      <w:r w:rsidRPr="0042218F">
        <w:rPr>
          <w:i/>
        </w:rPr>
        <w:t>Journal of Business</w:t>
      </w:r>
      <w:r w:rsidRPr="0042218F">
        <w:t xml:space="preserve"> 29: 172-184.</w:t>
      </w:r>
    </w:p>
    <w:p w14:paraId="23B7D58C" w14:textId="77777777" w:rsidR="0042218F" w:rsidRDefault="0042218F" w:rsidP="001230D1">
      <w:pPr>
        <w:jc w:val="both"/>
      </w:pPr>
    </w:p>
    <w:p w14:paraId="721C5A04" w14:textId="2992C193" w:rsidR="00B63FA6" w:rsidRPr="0042218F" w:rsidRDefault="00B63FA6" w:rsidP="008E2FB5">
      <w:pPr>
        <w:jc w:val="both"/>
        <w:outlineLvl w:val="0"/>
      </w:pPr>
      <w:proofErr w:type="spellStart"/>
      <w:r>
        <w:t>Hirshleifer</w:t>
      </w:r>
      <w:proofErr w:type="spellEnd"/>
      <w:r>
        <w:t>, J., 1957. E</w:t>
      </w:r>
      <w:r w:rsidRPr="0042218F">
        <w:t xml:space="preserve">conomics of </w:t>
      </w:r>
      <w:r>
        <w:t xml:space="preserve">the </w:t>
      </w:r>
      <w:proofErr w:type="spellStart"/>
      <w:r>
        <w:t>divisionalized</w:t>
      </w:r>
      <w:proofErr w:type="spellEnd"/>
      <w:r>
        <w:t xml:space="preserve"> firm</w:t>
      </w:r>
      <w:r w:rsidRPr="0042218F">
        <w:t xml:space="preserve">. </w:t>
      </w:r>
      <w:r w:rsidRPr="0042218F">
        <w:rPr>
          <w:i/>
        </w:rPr>
        <w:t>Journal of Business</w:t>
      </w:r>
      <w:r>
        <w:t xml:space="preserve"> 30</w:t>
      </w:r>
      <w:r w:rsidRPr="0042218F">
        <w:t xml:space="preserve">: </w:t>
      </w:r>
      <w:r>
        <w:t>96-108</w:t>
      </w:r>
      <w:r w:rsidRPr="0042218F">
        <w:t>.</w:t>
      </w:r>
    </w:p>
    <w:p w14:paraId="33C044CE" w14:textId="77777777" w:rsidR="00B63FA6" w:rsidRPr="0042218F" w:rsidRDefault="00B63FA6" w:rsidP="001230D1">
      <w:pPr>
        <w:jc w:val="both"/>
      </w:pPr>
    </w:p>
    <w:p w14:paraId="745D42F9" w14:textId="6A425E47" w:rsidR="0042218F" w:rsidRPr="0042218F" w:rsidRDefault="0042218F" w:rsidP="001230D1">
      <w:pPr>
        <w:jc w:val="both"/>
      </w:pPr>
      <w:r w:rsidRPr="0042218F">
        <w:t>Huizinga</w:t>
      </w:r>
      <w:r w:rsidR="00444DE7">
        <w:t>, H.,</w:t>
      </w:r>
      <w:r w:rsidRPr="0042218F">
        <w:t xml:space="preserve"> and </w:t>
      </w:r>
      <w:r w:rsidR="00444DE7">
        <w:t xml:space="preserve">L. </w:t>
      </w:r>
      <w:proofErr w:type="spellStart"/>
      <w:r w:rsidR="00444DE7">
        <w:t>Laeven</w:t>
      </w:r>
      <w:proofErr w:type="spellEnd"/>
      <w:r w:rsidR="00444DE7">
        <w:t xml:space="preserve">, 2008. International profit shifting within multinationals: A multi-country perspective. </w:t>
      </w:r>
      <w:r w:rsidR="00444DE7" w:rsidRPr="00444DE7">
        <w:rPr>
          <w:i/>
        </w:rPr>
        <w:t>Journal of Public Economics</w:t>
      </w:r>
      <w:r w:rsidR="00444DE7">
        <w:t xml:space="preserve"> 92: 1164-1182.</w:t>
      </w:r>
    </w:p>
    <w:p w14:paraId="674BDDA4" w14:textId="77777777" w:rsidR="0042218F" w:rsidRPr="0042218F" w:rsidRDefault="0042218F" w:rsidP="001230D1">
      <w:pPr>
        <w:jc w:val="both"/>
      </w:pPr>
    </w:p>
    <w:p w14:paraId="67629C4B" w14:textId="1FF917AD" w:rsidR="00F926A6" w:rsidRDefault="00F926A6" w:rsidP="006374F3">
      <w:pPr>
        <w:jc w:val="both"/>
      </w:pPr>
      <w:r>
        <w:t xml:space="preserve">Huizinga, H., L. </w:t>
      </w:r>
      <w:proofErr w:type="spellStart"/>
      <w:r>
        <w:t>Laeven</w:t>
      </w:r>
      <w:proofErr w:type="spellEnd"/>
      <w:r>
        <w:t xml:space="preserve">, and G. </w:t>
      </w:r>
      <w:proofErr w:type="spellStart"/>
      <w:r>
        <w:t>Nicodeme</w:t>
      </w:r>
      <w:proofErr w:type="spellEnd"/>
      <w:r>
        <w:t xml:space="preserve">. 2008. Capital structure and internal debt shifting. </w:t>
      </w:r>
      <w:r>
        <w:rPr>
          <w:i/>
        </w:rPr>
        <w:t xml:space="preserve">Journal of Financial Economics </w:t>
      </w:r>
      <w:r>
        <w:t xml:space="preserve">88: 80-118. </w:t>
      </w:r>
    </w:p>
    <w:p w14:paraId="6756AC2F" w14:textId="77777777" w:rsidR="00F926A6" w:rsidRDefault="00F926A6" w:rsidP="006374F3">
      <w:pPr>
        <w:jc w:val="both"/>
      </w:pPr>
    </w:p>
    <w:p w14:paraId="29C5DECE" w14:textId="4D12DA8A" w:rsidR="006374F3" w:rsidRDefault="006374F3" w:rsidP="006374F3">
      <w:pPr>
        <w:jc w:val="both"/>
      </w:pPr>
      <w:r>
        <w:t xml:space="preserve">Klassen, </w:t>
      </w:r>
      <w:r w:rsidR="00DB039C">
        <w:t xml:space="preserve">K., M. </w:t>
      </w:r>
      <w:r>
        <w:t>Lang</w:t>
      </w:r>
      <w:r w:rsidR="00DB039C">
        <w:t>,</w:t>
      </w:r>
      <w:r>
        <w:t xml:space="preserve"> and </w:t>
      </w:r>
      <w:r w:rsidR="00DB039C">
        <w:t xml:space="preserve">M. </w:t>
      </w:r>
      <w:r>
        <w:t>Wolfson</w:t>
      </w:r>
      <w:r w:rsidR="00DB039C">
        <w:t xml:space="preserve">, 1993. Geographic income shifting by multinational corporations in response to tax rate changes. </w:t>
      </w:r>
      <w:r w:rsidR="00DB039C" w:rsidRPr="00DB039C">
        <w:rPr>
          <w:i/>
        </w:rPr>
        <w:t>Journal of Accounting Research</w:t>
      </w:r>
      <w:r w:rsidR="00DB039C">
        <w:t xml:space="preserve"> 31: 141-173.</w:t>
      </w:r>
    </w:p>
    <w:p w14:paraId="32ACBA2D" w14:textId="77777777" w:rsidR="0048642F" w:rsidRDefault="0048642F" w:rsidP="006374F3">
      <w:pPr>
        <w:jc w:val="both"/>
      </w:pPr>
    </w:p>
    <w:p w14:paraId="276F1CED" w14:textId="7E56E703" w:rsidR="0048642F" w:rsidRDefault="00D9502C" w:rsidP="006374F3">
      <w:pPr>
        <w:jc w:val="both"/>
      </w:pPr>
      <w:r>
        <w:t xml:space="preserve">Klassen, K., and S. </w:t>
      </w:r>
      <w:proofErr w:type="spellStart"/>
      <w:r>
        <w:t>Laplante</w:t>
      </w:r>
      <w:proofErr w:type="spellEnd"/>
      <w:r>
        <w:t>, 2012. “</w:t>
      </w:r>
      <w:r w:rsidRPr="005A3F94">
        <w:t xml:space="preserve">Are U.S. </w:t>
      </w:r>
      <w:r>
        <w:t>multinational corporations becoming more aggressive income s</w:t>
      </w:r>
      <w:r w:rsidRPr="005A3F94">
        <w:t>hifters</w:t>
      </w:r>
      <w:r>
        <w:t xml:space="preserve">?” </w:t>
      </w:r>
      <w:r w:rsidRPr="001F2D0D">
        <w:rPr>
          <w:i/>
        </w:rPr>
        <w:t>Journal of Accounting Research</w:t>
      </w:r>
      <w:r>
        <w:t xml:space="preserve"> 50(5): 1245–1285</w:t>
      </w:r>
      <w:r w:rsidR="0048642F">
        <w:t xml:space="preserve">. </w:t>
      </w:r>
    </w:p>
    <w:p w14:paraId="720155AF" w14:textId="77777777" w:rsidR="006374F3" w:rsidRDefault="006374F3" w:rsidP="006374F3">
      <w:pPr>
        <w:jc w:val="both"/>
      </w:pPr>
    </w:p>
    <w:p w14:paraId="341D5C82" w14:textId="42AD46FE" w:rsidR="006374F3" w:rsidRDefault="006374F3" w:rsidP="00DB039C">
      <w:pPr>
        <w:jc w:val="both"/>
      </w:pPr>
      <w:r>
        <w:lastRenderedPageBreak/>
        <w:t xml:space="preserve">Klassen, </w:t>
      </w:r>
      <w:r w:rsidR="00DB039C">
        <w:t xml:space="preserve">K., P. </w:t>
      </w:r>
      <w:proofErr w:type="spellStart"/>
      <w:r>
        <w:t>Lisowsky</w:t>
      </w:r>
      <w:proofErr w:type="spellEnd"/>
      <w:r>
        <w:t xml:space="preserve">, and </w:t>
      </w:r>
      <w:r w:rsidR="00DB039C">
        <w:t xml:space="preserve">D. </w:t>
      </w:r>
      <w:proofErr w:type="spellStart"/>
      <w:r>
        <w:t>Mescall</w:t>
      </w:r>
      <w:proofErr w:type="spellEnd"/>
      <w:r w:rsidR="00DB039C">
        <w:t xml:space="preserve">, 2017. Transfer </w:t>
      </w:r>
      <w:proofErr w:type="gramStart"/>
      <w:r w:rsidR="00DB039C">
        <w:t>pricing:</w:t>
      </w:r>
      <w:proofErr w:type="gramEnd"/>
      <w:r w:rsidR="00DB039C">
        <w:t xml:space="preserve"> Strategies, practices and tax minimization.</w:t>
      </w:r>
      <w:r>
        <w:t xml:space="preserve"> </w:t>
      </w:r>
      <w:r w:rsidR="00DB039C" w:rsidRPr="00DB039C">
        <w:rPr>
          <w:i/>
        </w:rPr>
        <w:t>Contemporary Accounting Research</w:t>
      </w:r>
      <w:r w:rsidR="00DB039C">
        <w:t xml:space="preserve"> 34: 455-493.</w:t>
      </w:r>
    </w:p>
    <w:p w14:paraId="5001142A" w14:textId="77777777" w:rsidR="00934F86" w:rsidRDefault="00934F86" w:rsidP="00DB039C">
      <w:pPr>
        <w:jc w:val="both"/>
      </w:pPr>
    </w:p>
    <w:p w14:paraId="546F70E3" w14:textId="00859491" w:rsidR="00934F86" w:rsidRDefault="00934F86" w:rsidP="00934F86">
      <w:proofErr w:type="spellStart"/>
      <w:r w:rsidRPr="00934F86">
        <w:t>M</w:t>
      </w:r>
      <w:r>
        <w:t>almendier</w:t>
      </w:r>
      <w:proofErr w:type="spellEnd"/>
      <w:r w:rsidRPr="00934F86">
        <w:t>, U. and G.</w:t>
      </w:r>
      <w:r>
        <w:t xml:space="preserve"> Tate,</w:t>
      </w:r>
      <w:r w:rsidRPr="00934F86">
        <w:t xml:space="preserve"> 2005. CEO </w:t>
      </w:r>
      <w:r>
        <w:t>o</w:t>
      </w:r>
      <w:r w:rsidRPr="00934F86">
        <w:t xml:space="preserve">verconfidence and </w:t>
      </w:r>
      <w:r>
        <w:t>c</w:t>
      </w:r>
      <w:r w:rsidRPr="00934F86">
        <w:t xml:space="preserve">orporate </w:t>
      </w:r>
      <w:r>
        <w:t>i</w:t>
      </w:r>
      <w:r w:rsidRPr="00934F86">
        <w:t xml:space="preserve">nvestment. </w:t>
      </w:r>
      <w:r w:rsidRPr="00934F86">
        <w:rPr>
          <w:i/>
        </w:rPr>
        <w:t>Journal of Finance</w:t>
      </w:r>
      <w:r w:rsidRPr="00934F86">
        <w:t xml:space="preserve"> 60: 2661–2700.</w:t>
      </w:r>
    </w:p>
    <w:p w14:paraId="54F07956" w14:textId="77777777" w:rsidR="00DB039C" w:rsidRDefault="00DB039C" w:rsidP="00DB039C">
      <w:pPr>
        <w:jc w:val="both"/>
      </w:pPr>
    </w:p>
    <w:p w14:paraId="0F842A80" w14:textId="5D348ECD" w:rsidR="00FB7151" w:rsidRDefault="00FB7151" w:rsidP="00FB7151">
      <w:proofErr w:type="spellStart"/>
      <w:r>
        <w:t>Markle</w:t>
      </w:r>
      <w:proofErr w:type="spellEnd"/>
      <w:r>
        <w:t>, K., 201</w:t>
      </w:r>
      <w:r w:rsidR="00D16FEF">
        <w:t>6. A c</w:t>
      </w:r>
      <w:r>
        <w:t xml:space="preserve">omparison of the </w:t>
      </w:r>
      <w:r w:rsidR="00D16FEF">
        <w:t>tax-motivated income shifting of m</w:t>
      </w:r>
      <w:r>
        <w:t xml:space="preserve">ultinationals in </w:t>
      </w:r>
      <w:r w:rsidR="00D16FEF">
        <w:t>territorial and worldwide c</w:t>
      </w:r>
      <w:r>
        <w:t>ountries</w:t>
      </w:r>
      <w:r w:rsidR="00D16FEF">
        <w:t>.</w:t>
      </w:r>
      <w:r>
        <w:t xml:space="preserve"> </w:t>
      </w:r>
      <w:r>
        <w:rPr>
          <w:i/>
        </w:rPr>
        <w:t>Contemporary Accounting Research</w:t>
      </w:r>
      <w:r w:rsidR="00D16FEF">
        <w:t xml:space="preserve"> 33: 7-43.</w:t>
      </w:r>
    </w:p>
    <w:p w14:paraId="23432471" w14:textId="77777777" w:rsidR="00D9502C" w:rsidRDefault="00D9502C" w:rsidP="00FB7151"/>
    <w:p w14:paraId="61D9C6A2" w14:textId="08578182" w:rsidR="00D9502C" w:rsidRDefault="00D9502C" w:rsidP="00FB7151">
      <w:proofErr w:type="spellStart"/>
      <w:r>
        <w:t>Markle</w:t>
      </w:r>
      <w:proofErr w:type="spellEnd"/>
      <w:r>
        <w:t>, K., L.F. Mills, and B. Williams, 2017. Implicit corporate taxes and income shifting. University of Texas, Austin working paper.</w:t>
      </w:r>
    </w:p>
    <w:p w14:paraId="59A89DC3" w14:textId="77777777" w:rsidR="004C7737" w:rsidRDefault="004C7737" w:rsidP="001230D1">
      <w:pPr>
        <w:jc w:val="both"/>
      </w:pPr>
    </w:p>
    <w:p w14:paraId="5E881567" w14:textId="6566F248" w:rsidR="0042218F" w:rsidRDefault="0042218F" w:rsidP="001230D1">
      <w:pPr>
        <w:jc w:val="both"/>
      </w:pPr>
      <w:proofErr w:type="spellStart"/>
      <w:r w:rsidRPr="0042218F">
        <w:t>McNichols</w:t>
      </w:r>
      <w:proofErr w:type="spellEnd"/>
      <w:r w:rsidRPr="0042218F">
        <w:t xml:space="preserve">, M., and S. </w:t>
      </w:r>
      <w:proofErr w:type="spellStart"/>
      <w:r w:rsidRPr="0042218F">
        <w:t>Stubben</w:t>
      </w:r>
      <w:proofErr w:type="spellEnd"/>
      <w:r w:rsidRPr="0042218F">
        <w:t xml:space="preserve">, 2008. Does earnings management affect firms’ investment decisions? </w:t>
      </w:r>
      <w:r w:rsidRPr="0042218F">
        <w:rPr>
          <w:i/>
        </w:rPr>
        <w:t>The Accounting Review</w:t>
      </w:r>
      <w:r w:rsidRPr="0042218F">
        <w:t xml:space="preserve"> 83: 1571-1603.</w:t>
      </w:r>
    </w:p>
    <w:p w14:paraId="1E41C09F" w14:textId="77777777" w:rsidR="00FE28EC" w:rsidRDefault="00FE28EC" w:rsidP="001230D1">
      <w:pPr>
        <w:jc w:val="both"/>
      </w:pPr>
    </w:p>
    <w:p w14:paraId="14D61CD0" w14:textId="3AFA7643" w:rsidR="006374F3" w:rsidRDefault="006374F3" w:rsidP="001230D1">
      <w:pPr>
        <w:jc w:val="both"/>
      </w:pPr>
      <w:r>
        <w:t xml:space="preserve">Samuelson, L., 1982. The multinational firm with arm’s length transfer price limits. </w:t>
      </w:r>
      <w:r w:rsidRPr="006374F3">
        <w:rPr>
          <w:i/>
        </w:rPr>
        <w:t xml:space="preserve">Journal of International Economics </w:t>
      </w:r>
      <w:r>
        <w:t>31: 365-374.</w:t>
      </w:r>
    </w:p>
    <w:p w14:paraId="751C1E84" w14:textId="77777777" w:rsidR="006374F3" w:rsidRDefault="006374F3" w:rsidP="001230D1">
      <w:pPr>
        <w:jc w:val="both"/>
      </w:pPr>
    </w:p>
    <w:p w14:paraId="7806A020" w14:textId="0962791B" w:rsidR="004C7737" w:rsidRDefault="004C7737" w:rsidP="008E2FB5">
      <w:pPr>
        <w:jc w:val="both"/>
        <w:outlineLvl w:val="0"/>
      </w:pPr>
      <w:proofErr w:type="spellStart"/>
      <w:r>
        <w:t>Sansing</w:t>
      </w:r>
      <w:proofErr w:type="spellEnd"/>
      <w:r w:rsidR="004F66C0">
        <w:t>, R. 2014. International transfer pricing.</w:t>
      </w:r>
      <w:r>
        <w:t xml:space="preserve"> </w:t>
      </w:r>
      <w:r w:rsidRPr="00932CD6">
        <w:rPr>
          <w:i/>
        </w:rPr>
        <w:t>F</w:t>
      </w:r>
      <w:r w:rsidR="004F66C0" w:rsidRPr="00932CD6">
        <w:rPr>
          <w:i/>
        </w:rPr>
        <w:t xml:space="preserve">oundations and </w:t>
      </w:r>
      <w:r w:rsidRPr="00932CD6">
        <w:rPr>
          <w:i/>
        </w:rPr>
        <w:t>T</w:t>
      </w:r>
      <w:r w:rsidR="004F66C0" w:rsidRPr="00932CD6">
        <w:rPr>
          <w:i/>
        </w:rPr>
        <w:t>rends in Accounting</w:t>
      </w:r>
      <w:r w:rsidR="004F66C0">
        <w:t xml:space="preserve"> 9: 1-57.</w:t>
      </w:r>
      <w:r>
        <w:t xml:space="preserve"> </w:t>
      </w:r>
    </w:p>
    <w:p w14:paraId="3139D919" w14:textId="77777777" w:rsidR="004C7737" w:rsidRDefault="004C7737" w:rsidP="001230D1">
      <w:pPr>
        <w:jc w:val="both"/>
      </w:pPr>
    </w:p>
    <w:p w14:paraId="5647E7F1" w14:textId="045B473E" w:rsidR="004C7737" w:rsidRDefault="00BA1683" w:rsidP="00932CD6">
      <w:proofErr w:type="spellStart"/>
      <w:r w:rsidRPr="00932CD6">
        <w:t>Springsteel</w:t>
      </w:r>
      <w:proofErr w:type="spellEnd"/>
      <w:r>
        <w:t>, I.</w:t>
      </w:r>
      <w:r w:rsidRPr="00932CD6">
        <w:t xml:space="preserve"> </w:t>
      </w:r>
      <w:r>
        <w:t xml:space="preserve">1999. </w:t>
      </w:r>
      <w:r w:rsidRPr="00932CD6">
        <w:t xml:space="preserve">Separate but unequal. </w:t>
      </w:r>
      <w:r w:rsidRPr="00932CD6">
        <w:rPr>
          <w:i/>
        </w:rPr>
        <w:t>CFO Magazine</w:t>
      </w:r>
      <w:r>
        <w:t xml:space="preserve"> </w:t>
      </w:r>
      <w:r w:rsidRPr="00932CD6">
        <w:t>15:</w:t>
      </w:r>
      <w:r>
        <w:t xml:space="preserve"> </w:t>
      </w:r>
      <w:r w:rsidRPr="00932CD6">
        <w:t>89–91, August 1999.</w:t>
      </w:r>
    </w:p>
    <w:p w14:paraId="6E0A8270" w14:textId="77777777" w:rsidR="004C7737" w:rsidRDefault="004C7737" w:rsidP="001230D1">
      <w:pPr>
        <w:jc w:val="both"/>
      </w:pPr>
    </w:p>
    <w:p w14:paraId="508EA7E9" w14:textId="4E754816" w:rsidR="004C7737" w:rsidRPr="00FD533D" w:rsidRDefault="004C7737" w:rsidP="008E2FB5">
      <w:pPr>
        <w:jc w:val="both"/>
        <w:outlineLvl w:val="0"/>
      </w:pPr>
      <w:r>
        <w:t>Shroff</w:t>
      </w:r>
      <w:r w:rsidR="00FD533D">
        <w:t>, N., R.</w:t>
      </w:r>
      <w:r>
        <w:t xml:space="preserve"> Ver</w:t>
      </w:r>
      <w:r w:rsidR="00FD533D">
        <w:t xml:space="preserve">di, </w:t>
      </w:r>
      <w:r>
        <w:t xml:space="preserve">and </w:t>
      </w:r>
      <w:r w:rsidR="00FD533D">
        <w:t xml:space="preserve">G. </w:t>
      </w:r>
      <w:r>
        <w:t>Yu</w:t>
      </w:r>
      <w:r w:rsidR="00FD533D">
        <w:t>.</w:t>
      </w:r>
      <w:r>
        <w:t xml:space="preserve"> 2015</w:t>
      </w:r>
      <w:r w:rsidR="00FD533D">
        <w:t xml:space="preserve">. Information environment and the investment decisions of multinational corporations. </w:t>
      </w:r>
      <w:r w:rsidR="00FD533D">
        <w:rPr>
          <w:i/>
        </w:rPr>
        <w:t xml:space="preserve">The Accounting Review </w:t>
      </w:r>
      <w:r w:rsidR="00FD533D">
        <w:t>89: 759-790.</w:t>
      </w:r>
    </w:p>
    <w:p w14:paraId="593CB72D" w14:textId="77777777" w:rsidR="004C7737" w:rsidRDefault="004C7737" w:rsidP="001230D1">
      <w:pPr>
        <w:jc w:val="both"/>
      </w:pPr>
    </w:p>
    <w:p w14:paraId="5B8747D6" w14:textId="7CD60947" w:rsidR="00FE28EC" w:rsidRDefault="00FE28EC" w:rsidP="001230D1">
      <w:pPr>
        <w:jc w:val="both"/>
      </w:pPr>
      <w:r>
        <w:t>Weiner, B., 1985. An attribution theory of achievement motivation and emo</w:t>
      </w:r>
      <w:r w:rsidR="006374F3">
        <w:t xml:space="preserve">tion. </w:t>
      </w:r>
      <w:r w:rsidR="006374F3" w:rsidRPr="00DB039C">
        <w:rPr>
          <w:i/>
        </w:rPr>
        <w:t xml:space="preserve">Psychological Review </w:t>
      </w:r>
      <w:r w:rsidR="006374F3">
        <w:t>92</w:t>
      </w:r>
      <w:r>
        <w:t>: 548-573.</w:t>
      </w:r>
    </w:p>
    <w:p w14:paraId="2A34F7EC" w14:textId="55B9DEE5" w:rsidR="008133A0" w:rsidRPr="000C03BD" w:rsidRDefault="00E15765" w:rsidP="007E20C2">
      <w:pPr>
        <w:rPr>
          <w:i/>
          <w:iCs/>
        </w:rPr>
      </w:pPr>
      <w:r>
        <w:br w:type="page"/>
      </w:r>
      <w:r w:rsidR="008133A0">
        <w:lastRenderedPageBreak/>
        <w:t xml:space="preserve">Table 1: </w:t>
      </w:r>
      <w:r w:rsidR="007E20C2">
        <w:t>Affiliate-</w:t>
      </w:r>
      <w:r w:rsidR="00B83BEA">
        <w:t>Y</w:t>
      </w:r>
      <w:r w:rsidR="007E20C2">
        <w:t>ear</w:t>
      </w:r>
      <w:r w:rsidR="000C03BD">
        <w:t xml:space="preserve"> </w:t>
      </w:r>
      <w:r w:rsidR="008133A0">
        <w:t xml:space="preserve">Sample </w:t>
      </w:r>
      <w:r w:rsidR="000C03BD">
        <w:t>S</w:t>
      </w:r>
      <w:r w:rsidR="008133A0">
        <w:t xml:space="preserve">election </w:t>
      </w:r>
      <w:r w:rsidR="000C03BD">
        <w:t xml:space="preserve">to Estimate </w:t>
      </w:r>
      <w:r w:rsidR="000C03BD">
        <w:rPr>
          <w:i/>
          <w:iCs/>
        </w:rPr>
        <w:t>G</w:t>
      </w:r>
    </w:p>
    <w:p w14:paraId="4D17F3C6" w14:textId="77777777" w:rsidR="008133A0" w:rsidRDefault="008133A0" w:rsidP="008133A0"/>
    <w:tbl>
      <w:tblPr>
        <w:tblStyle w:val="TableGrid"/>
        <w:tblW w:w="946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5"/>
        <w:gridCol w:w="1793"/>
      </w:tblGrid>
      <w:tr w:rsidR="004C32C5" w:rsidRPr="009A57CB" w14:paraId="6AE00108" w14:textId="77777777" w:rsidTr="002D04A8">
        <w:tc>
          <w:tcPr>
            <w:tcW w:w="7675" w:type="dxa"/>
          </w:tcPr>
          <w:p w14:paraId="698D47AE" w14:textId="42CCA8B5" w:rsidR="000B038D" w:rsidRPr="009A57CB" w:rsidRDefault="000B038D" w:rsidP="000B038D">
            <w:pPr>
              <w:ind w:left="450" w:hanging="450"/>
              <w:rPr>
                <w:i/>
                <w:sz w:val="22"/>
                <w:szCs w:val="22"/>
              </w:rPr>
            </w:pPr>
            <w:r w:rsidRPr="009A57CB">
              <w:rPr>
                <w:sz w:val="22"/>
                <w:szCs w:val="22"/>
              </w:rPr>
              <w:t xml:space="preserve">Affiliate-years in Bureau van </w:t>
            </w:r>
            <w:proofErr w:type="spellStart"/>
            <w:r w:rsidRPr="009A57CB">
              <w:rPr>
                <w:sz w:val="22"/>
                <w:szCs w:val="22"/>
              </w:rPr>
              <w:t>Dijk’s</w:t>
            </w:r>
            <w:proofErr w:type="spellEnd"/>
            <w:r w:rsidRPr="009A57CB">
              <w:rPr>
                <w:sz w:val="22"/>
                <w:szCs w:val="22"/>
              </w:rPr>
              <w:t xml:space="preserve"> Osiris database with at least one foreign affiliate and not missing earnings before interest and taxes (</w:t>
            </w:r>
            <w:r w:rsidRPr="009A57CB">
              <w:rPr>
                <w:i/>
                <w:sz w:val="22"/>
                <w:szCs w:val="22"/>
              </w:rPr>
              <w:t>EBIT</w:t>
            </w:r>
            <w:r w:rsidRPr="009A57CB">
              <w:rPr>
                <w:sz w:val="22"/>
                <w:szCs w:val="22"/>
              </w:rPr>
              <w:t>) 2002 to 2014</w:t>
            </w:r>
            <w:r w:rsidR="00212E3A" w:rsidRPr="009A57CB">
              <w:rPr>
                <w:sz w:val="22"/>
                <w:szCs w:val="22"/>
              </w:rPr>
              <w:t>:</w:t>
            </w:r>
          </w:p>
        </w:tc>
        <w:tc>
          <w:tcPr>
            <w:tcW w:w="1793" w:type="dxa"/>
            <w:vAlign w:val="bottom"/>
          </w:tcPr>
          <w:p w14:paraId="6C03DA71" w14:textId="2B45487B" w:rsidR="000B038D" w:rsidRPr="009A57CB" w:rsidRDefault="00104FCF" w:rsidP="00212E3A">
            <w:pPr>
              <w:jc w:val="right"/>
              <w:rPr>
                <w:sz w:val="22"/>
                <w:szCs w:val="22"/>
              </w:rPr>
            </w:pPr>
            <w:r>
              <w:rPr>
                <w:rFonts w:eastAsia="Times New Roman"/>
                <w:color w:val="000000"/>
                <w:sz w:val="22"/>
                <w:szCs w:val="22"/>
              </w:rPr>
              <w:t>483,311</w:t>
            </w:r>
          </w:p>
        </w:tc>
      </w:tr>
      <w:tr w:rsidR="00212E3A" w:rsidRPr="009A57CB" w14:paraId="5F363C71" w14:textId="77777777" w:rsidTr="002D04A8">
        <w:trPr>
          <w:trHeight w:val="305"/>
        </w:trPr>
        <w:tc>
          <w:tcPr>
            <w:tcW w:w="7675" w:type="dxa"/>
          </w:tcPr>
          <w:p w14:paraId="2E9483F9" w14:textId="31455D1B" w:rsidR="00212E3A" w:rsidRPr="009A57CB" w:rsidRDefault="00212E3A" w:rsidP="003B5054">
            <w:pPr>
              <w:ind w:left="450"/>
              <w:rPr>
                <w:i/>
                <w:sz w:val="22"/>
                <w:szCs w:val="22"/>
              </w:rPr>
            </w:pPr>
            <w:r w:rsidRPr="009A57CB">
              <w:rPr>
                <w:sz w:val="22"/>
                <w:szCs w:val="22"/>
              </w:rPr>
              <w:t xml:space="preserve">Less: Missing NACE code (Osiris variable </w:t>
            </w:r>
            <w:r w:rsidRPr="009A57CB">
              <w:rPr>
                <w:i/>
                <w:sz w:val="22"/>
                <w:szCs w:val="22"/>
              </w:rPr>
              <w:t>NACPRI</w:t>
            </w:r>
            <w:r w:rsidRPr="009A57CB">
              <w:rPr>
                <w:sz w:val="22"/>
                <w:szCs w:val="22"/>
              </w:rPr>
              <w:t>)</w:t>
            </w:r>
          </w:p>
        </w:tc>
        <w:tc>
          <w:tcPr>
            <w:tcW w:w="1793" w:type="dxa"/>
            <w:vAlign w:val="bottom"/>
          </w:tcPr>
          <w:p w14:paraId="1297A8DF" w14:textId="1BFA72D9" w:rsidR="00212E3A" w:rsidRPr="009A57CB" w:rsidRDefault="00212E3A" w:rsidP="00212E3A">
            <w:pPr>
              <w:jc w:val="right"/>
              <w:rPr>
                <w:sz w:val="22"/>
                <w:szCs w:val="22"/>
              </w:rPr>
            </w:pPr>
            <w:r w:rsidRPr="009A57CB">
              <w:rPr>
                <w:rFonts w:eastAsia="Times New Roman"/>
                <w:color w:val="000000"/>
                <w:sz w:val="22"/>
                <w:szCs w:val="22"/>
              </w:rPr>
              <w:t>(</w:t>
            </w:r>
            <w:r w:rsidR="00104FCF">
              <w:rPr>
                <w:rFonts w:eastAsia="Times New Roman"/>
                <w:color w:val="000000"/>
                <w:sz w:val="22"/>
                <w:szCs w:val="22"/>
              </w:rPr>
              <w:t>37,213</w:t>
            </w:r>
            <w:r w:rsidRPr="009A57CB">
              <w:rPr>
                <w:rFonts w:eastAsia="Times New Roman"/>
                <w:color w:val="000000"/>
                <w:sz w:val="22"/>
                <w:szCs w:val="22"/>
              </w:rPr>
              <w:t>)</w:t>
            </w:r>
          </w:p>
        </w:tc>
      </w:tr>
      <w:tr w:rsidR="00212E3A" w:rsidRPr="009A57CB" w14:paraId="5BAC6F73" w14:textId="77777777" w:rsidTr="002D04A8">
        <w:tc>
          <w:tcPr>
            <w:tcW w:w="7675" w:type="dxa"/>
          </w:tcPr>
          <w:p w14:paraId="3EB99531" w14:textId="7214B257" w:rsidR="00212E3A" w:rsidRPr="009A57CB" w:rsidRDefault="00212E3A" w:rsidP="00E64D5F">
            <w:pPr>
              <w:ind w:left="450"/>
              <w:rPr>
                <w:sz w:val="22"/>
                <w:szCs w:val="22"/>
              </w:rPr>
            </w:pPr>
            <w:r w:rsidRPr="009A57CB">
              <w:rPr>
                <w:sz w:val="22"/>
                <w:szCs w:val="22"/>
              </w:rPr>
              <w:t>Less: Banks and insurance companies (NACE code 64, 65, or 66</w:t>
            </w:r>
            <w:r w:rsidR="00104FCF">
              <w:rPr>
                <w:sz w:val="22"/>
                <w:szCs w:val="22"/>
              </w:rPr>
              <w:t xml:space="preserve"> or </w:t>
            </w:r>
            <w:proofErr w:type="spellStart"/>
            <w:r w:rsidR="00104FCF">
              <w:rPr>
                <w:sz w:val="22"/>
                <w:szCs w:val="22"/>
              </w:rPr>
              <w:t>Fama</w:t>
            </w:r>
            <w:proofErr w:type="spellEnd"/>
            <w:r w:rsidR="00104FCF">
              <w:rPr>
                <w:sz w:val="22"/>
                <w:szCs w:val="22"/>
              </w:rPr>
              <w:t xml:space="preserve"> French industry 11 based on matched SIC code</w:t>
            </w:r>
            <w:r w:rsidRPr="009A57CB">
              <w:rPr>
                <w:sz w:val="22"/>
                <w:szCs w:val="22"/>
              </w:rPr>
              <w:t>)</w:t>
            </w:r>
          </w:p>
        </w:tc>
        <w:tc>
          <w:tcPr>
            <w:tcW w:w="1793" w:type="dxa"/>
            <w:vAlign w:val="bottom"/>
          </w:tcPr>
          <w:p w14:paraId="709D3FFB" w14:textId="1F0AA6B3" w:rsidR="00212E3A" w:rsidRPr="009A57CB" w:rsidRDefault="00212E3A" w:rsidP="00212E3A">
            <w:pPr>
              <w:jc w:val="right"/>
              <w:rPr>
                <w:sz w:val="22"/>
                <w:szCs w:val="22"/>
              </w:rPr>
            </w:pPr>
            <w:r w:rsidRPr="009A57CB">
              <w:rPr>
                <w:rFonts w:eastAsia="Times New Roman"/>
                <w:color w:val="000000"/>
                <w:sz w:val="22"/>
                <w:szCs w:val="22"/>
              </w:rPr>
              <w:t>(</w:t>
            </w:r>
            <w:r w:rsidR="00104FCF">
              <w:rPr>
                <w:rFonts w:eastAsia="Times New Roman"/>
                <w:color w:val="000000"/>
                <w:sz w:val="22"/>
                <w:szCs w:val="22"/>
              </w:rPr>
              <w:t>35,570</w:t>
            </w:r>
            <w:r w:rsidRPr="009A57CB">
              <w:rPr>
                <w:rFonts w:eastAsia="Times New Roman"/>
                <w:color w:val="000000"/>
                <w:sz w:val="22"/>
                <w:szCs w:val="22"/>
              </w:rPr>
              <w:t>)</w:t>
            </w:r>
          </w:p>
        </w:tc>
      </w:tr>
      <w:tr w:rsidR="00212E3A" w:rsidRPr="009A57CB" w14:paraId="5F59B199" w14:textId="77777777" w:rsidTr="002D04A8">
        <w:tc>
          <w:tcPr>
            <w:tcW w:w="7675" w:type="dxa"/>
          </w:tcPr>
          <w:p w14:paraId="013C84F2" w14:textId="1CCFF2D4" w:rsidR="00212E3A" w:rsidRPr="009A57CB" w:rsidRDefault="00212E3A" w:rsidP="00E964A6">
            <w:pPr>
              <w:ind w:left="450"/>
              <w:rPr>
                <w:sz w:val="22"/>
                <w:szCs w:val="22"/>
              </w:rPr>
            </w:pPr>
            <w:r w:rsidRPr="009A57CB">
              <w:rPr>
                <w:sz w:val="22"/>
                <w:szCs w:val="22"/>
              </w:rPr>
              <w:t xml:space="preserve">Less: </w:t>
            </w:r>
            <w:r w:rsidR="00E964A6">
              <w:rPr>
                <w:sz w:val="22"/>
                <w:szCs w:val="22"/>
              </w:rPr>
              <w:t>Firms with</w:t>
            </w:r>
            <w:r w:rsidRPr="009A57CB">
              <w:rPr>
                <w:sz w:val="22"/>
                <w:szCs w:val="22"/>
              </w:rPr>
              <w:t xml:space="preserve"> consolidated return on sales less than 3 percent</w:t>
            </w:r>
          </w:p>
        </w:tc>
        <w:tc>
          <w:tcPr>
            <w:tcW w:w="1793" w:type="dxa"/>
            <w:vAlign w:val="bottom"/>
          </w:tcPr>
          <w:p w14:paraId="09C4D630" w14:textId="76A9D480" w:rsidR="00212E3A" w:rsidRPr="009A57CB" w:rsidRDefault="00212E3A" w:rsidP="00212E3A">
            <w:pPr>
              <w:jc w:val="right"/>
              <w:rPr>
                <w:sz w:val="22"/>
                <w:szCs w:val="22"/>
              </w:rPr>
            </w:pPr>
            <w:r w:rsidRPr="009A57CB">
              <w:rPr>
                <w:rFonts w:eastAsia="Times New Roman"/>
                <w:color w:val="000000"/>
                <w:sz w:val="22"/>
                <w:szCs w:val="22"/>
              </w:rPr>
              <w:t>(</w:t>
            </w:r>
            <w:r w:rsidR="00104FCF">
              <w:rPr>
                <w:rFonts w:eastAsia="Times New Roman"/>
                <w:color w:val="000000"/>
                <w:sz w:val="22"/>
                <w:szCs w:val="22"/>
              </w:rPr>
              <w:t>145,446</w:t>
            </w:r>
            <w:r w:rsidRPr="009A57CB">
              <w:rPr>
                <w:rFonts w:eastAsia="Times New Roman"/>
                <w:color w:val="000000"/>
                <w:sz w:val="22"/>
                <w:szCs w:val="22"/>
              </w:rPr>
              <w:t>)</w:t>
            </w:r>
          </w:p>
        </w:tc>
      </w:tr>
      <w:tr w:rsidR="00212E3A" w:rsidRPr="009A57CB" w14:paraId="1EB6B032" w14:textId="77777777" w:rsidTr="002D04A8">
        <w:tc>
          <w:tcPr>
            <w:tcW w:w="7675" w:type="dxa"/>
          </w:tcPr>
          <w:p w14:paraId="0EFF2ED6" w14:textId="71C8836B" w:rsidR="00212E3A" w:rsidRPr="009A57CB" w:rsidRDefault="00212E3A" w:rsidP="00E64D5F">
            <w:pPr>
              <w:ind w:left="450"/>
              <w:rPr>
                <w:sz w:val="22"/>
                <w:szCs w:val="22"/>
              </w:rPr>
            </w:pPr>
            <w:r w:rsidRPr="009A57CB">
              <w:rPr>
                <w:sz w:val="22"/>
                <w:szCs w:val="22"/>
              </w:rPr>
              <w:t>Less: Assets less than or equal to zero, or missing (</w:t>
            </w:r>
            <w:r w:rsidRPr="009A57CB">
              <w:rPr>
                <w:i/>
                <w:sz w:val="22"/>
                <w:szCs w:val="22"/>
              </w:rPr>
              <w:t xml:space="preserve">TOAS </w:t>
            </w:r>
            <w:r w:rsidRPr="009A57CB">
              <w:rPr>
                <w:sz w:val="22"/>
                <w:szCs w:val="22"/>
              </w:rPr>
              <w:t xml:space="preserve">or </w:t>
            </w:r>
            <w:r w:rsidRPr="009A57CB">
              <w:rPr>
                <w:i/>
                <w:sz w:val="22"/>
                <w:szCs w:val="22"/>
              </w:rPr>
              <w:t>TFAS</w:t>
            </w:r>
            <w:r w:rsidRPr="009A57CB">
              <w:rPr>
                <w:sz w:val="22"/>
                <w:szCs w:val="22"/>
              </w:rPr>
              <w:t>)</w:t>
            </w:r>
          </w:p>
        </w:tc>
        <w:tc>
          <w:tcPr>
            <w:tcW w:w="1793" w:type="dxa"/>
            <w:vAlign w:val="bottom"/>
          </w:tcPr>
          <w:p w14:paraId="6EB48747" w14:textId="6C4A2A88" w:rsidR="00212E3A" w:rsidRPr="009A57CB" w:rsidRDefault="00212E3A" w:rsidP="00212E3A">
            <w:pPr>
              <w:jc w:val="right"/>
              <w:rPr>
                <w:sz w:val="22"/>
                <w:szCs w:val="22"/>
              </w:rPr>
            </w:pPr>
            <w:r w:rsidRPr="009A57CB">
              <w:rPr>
                <w:rFonts w:eastAsia="Times New Roman"/>
                <w:color w:val="000000"/>
                <w:sz w:val="22"/>
                <w:szCs w:val="22"/>
              </w:rPr>
              <w:t>(</w:t>
            </w:r>
            <w:r w:rsidR="00104FCF">
              <w:rPr>
                <w:rFonts w:eastAsia="Times New Roman"/>
                <w:color w:val="000000"/>
                <w:sz w:val="22"/>
                <w:szCs w:val="22"/>
              </w:rPr>
              <w:t>53,621</w:t>
            </w:r>
            <w:r w:rsidRPr="009A57CB">
              <w:rPr>
                <w:rFonts w:eastAsia="Times New Roman"/>
                <w:color w:val="000000"/>
                <w:sz w:val="22"/>
                <w:szCs w:val="22"/>
              </w:rPr>
              <w:t>)</w:t>
            </w:r>
          </w:p>
        </w:tc>
      </w:tr>
      <w:tr w:rsidR="00212E3A" w:rsidRPr="009A57CB" w14:paraId="7BAE4BB6" w14:textId="77777777" w:rsidTr="002D04A8">
        <w:tc>
          <w:tcPr>
            <w:tcW w:w="7675" w:type="dxa"/>
          </w:tcPr>
          <w:p w14:paraId="61923C50" w14:textId="1A0F47F8" w:rsidR="00212E3A" w:rsidRPr="009A57CB" w:rsidRDefault="00212E3A" w:rsidP="00E64D5F">
            <w:pPr>
              <w:ind w:left="450"/>
              <w:rPr>
                <w:i/>
                <w:sz w:val="22"/>
                <w:szCs w:val="22"/>
              </w:rPr>
            </w:pPr>
            <w:r w:rsidRPr="009A57CB">
              <w:rPr>
                <w:sz w:val="22"/>
                <w:szCs w:val="22"/>
              </w:rPr>
              <w:t>Less: Compensation expense less than or equal to zero, or missing (</w:t>
            </w:r>
            <w:r w:rsidRPr="009A57CB">
              <w:rPr>
                <w:i/>
                <w:sz w:val="22"/>
                <w:szCs w:val="22"/>
              </w:rPr>
              <w:t>STAF</w:t>
            </w:r>
            <w:r w:rsidRPr="009A57CB">
              <w:rPr>
                <w:sz w:val="22"/>
                <w:szCs w:val="22"/>
              </w:rPr>
              <w:t>)</w:t>
            </w:r>
          </w:p>
        </w:tc>
        <w:tc>
          <w:tcPr>
            <w:tcW w:w="1793" w:type="dxa"/>
            <w:vAlign w:val="bottom"/>
          </w:tcPr>
          <w:p w14:paraId="4220B436" w14:textId="744EA34E" w:rsidR="00212E3A" w:rsidRPr="009A57CB" w:rsidRDefault="00212E3A" w:rsidP="00212E3A">
            <w:pPr>
              <w:jc w:val="right"/>
              <w:rPr>
                <w:sz w:val="22"/>
                <w:szCs w:val="22"/>
              </w:rPr>
            </w:pPr>
            <w:r w:rsidRPr="009A57CB">
              <w:rPr>
                <w:rFonts w:eastAsia="Times New Roman"/>
                <w:color w:val="000000"/>
                <w:sz w:val="22"/>
                <w:szCs w:val="22"/>
              </w:rPr>
              <w:t>(</w:t>
            </w:r>
            <w:r w:rsidR="00104FCF">
              <w:rPr>
                <w:rFonts w:eastAsia="Times New Roman"/>
                <w:color w:val="000000"/>
                <w:sz w:val="22"/>
                <w:szCs w:val="22"/>
              </w:rPr>
              <w:t>52,227</w:t>
            </w:r>
            <w:r w:rsidRPr="009A57CB">
              <w:rPr>
                <w:rFonts w:eastAsia="Times New Roman"/>
                <w:color w:val="000000"/>
                <w:sz w:val="22"/>
                <w:szCs w:val="22"/>
              </w:rPr>
              <w:t>)</w:t>
            </w:r>
          </w:p>
        </w:tc>
      </w:tr>
      <w:tr w:rsidR="00212E3A" w:rsidRPr="009A57CB" w14:paraId="0687DC99" w14:textId="77777777" w:rsidTr="002D04A8">
        <w:tc>
          <w:tcPr>
            <w:tcW w:w="7675" w:type="dxa"/>
          </w:tcPr>
          <w:p w14:paraId="417CC840" w14:textId="0C24559E" w:rsidR="00212E3A" w:rsidRPr="009A57CB" w:rsidRDefault="00212E3A" w:rsidP="00E64D5F">
            <w:pPr>
              <w:ind w:left="450"/>
              <w:rPr>
                <w:sz w:val="22"/>
                <w:szCs w:val="22"/>
              </w:rPr>
            </w:pPr>
            <w:r w:rsidRPr="009A57CB">
              <w:rPr>
                <w:sz w:val="22"/>
                <w:szCs w:val="22"/>
              </w:rPr>
              <w:t xml:space="preserve">Less: Missing </w:t>
            </w:r>
            <w:r w:rsidRPr="009A57CB">
              <w:rPr>
                <w:i/>
                <w:sz w:val="22"/>
                <w:szCs w:val="22"/>
              </w:rPr>
              <w:t xml:space="preserve">Age </w:t>
            </w:r>
            <w:r w:rsidRPr="009A57CB">
              <w:rPr>
                <w:sz w:val="22"/>
                <w:szCs w:val="22"/>
              </w:rPr>
              <w:t>or measure of economic shock (</w:t>
            </w:r>
            <w:r w:rsidRPr="009A57CB">
              <w:rPr>
                <w:i/>
                <w:sz w:val="22"/>
                <w:szCs w:val="22"/>
              </w:rPr>
              <w:sym w:font="Symbol" w:char="F044"/>
            </w:r>
            <w:r w:rsidRPr="009A57CB">
              <w:rPr>
                <w:i/>
                <w:sz w:val="22"/>
                <w:szCs w:val="22"/>
              </w:rPr>
              <w:t>GDP</w:t>
            </w:r>
            <w:r w:rsidRPr="009A57CB">
              <w:rPr>
                <w:sz w:val="22"/>
                <w:szCs w:val="22"/>
              </w:rPr>
              <w:t xml:space="preserve">, </w:t>
            </w:r>
            <w:r w:rsidRPr="009A57CB">
              <w:rPr>
                <w:i/>
                <w:sz w:val="22"/>
                <w:szCs w:val="22"/>
              </w:rPr>
              <w:sym w:font="Symbol" w:char="F044"/>
            </w:r>
            <w:proofErr w:type="spellStart"/>
            <w:r w:rsidRPr="009A57CB">
              <w:rPr>
                <w:i/>
                <w:sz w:val="22"/>
                <w:szCs w:val="22"/>
              </w:rPr>
              <w:t>MarketSize</w:t>
            </w:r>
            <w:proofErr w:type="spellEnd"/>
            <w:r w:rsidRPr="009A57CB">
              <w:rPr>
                <w:sz w:val="22"/>
                <w:szCs w:val="22"/>
              </w:rPr>
              <w:t xml:space="preserve">) </w:t>
            </w:r>
          </w:p>
        </w:tc>
        <w:tc>
          <w:tcPr>
            <w:tcW w:w="1793" w:type="dxa"/>
            <w:vAlign w:val="bottom"/>
          </w:tcPr>
          <w:p w14:paraId="6B1B047B" w14:textId="07DBE9F1" w:rsidR="00212E3A" w:rsidRPr="009A57CB" w:rsidRDefault="00212E3A" w:rsidP="00212E3A">
            <w:pPr>
              <w:jc w:val="right"/>
              <w:rPr>
                <w:sz w:val="22"/>
                <w:szCs w:val="22"/>
              </w:rPr>
            </w:pPr>
            <w:r w:rsidRPr="009A57CB">
              <w:rPr>
                <w:rFonts w:eastAsia="Times New Roman"/>
                <w:color w:val="000000"/>
                <w:sz w:val="22"/>
                <w:szCs w:val="22"/>
              </w:rPr>
              <w:t>(7,</w:t>
            </w:r>
            <w:r w:rsidR="00104FCF">
              <w:rPr>
                <w:rFonts w:eastAsia="Times New Roman"/>
                <w:color w:val="000000"/>
                <w:sz w:val="22"/>
                <w:szCs w:val="22"/>
              </w:rPr>
              <w:t>168</w:t>
            </w:r>
            <w:r w:rsidRPr="009A57CB">
              <w:rPr>
                <w:rFonts w:eastAsia="Times New Roman"/>
                <w:color w:val="000000"/>
                <w:sz w:val="22"/>
                <w:szCs w:val="22"/>
              </w:rPr>
              <w:t>)</w:t>
            </w:r>
          </w:p>
        </w:tc>
      </w:tr>
      <w:tr w:rsidR="00212E3A" w:rsidRPr="009A57CB" w14:paraId="4CFBA33A" w14:textId="77777777" w:rsidTr="002D04A8">
        <w:trPr>
          <w:trHeight w:val="252"/>
        </w:trPr>
        <w:tc>
          <w:tcPr>
            <w:tcW w:w="7675" w:type="dxa"/>
          </w:tcPr>
          <w:p w14:paraId="61B746E7" w14:textId="29CE434C" w:rsidR="00212E3A" w:rsidRPr="009A57CB" w:rsidRDefault="00212E3A" w:rsidP="004C32C5">
            <w:pPr>
              <w:ind w:left="450"/>
              <w:rPr>
                <w:sz w:val="22"/>
                <w:szCs w:val="22"/>
              </w:rPr>
            </w:pPr>
            <w:r w:rsidRPr="009A57CB">
              <w:rPr>
                <w:sz w:val="22"/>
                <w:szCs w:val="22"/>
              </w:rPr>
              <w:t xml:space="preserve">Less: </w:t>
            </w:r>
            <w:r w:rsidRPr="009A57CB">
              <w:rPr>
                <w:i/>
                <w:sz w:val="22"/>
                <w:szCs w:val="22"/>
              </w:rPr>
              <w:t xml:space="preserve">ROA+1 </w:t>
            </w:r>
            <w:r w:rsidRPr="009A57CB">
              <w:rPr>
                <w:sz w:val="22"/>
                <w:szCs w:val="22"/>
              </w:rPr>
              <w:t>less than or equal to zero</w:t>
            </w:r>
          </w:p>
        </w:tc>
        <w:tc>
          <w:tcPr>
            <w:tcW w:w="1793" w:type="dxa"/>
            <w:vAlign w:val="bottom"/>
          </w:tcPr>
          <w:p w14:paraId="4F2802AE" w14:textId="1634569A" w:rsidR="00212E3A" w:rsidRPr="009A57CB" w:rsidRDefault="00212E3A" w:rsidP="00212E3A">
            <w:pPr>
              <w:jc w:val="right"/>
              <w:rPr>
                <w:rFonts w:eastAsia="Times New Roman"/>
                <w:color w:val="000000"/>
                <w:sz w:val="22"/>
                <w:szCs w:val="22"/>
              </w:rPr>
            </w:pPr>
            <w:r w:rsidRPr="009A57CB">
              <w:rPr>
                <w:rFonts w:eastAsia="Times New Roman"/>
                <w:color w:val="000000"/>
                <w:sz w:val="22"/>
                <w:szCs w:val="22"/>
              </w:rPr>
              <w:t>(</w:t>
            </w:r>
            <w:r w:rsidR="00104FCF">
              <w:rPr>
                <w:rFonts w:eastAsia="Times New Roman"/>
                <w:color w:val="000000"/>
                <w:sz w:val="22"/>
                <w:szCs w:val="22"/>
              </w:rPr>
              <w:t>983</w:t>
            </w:r>
            <w:r w:rsidRPr="009A57CB">
              <w:rPr>
                <w:rFonts w:eastAsia="Times New Roman"/>
                <w:color w:val="000000"/>
                <w:sz w:val="22"/>
                <w:szCs w:val="22"/>
              </w:rPr>
              <w:t>)</w:t>
            </w:r>
          </w:p>
        </w:tc>
      </w:tr>
      <w:tr w:rsidR="00212E3A" w:rsidRPr="009A57CB" w14:paraId="41025958" w14:textId="77777777" w:rsidTr="002D04A8">
        <w:trPr>
          <w:trHeight w:val="216"/>
        </w:trPr>
        <w:tc>
          <w:tcPr>
            <w:tcW w:w="7675" w:type="dxa"/>
          </w:tcPr>
          <w:p w14:paraId="35FF1D02" w14:textId="56A8EC61" w:rsidR="00212E3A" w:rsidRPr="009A57CB" w:rsidRDefault="00212E3A" w:rsidP="00964411">
            <w:pPr>
              <w:rPr>
                <w:i/>
                <w:iCs/>
                <w:sz w:val="22"/>
                <w:szCs w:val="22"/>
              </w:rPr>
            </w:pPr>
            <w:r w:rsidRPr="009A57CB">
              <w:rPr>
                <w:sz w:val="22"/>
                <w:szCs w:val="22"/>
              </w:rPr>
              <w:t>Affiliate-year</w:t>
            </w:r>
            <w:r w:rsidR="00036466" w:rsidRPr="009A57CB">
              <w:rPr>
                <w:sz w:val="22"/>
                <w:szCs w:val="22"/>
              </w:rPr>
              <w:t>s in</w:t>
            </w:r>
            <w:r w:rsidRPr="009A57CB">
              <w:rPr>
                <w:sz w:val="22"/>
                <w:szCs w:val="22"/>
              </w:rPr>
              <w:t xml:space="preserve"> sample used to estimate equation (1) and </w:t>
            </w:r>
            <w:r w:rsidRPr="009A57CB">
              <w:rPr>
                <w:i/>
                <w:iCs/>
                <w:sz w:val="22"/>
                <w:szCs w:val="22"/>
              </w:rPr>
              <w:t>G</w:t>
            </w:r>
            <w:r w:rsidRPr="009A57CB">
              <w:rPr>
                <w:sz w:val="22"/>
                <w:szCs w:val="22"/>
              </w:rPr>
              <w:t>:</w:t>
            </w:r>
          </w:p>
        </w:tc>
        <w:tc>
          <w:tcPr>
            <w:tcW w:w="1793" w:type="dxa"/>
            <w:vAlign w:val="bottom"/>
          </w:tcPr>
          <w:p w14:paraId="1708A082" w14:textId="70EB01AC" w:rsidR="00212E3A" w:rsidRPr="009A57CB" w:rsidRDefault="00212E3A" w:rsidP="00212E3A">
            <w:pPr>
              <w:jc w:val="right"/>
              <w:rPr>
                <w:rFonts w:eastAsia="Times New Roman"/>
                <w:color w:val="000000"/>
                <w:sz w:val="22"/>
                <w:szCs w:val="22"/>
                <w:lang w:eastAsia="zh-CN"/>
              </w:rPr>
            </w:pPr>
            <w:r w:rsidRPr="009A57CB">
              <w:rPr>
                <w:rFonts w:eastAsia="Times New Roman"/>
                <w:color w:val="000000"/>
                <w:sz w:val="22"/>
                <w:szCs w:val="22"/>
              </w:rPr>
              <w:t>1</w:t>
            </w:r>
            <w:r w:rsidR="00104FCF">
              <w:rPr>
                <w:rFonts w:eastAsia="Times New Roman"/>
                <w:color w:val="000000"/>
                <w:sz w:val="22"/>
                <w:szCs w:val="22"/>
              </w:rPr>
              <w:t>51,083</w:t>
            </w:r>
          </w:p>
        </w:tc>
      </w:tr>
    </w:tbl>
    <w:p w14:paraId="3DFECCEC" w14:textId="77777777" w:rsidR="008133A0" w:rsidRDefault="008133A0" w:rsidP="008133A0"/>
    <w:p w14:paraId="2ACAAF34" w14:textId="0140C0FA" w:rsidR="008133A0" w:rsidRPr="00421E02" w:rsidRDefault="008133A0" w:rsidP="00C705A8">
      <w:pPr>
        <w:jc w:val="both"/>
        <w:rPr>
          <w:sz w:val="22"/>
          <w:szCs w:val="22"/>
          <w:highlight w:val="yellow"/>
        </w:rPr>
      </w:pPr>
      <w:r w:rsidRPr="001071B7">
        <w:rPr>
          <w:sz w:val="22"/>
          <w:szCs w:val="22"/>
        </w:rPr>
        <w:t xml:space="preserve">Table </w:t>
      </w:r>
      <w:proofErr w:type="gramStart"/>
      <w:r w:rsidRPr="001071B7">
        <w:rPr>
          <w:sz w:val="22"/>
          <w:szCs w:val="22"/>
        </w:rPr>
        <w:t>1</w:t>
      </w:r>
      <w:proofErr w:type="gramEnd"/>
      <w:r w:rsidRPr="001071B7">
        <w:rPr>
          <w:sz w:val="22"/>
          <w:szCs w:val="22"/>
        </w:rPr>
        <w:t xml:space="preserve"> </w:t>
      </w:r>
      <w:r w:rsidRPr="00421E02">
        <w:rPr>
          <w:sz w:val="22"/>
          <w:szCs w:val="22"/>
        </w:rPr>
        <w:t xml:space="preserve">presents </w:t>
      </w:r>
      <w:r w:rsidR="00890A50" w:rsidRPr="00421E02">
        <w:rPr>
          <w:sz w:val="22"/>
          <w:szCs w:val="22"/>
        </w:rPr>
        <w:t>sample selection criteria</w:t>
      </w:r>
      <w:r w:rsidR="00212E3A" w:rsidRPr="00421E02">
        <w:rPr>
          <w:sz w:val="22"/>
          <w:szCs w:val="22"/>
        </w:rPr>
        <w:t>.</w:t>
      </w:r>
      <w:r w:rsidR="00890A50" w:rsidRPr="00421E02">
        <w:rPr>
          <w:sz w:val="22"/>
          <w:szCs w:val="22"/>
        </w:rPr>
        <w:t xml:space="preserve"> </w:t>
      </w:r>
      <w:r w:rsidR="00212E3A" w:rsidRPr="00421E02">
        <w:rPr>
          <w:sz w:val="22"/>
          <w:szCs w:val="22"/>
        </w:rPr>
        <w:t>T</w:t>
      </w:r>
      <w:r w:rsidR="00890A50" w:rsidRPr="00421E02">
        <w:rPr>
          <w:sz w:val="22"/>
          <w:szCs w:val="22"/>
        </w:rPr>
        <w:t xml:space="preserve">o estimate equation (1) and the income shifting aggressiveness measure </w:t>
      </w:r>
      <w:r w:rsidR="00890A50" w:rsidRPr="00421E02">
        <w:rPr>
          <w:i/>
          <w:sz w:val="22"/>
          <w:szCs w:val="22"/>
        </w:rPr>
        <w:t>G</w:t>
      </w:r>
      <w:r w:rsidR="00212E3A" w:rsidRPr="00421E02">
        <w:rPr>
          <w:i/>
          <w:sz w:val="22"/>
          <w:szCs w:val="22"/>
        </w:rPr>
        <w:t xml:space="preserve">, </w:t>
      </w:r>
      <w:r w:rsidR="00212E3A" w:rsidRPr="00421E02">
        <w:rPr>
          <w:iCs/>
          <w:sz w:val="22"/>
          <w:szCs w:val="22"/>
        </w:rPr>
        <w:t>t</w:t>
      </w:r>
      <w:r w:rsidRPr="00421E02">
        <w:rPr>
          <w:sz w:val="22"/>
          <w:szCs w:val="22"/>
        </w:rPr>
        <w:t xml:space="preserve">he </w:t>
      </w:r>
      <w:r w:rsidR="004C32C5" w:rsidRPr="00421E02">
        <w:rPr>
          <w:sz w:val="22"/>
          <w:szCs w:val="22"/>
        </w:rPr>
        <w:t>affiliate-year</w:t>
      </w:r>
      <w:r w:rsidR="00890A50" w:rsidRPr="00421E02">
        <w:rPr>
          <w:sz w:val="22"/>
          <w:szCs w:val="22"/>
        </w:rPr>
        <w:t xml:space="preserve"> </w:t>
      </w:r>
      <w:r w:rsidRPr="00421E02">
        <w:rPr>
          <w:sz w:val="22"/>
          <w:szCs w:val="22"/>
        </w:rPr>
        <w:t xml:space="preserve">sample </w:t>
      </w:r>
      <w:r w:rsidR="00890A50" w:rsidRPr="00421E02">
        <w:rPr>
          <w:sz w:val="22"/>
          <w:szCs w:val="22"/>
        </w:rPr>
        <w:t>includes</w:t>
      </w:r>
      <w:r w:rsidRPr="00421E02">
        <w:rPr>
          <w:sz w:val="22"/>
          <w:szCs w:val="22"/>
        </w:rPr>
        <w:t xml:space="preserve"> </w:t>
      </w:r>
      <w:r w:rsidR="008A7855">
        <w:rPr>
          <w:sz w:val="22"/>
          <w:szCs w:val="22"/>
        </w:rPr>
        <w:t>151,083</w:t>
      </w:r>
      <w:r w:rsidRPr="00421E02">
        <w:rPr>
          <w:sz w:val="22"/>
          <w:szCs w:val="22"/>
        </w:rPr>
        <w:t xml:space="preserve"> </w:t>
      </w:r>
      <w:r w:rsidR="004C32C5" w:rsidRPr="00421E02">
        <w:rPr>
          <w:sz w:val="22"/>
          <w:szCs w:val="22"/>
        </w:rPr>
        <w:t>affiliate</w:t>
      </w:r>
      <w:r w:rsidRPr="00421E02">
        <w:rPr>
          <w:sz w:val="22"/>
          <w:szCs w:val="22"/>
        </w:rPr>
        <w:t xml:space="preserve">-years </w:t>
      </w:r>
      <w:r w:rsidR="004C32C5" w:rsidRPr="00421E02">
        <w:rPr>
          <w:sz w:val="22"/>
          <w:szCs w:val="22"/>
        </w:rPr>
        <w:t xml:space="preserve">from </w:t>
      </w:r>
      <w:proofErr w:type="spellStart"/>
      <w:r w:rsidR="004C32C5" w:rsidRPr="00421E02">
        <w:rPr>
          <w:sz w:val="22"/>
          <w:szCs w:val="22"/>
        </w:rPr>
        <w:t>BvD’s</w:t>
      </w:r>
      <w:proofErr w:type="spellEnd"/>
      <w:r w:rsidR="004C32C5" w:rsidRPr="00421E02">
        <w:rPr>
          <w:sz w:val="22"/>
          <w:szCs w:val="22"/>
        </w:rPr>
        <w:t xml:space="preserve"> Osiris database with </w:t>
      </w:r>
      <w:r w:rsidR="00421E02" w:rsidRPr="00421E02">
        <w:rPr>
          <w:sz w:val="22"/>
          <w:szCs w:val="22"/>
        </w:rPr>
        <w:t xml:space="preserve">at least two affiliates in different jurisdictions </w:t>
      </w:r>
      <w:r w:rsidR="004C32C5" w:rsidRPr="00421E02">
        <w:rPr>
          <w:sz w:val="22"/>
          <w:szCs w:val="22"/>
        </w:rPr>
        <w:t xml:space="preserve">and non-missing EBIT 2002 to 2014, </w:t>
      </w:r>
      <w:r w:rsidRPr="00421E02">
        <w:rPr>
          <w:sz w:val="22"/>
          <w:szCs w:val="22"/>
        </w:rPr>
        <w:t xml:space="preserve">representing </w:t>
      </w:r>
      <w:r w:rsidR="008A7855">
        <w:rPr>
          <w:sz w:val="22"/>
          <w:szCs w:val="22"/>
        </w:rPr>
        <w:t>5,610</w:t>
      </w:r>
      <w:r w:rsidRPr="00421E02">
        <w:rPr>
          <w:sz w:val="22"/>
          <w:szCs w:val="22"/>
        </w:rPr>
        <w:t xml:space="preserve"> unique controlled </w:t>
      </w:r>
      <w:r w:rsidR="00E964A6">
        <w:rPr>
          <w:sz w:val="22"/>
          <w:szCs w:val="22"/>
        </w:rPr>
        <w:t>firm</w:t>
      </w:r>
      <w:r w:rsidRPr="00421E02">
        <w:rPr>
          <w:sz w:val="22"/>
          <w:szCs w:val="22"/>
        </w:rPr>
        <w:t>s.</w:t>
      </w:r>
      <w:r w:rsidR="00A12976" w:rsidRPr="00421E02">
        <w:rPr>
          <w:sz w:val="22"/>
          <w:szCs w:val="22"/>
        </w:rPr>
        <w:t xml:space="preserve"> </w:t>
      </w:r>
    </w:p>
    <w:p w14:paraId="4F2314EF" w14:textId="77777777" w:rsidR="008133A0" w:rsidRDefault="008133A0">
      <w:r>
        <w:br w:type="page"/>
      </w:r>
    </w:p>
    <w:p w14:paraId="463B762E" w14:textId="5A108E3F" w:rsidR="00B83BEA" w:rsidRPr="00C33D7E" w:rsidRDefault="00B83BEA" w:rsidP="00B83BEA">
      <w:pPr>
        <w:outlineLvl w:val="0"/>
      </w:pPr>
      <w:r>
        <w:lastRenderedPageBreak/>
        <w:t xml:space="preserve">Table 2: Description of Affiliate-Year Sample Used to Estimate </w:t>
      </w:r>
      <w:r>
        <w:rPr>
          <w:i/>
        </w:rPr>
        <w:t>G</w:t>
      </w:r>
    </w:p>
    <w:p w14:paraId="5AFCEC5F" w14:textId="7380A834" w:rsidR="008133A0" w:rsidRDefault="00B83BEA" w:rsidP="008133A0">
      <w:r>
        <w:t>Panel A: Summary S</w:t>
      </w:r>
      <w:r w:rsidR="00C33D7E">
        <w:t>tatistics</w:t>
      </w:r>
    </w:p>
    <w:p w14:paraId="3404CC5C" w14:textId="77777777" w:rsidR="008133A0" w:rsidRDefault="008133A0" w:rsidP="008133A0"/>
    <w:tbl>
      <w:tblPr>
        <w:tblW w:w="7832" w:type="dxa"/>
        <w:jc w:val="center"/>
        <w:tblBorders>
          <w:top w:val="single" w:sz="4" w:space="0" w:color="auto"/>
          <w:bottom w:val="single" w:sz="4" w:space="0" w:color="auto"/>
        </w:tblBorders>
        <w:tblLayout w:type="fixed"/>
        <w:tblLook w:val="04A0" w:firstRow="1" w:lastRow="0" w:firstColumn="1" w:lastColumn="0" w:noHBand="0" w:noVBand="1"/>
      </w:tblPr>
      <w:tblGrid>
        <w:gridCol w:w="2016"/>
        <w:gridCol w:w="1133"/>
        <w:gridCol w:w="1166"/>
        <w:gridCol w:w="1173"/>
        <w:gridCol w:w="1268"/>
        <w:gridCol w:w="1076"/>
      </w:tblGrid>
      <w:tr w:rsidR="00B523E3" w:rsidRPr="009A57CB" w14:paraId="3D592AF1" w14:textId="77777777" w:rsidTr="00B523E3">
        <w:trPr>
          <w:trHeight w:val="593"/>
          <w:jc w:val="center"/>
        </w:trPr>
        <w:tc>
          <w:tcPr>
            <w:tcW w:w="2016" w:type="dxa"/>
            <w:shd w:val="clear" w:color="auto" w:fill="auto"/>
            <w:noWrap/>
            <w:vAlign w:val="bottom"/>
            <w:hideMark/>
          </w:tcPr>
          <w:p w14:paraId="3720A2B7" w14:textId="77777777" w:rsidR="008133A0" w:rsidRPr="009A57CB" w:rsidRDefault="008133A0" w:rsidP="006B5394">
            <w:pPr>
              <w:rPr>
                <w:rFonts w:eastAsia="Times New Roman"/>
                <w:sz w:val="22"/>
                <w:szCs w:val="22"/>
              </w:rPr>
            </w:pPr>
          </w:p>
        </w:tc>
        <w:tc>
          <w:tcPr>
            <w:tcW w:w="1133" w:type="dxa"/>
            <w:shd w:val="clear" w:color="auto" w:fill="auto"/>
            <w:noWrap/>
            <w:vAlign w:val="bottom"/>
            <w:hideMark/>
          </w:tcPr>
          <w:p w14:paraId="7A0F1048" w14:textId="01DF7975" w:rsidR="008133A0" w:rsidRPr="009A57CB" w:rsidRDefault="005B6573" w:rsidP="006B5394">
            <w:pPr>
              <w:jc w:val="right"/>
              <w:rPr>
                <w:rFonts w:eastAsia="Times New Roman"/>
                <w:b/>
                <w:sz w:val="22"/>
                <w:szCs w:val="22"/>
                <w:u w:val="single"/>
              </w:rPr>
            </w:pPr>
            <w:r w:rsidRPr="009A57CB">
              <w:rPr>
                <w:rFonts w:eastAsia="Times New Roman"/>
                <w:b/>
                <w:sz w:val="22"/>
                <w:szCs w:val="22"/>
                <w:u w:val="single"/>
              </w:rPr>
              <w:t>M</w:t>
            </w:r>
            <w:r w:rsidR="008133A0" w:rsidRPr="009A57CB">
              <w:rPr>
                <w:rFonts w:eastAsia="Times New Roman"/>
                <w:b/>
                <w:sz w:val="22"/>
                <w:szCs w:val="22"/>
                <w:u w:val="single"/>
              </w:rPr>
              <w:t>ean</w:t>
            </w:r>
          </w:p>
        </w:tc>
        <w:tc>
          <w:tcPr>
            <w:tcW w:w="1166" w:type="dxa"/>
            <w:vAlign w:val="bottom"/>
          </w:tcPr>
          <w:p w14:paraId="2EF09723" w14:textId="2170665A" w:rsidR="008133A0" w:rsidRPr="009A57CB" w:rsidRDefault="005B6573" w:rsidP="005B6573">
            <w:pPr>
              <w:jc w:val="right"/>
              <w:rPr>
                <w:rFonts w:eastAsia="Times New Roman"/>
                <w:b/>
                <w:sz w:val="22"/>
                <w:szCs w:val="22"/>
                <w:u w:val="single"/>
              </w:rPr>
            </w:pPr>
            <w:proofErr w:type="spellStart"/>
            <w:r w:rsidRPr="009A57CB">
              <w:rPr>
                <w:rFonts w:eastAsia="Times New Roman"/>
                <w:b/>
                <w:sz w:val="22"/>
                <w:szCs w:val="22"/>
                <w:u w:val="single"/>
              </w:rPr>
              <w:t>S</w:t>
            </w:r>
            <w:r w:rsidR="008133A0" w:rsidRPr="009A57CB">
              <w:rPr>
                <w:rFonts w:eastAsia="Times New Roman"/>
                <w:b/>
                <w:sz w:val="22"/>
                <w:szCs w:val="22"/>
                <w:u w:val="single"/>
              </w:rPr>
              <w:t>td</w:t>
            </w:r>
            <w:proofErr w:type="spellEnd"/>
            <w:r w:rsidR="008133A0" w:rsidRPr="009A57CB">
              <w:rPr>
                <w:rFonts w:eastAsia="Times New Roman"/>
                <w:b/>
                <w:sz w:val="22"/>
                <w:szCs w:val="22"/>
                <w:u w:val="single"/>
              </w:rPr>
              <w:t xml:space="preserve"> </w:t>
            </w:r>
            <w:r w:rsidRPr="009A57CB">
              <w:rPr>
                <w:rFonts w:eastAsia="Times New Roman"/>
                <w:b/>
                <w:sz w:val="22"/>
                <w:szCs w:val="22"/>
                <w:u w:val="single"/>
              </w:rPr>
              <w:t>D</w:t>
            </w:r>
            <w:r w:rsidR="008133A0" w:rsidRPr="009A57CB">
              <w:rPr>
                <w:rFonts w:eastAsia="Times New Roman"/>
                <w:b/>
                <w:sz w:val="22"/>
                <w:szCs w:val="22"/>
                <w:u w:val="single"/>
              </w:rPr>
              <w:t>ev</w:t>
            </w:r>
          </w:p>
        </w:tc>
        <w:tc>
          <w:tcPr>
            <w:tcW w:w="1173" w:type="dxa"/>
            <w:shd w:val="clear" w:color="auto" w:fill="auto"/>
            <w:noWrap/>
            <w:vAlign w:val="bottom"/>
            <w:hideMark/>
          </w:tcPr>
          <w:p w14:paraId="5EE2F2A7" w14:textId="77777777" w:rsidR="008133A0" w:rsidRPr="009A57CB" w:rsidRDefault="008133A0" w:rsidP="006B5394">
            <w:pPr>
              <w:jc w:val="right"/>
              <w:rPr>
                <w:rFonts w:eastAsia="Times New Roman"/>
                <w:b/>
                <w:sz w:val="22"/>
                <w:szCs w:val="22"/>
                <w:u w:val="single"/>
              </w:rPr>
            </w:pPr>
            <w:r w:rsidRPr="009A57CB">
              <w:rPr>
                <w:rFonts w:eastAsia="Times New Roman"/>
                <w:b/>
                <w:sz w:val="22"/>
                <w:szCs w:val="22"/>
                <w:u w:val="single"/>
              </w:rPr>
              <w:t>p25</w:t>
            </w:r>
          </w:p>
        </w:tc>
        <w:tc>
          <w:tcPr>
            <w:tcW w:w="1268" w:type="dxa"/>
            <w:shd w:val="clear" w:color="auto" w:fill="auto"/>
            <w:noWrap/>
            <w:vAlign w:val="bottom"/>
            <w:hideMark/>
          </w:tcPr>
          <w:p w14:paraId="4383E1CF" w14:textId="2D227136" w:rsidR="008133A0" w:rsidRPr="009A57CB" w:rsidRDefault="005B6573" w:rsidP="006B5394">
            <w:pPr>
              <w:jc w:val="right"/>
              <w:rPr>
                <w:rFonts w:eastAsia="Times New Roman"/>
                <w:b/>
                <w:sz w:val="22"/>
                <w:szCs w:val="22"/>
                <w:u w:val="single"/>
              </w:rPr>
            </w:pPr>
            <w:r w:rsidRPr="009A57CB">
              <w:rPr>
                <w:rFonts w:eastAsia="Times New Roman"/>
                <w:b/>
                <w:sz w:val="22"/>
                <w:szCs w:val="22"/>
                <w:u w:val="single"/>
              </w:rPr>
              <w:t>M</w:t>
            </w:r>
            <w:r w:rsidR="008133A0" w:rsidRPr="009A57CB">
              <w:rPr>
                <w:rFonts w:eastAsia="Times New Roman"/>
                <w:b/>
                <w:sz w:val="22"/>
                <w:szCs w:val="22"/>
                <w:u w:val="single"/>
              </w:rPr>
              <w:t>edian</w:t>
            </w:r>
          </w:p>
        </w:tc>
        <w:tc>
          <w:tcPr>
            <w:tcW w:w="1076" w:type="dxa"/>
            <w:shd w:val="clear" w:color="auto" w:fill="auto"/>
            <w:noWrap/>
            <w:vAlign w:val="bottom"/>
            <w:hideMark/>
          </w:tcPr>
          <w:p w14:paraId="357AA6AE" w14:textId="77777777" w:rsidR="008133A0" w:rsidRPr="009A57CB" w:rsidRDefault="008133A0" w:rsidP="006B5394">
            <w:pPr>
              <w:jc w:val="right"/>
              <w:rPr>
                <w:rFonts w:eastAsia="Times New Roman"/>
                <w:b/>
                <w:sz w:val="22"/>
                <w:szCs w:val="22"/>
                <w:u w:val="single"/>
              </w:rPr>
            </w:pPr>
            <w:r w:rsidRPr="009A57CB">
              <w:rPr>
                <w:rFonts w:eastAsia="Times New Roman"/>
                <w:b/>
                <w:sz w:val="22"/>
                <w:szCs w:val="22"/>
                <w:u w:val="single"/>
              </w:rPr>
              <w:t>p75</w:t>
            </w:r>
          </w:p>
        </w:tc>
      </w:tr>
      <w:tr w:rsidR="00B523E3" w:rsidRPr="009A57CB" w14:paraId="6592F368" w14:textId="77777777" w:rsidTr="00B523E3">
        <w:trPr>
          <w:trHeight w:val="288"/>
          <w:jc w:val="center"/>
        </w:trPr>
        <w:tc>
          <w:tcPr>
            <w:tcW w:w="2016" w:type="dxa"/>
            <w:shd w:val="clear" w:color="auto" w:fill="auto"/>
            <w:noWrap/>
            <w:vAlign w:val="bottom"/>
          </w:tcPr>
          <w:p w14:paraId="3AFE1A73" w14:textId="5190D3D7" w:rsidR="008B3B16" w:rsidRPr="009A57CB" w:rsidRDefault="008B3B16" w:rsidP="006B5394">
            <w:pPr>
              <w:rPr>
                <w:rFonts w:eastAsia="Times New Roman"/>
                <w:i/>
                <w:sz w:val="22"/>
                <w:szCs w:val="22"/>
              </w:rPr>
            </w:pPr>
            <w:r w:rsidRPr="009A57CB">
              <w:rPr>
                <w:rFonts w:eastAsia="Times New Roman"/>
                <w:i/>
                <w:sz w:val="22"/>
                <w:szCs w:val="22"/>
              </w:rPr>
              <w:t>EBIT</w:t>
            </w:r>
          </w:p>
        </w:tc>
        <w:tc>
          <w:tcPr>
            <w:tcW w:w="1133" w:type="dxa"/>
            <w:shd w:val="clear" w:color="auto" w:fill="auto"/>
            <w:noWrap/>
            <w:vAlign w:val="bottom"/>
          </w:tcPr>
          <w:p w14:paraId="414974E2" w14:textId="0CB92B85" w:rsidR="008B3B16" w:rsidRPr="009A57CB" w:rsidRDefault="008B3B16" w:rsidP="006B5394">
            <w:pPr>
              <w:jc w:val="right"/>
              <w:rPr>
                <w:rFonts w:eastAsia="Times New Roman"/>
                <w:sz w:val="22"/>
                <w:szCs w:val="22"/>
              </w:rPr>
            </w:pPr>
            <w:r>
              <w:rPr>
                <w:rFonts w:eastAsia="Times New Roman"/>
                <w:sz w:val="22"/>
                <w:szCs w:val="22"/>
              </w:rPr>
              <w:t>9.074</w:t>
            </w:r>
          </w:p>
        </w:tc>
        <w:tc>
          <w:tcPr>
            <w:tcW w:w="1166" w:type="dxa"/>
            <w:vAlign w:val="bottom"/>
          </w:tcPr>
          <w:p w14:paraId="3A15EA67" w14:textId="15A016D3" w:rsidR="008B3B16" w:rsidRPr="009A57CB" w:rsidRDefault="008B3B16" w:rsidP="00FA0508">
            <w:pPr>
              <w:jc w:val="right"/>
              <w:rPr>
                <w:rFonts w:eastAsia="Times New Roman"/>
                <w:sz w:val="22"/>
                <w:szCs w:val="22"/>
              </w:rPr>
            </w:pPr>
            <w:r>
              <w:rPr>
                <w:rFonts w:eastAsia="Times New Roman"/>
                <w:sz w:val="22"/>
                <w:szCs w:val="22"/>
              </w:rPr>
              <w:t>33.42</w:t>
            </w:r>
          </w:p>
        </w:tc>
        <w:tc>
          <w:tcPr>
            <w:tcW w:w="1173" w:type="dxa"/>
            <w:shd w:val="clear" w:color="auto" w:fill="auto"/>
            <w:noWrap/>
            <w:vAlign w:val="bottom"/>
          </w:tcPr>
          <w:p w14:paraId="75CE4543" w14:textId="263511E8" w:rsidR="008B3B16" w:rsidRPr="009A57CB" w:rsidRDefault="008B3B16" w:rsidP="006B5394">
            <w:pPr>
              <w:jc w:val="right"/>
              <w:rPr>
                <w:rFonts w:eastAsia="Times New Roman"/>
                <w:sz w:val="22"/>
                <w:szCs w:val="22"/>
              </w:rPr>
            </w:pPr>
            <w:r>
              <w:rPr>
                <w:rFonts w:eastAsia="Times New Roman"/>
                <w:sz w:val="22"/>
                <w:szCs w:val="22"/>
              </w:rPr>
              <w:t>0.041</w:t>
            </w:r>
          </w:p>
        </w:tc>
        <w:tc>
          <w:tcPr>
            <w:tcW w:w="1268" w:type="dxa"/>
            <w:shd w:val="clear" w:color="auto" w:fill="auto"/>
            <w:noWrap/>
            <w:vAlign w:val="bottom"/>
          </w:tcPr>
          <w:p w14:paraId="0543FF00" w14:textId="68C1592A" w:rsidR="008B3B16" w:rsidRPr="009A57CB" w:rsidRDefault="008B3B16" w:rsidP="006B5394">
            <w:pPr>
              <w:jc w:val="right"/>
              <w:rPr>
                <w:rFonts w:eastAsia="Times New Roman"/>
                <w:sz w:val="22"/>
                <w:szCs w:val="22"/>
              </w:rPr>
            </w:pPr>
            <w:r>
              <w:rPr>
                <w:rFonts w:eastAsia="Times New Roman"/>
                <w:sz w:val="22"/>
                <w:szCs w:val="22"/>
              </w:rPr>
              <w:t>0.956</w:t>
            </w:r>
          </w:p>
        </w:tc>
        <w:tc>
          <w:tcPr>
            <w:tcW w:w="1076" w:type="dxa"/>
            <w:shd w:val="clear" w:color="auto" w:fill="auto"/>
            <w:noWrap/>
            <w:vAlign w:val="bottom"/>
          </w:tcPr>
          <w:p w14:paraId="1C9A4698" w14:textId="31E69623" w:rsidR="008B3B16" w:rsidRPr="009A57CB" w:rsidRDefault="008B3B16" w:rsidP="006B5394">
            <w:pPr>
              <w:jc w:val="right"/>
              <w:rPr>
                <w:rFonts w:eastAsia="Times New Roman"/>
                <w:sz w:val="22"/>
                <w:szCs w:val="22"/>
              </w:rPr>
            </w:pPr>
            <w:r>
              <w:rPr>
                <w:rFonts w:eastAsia="Times New Roman"/>
                <w:sz w:val="22"/>
                <w:szCs w:val="22"/>
              </w:rPr>
              <w:t>4.703</w:t>
            </w:r>
          </w:p>
        </w:tc>
      </w:tr>
      <w:tr w:rsidR="00B523E3" w:rsidRPr="009A57CB" w14:paraId="5B84475D" w14:textId="77777777" w:rsidTr="00B523E3">
        <w:trPr>
          <w:trHeight w:val="288"/>
          <w:jc w:val="center"/>
        </w:trPr>
        <w:tc>
          <w:tcPr>
            <w:tcW w:w="2016" w:type="dxa"/>
            <w:shd w:val="clear" w:color="auto" w:fill="auto"/>
            <w:noWrap/>
            <w:vAlign w:val="bottom"/>
          </w:tcPr>
          <w:p w14:paraId="39EAD2A5" w14:textId="7CB29A17" w:rsidR="008B3B16" w:rsidRPr="009A57CB" w:rsidRDefault="008B3B16" w:rsidP="006B5394">
            <w:pPr>
              <w:rPr>
                <w:rFonts w:eastAsia="Times New Roman"/>
                <w:i/>
                <w:sz w:val="22"/>
                <w:szCs w:val="22"/>
              </w:rPr>
            </w:pPr>
            <w:r w:rsidRPr="009A57CB">
              <w:rPr>
                <w:rFonts w:eastAsia="Times New Roman"/>
                <w:i/>
                <w:sz w:val="22"/>
                <w:szCs w:val="22"/>
              </w:rPr>
              <w:t>Sales</w:t>
            </w:r>
          </w:p>
        </w:tc>
        <w:tc>
          <w:tcPr>
            <w:tcW w:w="1133" w:type="dxa"/>
            <w:shd w:val="clear" w:color="auto" w:fill="auto"/>
            <w:noWrap/>
            <w:vAlign w:val="bottom"/>
          </w:tcPr>
          <w:p w14:paraId="009FCCED" w14:textId="74A43C0A" w:rsidR="008B3B16" w:rsidRPr="009A57CB" w:rsidRDefault="008B3B16" w:rsidP="006B5394">
            <w:pPr>
              <w:jc w:val="right"/>
              <w:rPr>
                <w:rFonts w:eastAsia="Times New Roman"/>
                <w:sz w:val="22"/>
                <w:szCs w:val="22"/>
              </w:rPr>
            </w:pPr>
            <w:r>
              <w:rPr>
                <w:rFonts w:eastAsia="Times New Roman"/>
                <w:sz w:val="22"/>
                <w:szCs w:val="22"/>
              </w:rPr>
              <w:t>152.6</w:t>
            </w:r>
          </w:p>
        </w:tc>
        <w:tc>
          <w:tcPr>
            <w:tcW w:w="1166" w:type="dxa"/>
            <w:vAlign w:val="bottom"/>
          </w:tcPr>
          <w:p w14:paraId="0D85506E" w14:textId="2F5664D1" w:rsidR="008B3B16" w:rsidRPr="009A57CB" w:rsidRDefault="008B3B16" w:rsidP="006B5394">
            <w:pPr>
              <w:jc w:val="right"/>
              <w:rPr>
                <w:rFonts w:eastAsia="Times New Roman"/>
                <w:sz w:val="22"/>
                <w:szCs w:val="22"/>
              </w:rPr>
            </w:pPr>
            <w:r>
              <w:rPr>
                <w:rFonts w:eastAsia="Times New Roman"/>
                <w:sz w:val="22"/>
                <w:szCs w:val="22"/>
              </w:rPr>
              <w:t>435.50</w:t>
            </w:r>
          </w:p>
        </w:tc>
        <w:tc>
          <w:tcPr>
            <w:tcW w:w="1173" w:type="dxa"/>
            <w:shd w:val="clear" w:color="auto" w:fill="auto"/>
            <w:noWrap/>
            <w:vAlign w:val="bottom"/>
          </w:tcPr>
          <w:p w14:paraId="4E6B4582" w14:textId="17D8AD06" w:rsidR="008B3B16" w:rsidRPr="009A57CB" w:rsidRDefault="008B3B16" w:rsidP="006B5394">
            <w:pPr>
              <w:jc w:val="right"/>
              <w:rPr>
                <w:rFonts w:eastAsia="Times New Roman"/>
                <w:sz w:val="22"/>
                <w:szCs w:val="22"/>
              </w:rPr>
            </w:pPr>
            <w:r>
              <w:rPr>
                <w:rFonts w:eastAsia="Times New Roman"/>
                <w:sz w:val="22"/>
                <w:szCs w:val="22"/>
              </w:rPr>
              <w:t>7.685</w:t>
            </w:r>
          </w:p>
        </w:tc>
        <w:tc>
          <w:tcPr>
            <w:tcW w:w="1268" w:type="dxa"/>
            <w:shd w:val="clear" w:color="auto" w:fill="auto"/>
            <w:noWrap/>
            <w:vAlign w:val="bottom"/>
          </w:tcPr>
          <w:p w14:paraId="04565E64" w14:textId="3957752D" w:rsidR="008B3B16" w:rsidRPr="009A57CB" w:rsidRDefault="008B3B16" w:rsidP="006B5394">
            <w:pPr>
              <w:jc w:val="right"/>
              <w:rPr>
                <w:rFonts w:eastAsia="Times New Roman"/>
                <w:sz w:val="22"/>
                <w:szCs w:val="22"/>
              </w:rPr>
            </w:pPr>
            <w:r>
              <w:rPr>
                <w:rFonts w:eastAsia="Times New Roman"/>
                <w:sz w:val="22"/>
                <w:szCs w:val="22"/>
              </w:rPr>
              <w:t>26.86</w:t>
            </w:r>
          </w:p>
        </w:tc>
        <w:tc>
          <w:tcPr>
            <w:tcW w:w="1076" w:type="dxa"/>
            <w:shd w:val="clear" w:color="auto" w:fill="auto"/>
            <w:noWrap/>
            <w:vAlign w:val="bottom"/>
          </w:tcPr>
          <w:p w14:paraId="006FC925" w14:textId="3A7AE75F" w:rsidR="008B3B16" w:rsidRPr="009A57CB" w:rsidRDefault="008B3B16" w:rsidP="006B5394">
            <w:pPr>
              <w:jc w:val="right"/>
              <w:rPr>
                <w:rFonts w:eastAsia="Times New Roman"/>
                <w:sz w:val="22"/>
                <w:szCs w:val="22"/>
              </w:rPr>
            </w:pPr>
            <w:r>
              <w:rPr>
                <w:rFonts w:eastAsia="Times New Roman"/>
                <w:sz w:val="22"/>
                <w:szCs w:val="22"/>
              </w:rPr>
              <w:t>92.21</w:t>
            </w:r>
          </w:p>
        </w:tc>
      </w:tr>
      <w:tr w:rsidR="00B523E3" w:rsidRPr="009A57CB" w14:paraId="0214CADE" w14:textId="77777777" w:rsidTr="00B523E3">
        <w:trPr>
          <w:trHeight w:val="288"/>
          <w:jc w:val="center"/>
        </w:trPr>
        <w:tc>
          <w:tcPr>
            <w:tcW w:w="2016" w:type="dxa"/>
            <w:shd w:val="clear" w:color="auto" w:fill="auto"/>
            <w:noWrap/>
            <w:vAlign w:val="bottom"/>
          </w:tcPr>
          <w:p w14:paraId="68F92C78" w14:textId="155B796B" w:rsidR="008B3B16" w:rsidRPr="009A57CB" w:rsidRDefault="008B3B16" w:rsidP="006B5394">
            <w:pPr>
              <w:rPr>
                <w:rFonts w:eastAsia="Times New Roman"/>
                <w:i/>
                <w:sz w:val="22"/>
                <w:szCs w:val="22"/>
              </w:rPr>
            </w:pPr>
            <w:proofErr w:type="spellStart"/>
            <w:r w:rsidRPr="009A57CB">
              <w:rPr>
                <w:rFonts w:eastAsia="Times New Roman"/>
                <w:i/>
                <w:sz w:val="22"/>
                <w:szCs w:val="22"/>
              </w:rPr>
              <w:t>TotalAssets</w:t>
            </w:r>
            <w:proofErr w:type="spellEnd"/>
          </w:p>
        </w:tc>
        <w:tc>
          <w:tcPr>
            <w:tcW w:w="1133" w:type="dxa"/>
            <w:shd w:val="clear" w:color="auto" w:fill="auto"/>
            <w:noWrap/>
            <w:vAlign w:val="bottom"/>
          </w:tcPr>
          <w:p w14:paraId="3A2BDE2C" w14:textId="7751419C" w:rsidR="008B3B16" w:rsidRPr="009A57CB" w:rsidRDefault="008B3B16" w:rsidP="006B5394">
            <w:pPr>
              <w:jc w:val="right"/>
              <w:rPr>
                <w:rFonts w:eastAsia="Times New Roman"/>
                <w:sz w:val="22"/>
                <w:szCs w:val="22"/>
              </w:rPr>
            </w:pPr>
            <w:r>
              <w:rPr>
                <w:rFonts w:eastAsia="Times New Roman"/>
                <w:sz w:val="22"/>
                <w:szCs w:val="22"/>
              </w:rPr>
              <w:t>205.7</w:t>
            </w:r>
          </w:p>
        </w:tc>
        <w:tc>
          <w:tcPr>
            <w:tcW w:w="1166" w:type="dxa"/>
            <w:vAlign w:val="bottom"/>
          </w:tcPr>
          <w:p w14:paraId="3FF70B03" w14:textId="055AAF90" w:rsidR="008B3B16" w:rsidRPr="009A57CB" w:rsidRDefault="008B3B16" w:rsidP="006B5394">
            <w:pPr>
              <w:jc w:val="right"/>
              <w:rPr>
                <w:rFonts w:eastAsia="Times New Roman"/>
                <w:sz w:val="22"/>
                <w:szCs w:val="22"/>
              </w:rPr>
            </w:pPr>
            <w:r>
              <w:rPr>
                <w:rFonts w:eastAsia="Times New Roman"/>
                <w:sz w:val="22"/>
                <w:szCs w:val="22"/>
              </w:rPr>
              <w:t>729.80</w:t>
            </w:r>
          </w:p>
        </w:tc>
        <w:tc>
          <w:tcPr>
            <w:tcW w:w="1173" w:type="dxa"/>
            <w:shd w:val="clear" w:color="auto" w:fill="auto"/>
            <w:noWrap/>
            <w:vAlign w:val="bottom"/>
          </w:tcPr>
          <w:p w14:paraId="036E4171" w14:textId="4347DA4D" w:rsidR="008B3B16" w:rsidRPr="009A57CB" w:rsidRDefault="008B3B16" w:rsidP="006B5394">
            <w:pPr>
              <w:jc w:val="right"/>
              <w:rPr>
                <w:rFonts w:eastAsia="Times New Roman"/>
                <w:sz w:val="22"/>
                <w:szCs w:val="22"/>
              </w:rPr>
            </w:pPr>
            <w:r>
              <w:rPr>
                <w:rFonts w:eastAsia="Times New Roman"/>
                <w:sz w:val="22"/>
                <w:szCs w:val="22"/>
              </w:rPr>
              <w:t>5.843</w:t>
            </w:r>
          </w:p>
        </w:tc>
        <w:tc>
          <w:tcPr>
            <w:tcW w:w="1268" w:type="dxa"/>
            <w:shd w:val="clear" w:color="auto" w:fill="auto"/>
            <w:noWrap/>
            <w:vAlign w:val="bottom"/>
          </w:tcPr>
          <w:p w14:paraId="37D14D3D" w14:textId="1802FE99" w:rsidR="008B3B16" w:rsidRPr="009A57CB" w:rsidRDefault="008B3B16" w:rsidP="006B5394">
            <w:pPr>
              <w:jc w:val="right"/>
              <w:rPr>
                <w:rFonts w:eastAsia="Times New Roman"/>
                <w:sz w:val="22"/>
                <w:szCs w:val="22"/>
              </w:rPr>
            </w:pPr>
            <w:r>
              <w:rPr>
                <w:rFonts w:eastAsia="Times New Roman"/>
                <w:sz w:val="22"/>
                <w:szCs w:val="22"/>
              </w:rPr>
              <w:t>20.05</w:t>
            </w:r>
          </w:p>
        </w:tc>
        <w:tc>
          <w:tcPr>
            <w:tcW w:w="1076" w:type="dxa"/>
            <w:shd w:val="clear" w:color="auto" w:fill="auto"/>
            <w:noWrap/>
            <w:vAlign w:val="bottom"/>
          </w:tcPr>
          <w:p w14:paraId="738CF80C" w14:textId="5258C109" w:rsidR="008B3B16" w:rsidRPr="009A57CB" w:rsidRDefault="008B3B16" w:rsidP="006B5394">
            <w:pPr>
              <w:jc w:val="right"/>
              <w:rPr>
                <w:rFonts w:eastAsia="Times New Roman"/>
                <w:sz w:val="22"/>
                <w:szCs w:val="22"/>
              </w:rPr>
            </w:pPr>
            <w:r>
              <w:rPr>
                <w:rFonts w:eastAsia="Times New Roman"/>
                <w:sz w:val="22"/>
                <w:szCs w:val="22"/>
              </w:rPr>
              <w:t>82.81</w:t>
            </w:r>
          </w:p>
        </w:tc>
      </w:tr>
      <w:tr w:rsidR="00B523E3" w:rsidRPr="009A57CB" w14:paraId="34FA43FE" w14:textId="77777777" w:rsidTr="00B523E3">
        <w:trPr>
          <w:trHeight w:val="288"/>
          <w:jc w:val="center"/>
        </w:trPr>
        <w:tc>
          <w:tcPr>
            <w:tcW w:w="2016" w:type="dxa"/>
            <w:shd w:val="clear" w:color="auto" w:fill="auto"/>
            <w:noWrap/>
            <w:vAlign w:val="bottom"/>
          </w:tcPr>
          <w:p w14:paraId="70340ED9" w14:textId="41D2135A" w:rsidR="008B3B16" w:rsidRPr="009A57CB" w:rsidRDefault="008B3B16" w:rsidP="006B5394">
            <w:pPr>
              <w:rPr>
                <w:rFonts w:eastAsia="Times New Roman"/>
                <w:i/>
                <w:sz w:val="22"/>
                <w:szCs w:val="22"/>
              </w:rPr>
            </w:pPr>
            <w:proofErr w:type="spellStart"/>
            <w:r w:rsidRPr="009A57CB">
              <w:rPr>
                <w:rFonts w:eastAsia="Times New Roman"/>
                <w:i/>
                <w:sz w:val="22"/>
                <w:szCs w:val="22"/>
              </w:rPr>
              <w:t>TangibleAssets</w:t>
            </w:r>
            <w:proofErr w:type="spellEnd"/>
          </w:p>
        </w:tc>
        <w:tc>
          <w:tcPr>
            <w:tcW w:w="1133" w:type="dxa"/>
            <w:shd w:val="clear" w:color="auto" w:fill="auto"/>
            <w:noWrap/>
            <w:vAlign w:val="bottom"/>
          </w:tcPr>
          <w:p w14:paraId="182A9A83" w14:textId="385F8F30" w:rsidR="008B3B16" w:rsidRPr="009A57CB" w:rsidRDefault="008B3B16" w:rsidP="006B5394">
            <w:pPr>
              <w:jc w:val="right"/>
              <w:rPr>
                <w:rFonts w:eastAsia="Times New Roman"/>
                <w:sz w:val="22"/>
                <w:szCs w:val="22"/>
              </w:rPr>
            </w:pPr>
            <w:r>
              <w:rPr>
                <w:rFonts w:eastAsia="Times New Roman"/>
                <w:sz w:val="22"/>
                <w:szCs w:val="22"/>
              </w:rPr>
              <w:t>25.89</w:t>
            </w:r>
          </w:p>
        </w:tc>
        <w:tc>
          <w:tcPr>
            <w:tcW w:w="1166" w:type="dxa"/>
            <w:vAlign w:val="bottom"/>
          </w:tcPr>
          <w:p w14:paraId="35765AD9" w14:textId="6C4DF372" w:rsidR="008B3B16" w:rsidRPr="009A57CB" w:rsidRDefault="008B3B16" w:rsidP="006B5394">
            <w:pPr>
              <w:jc w:val="right"/>
              <w:rPr>
                <w:rFonts w:eastAsia="Times New Roman"/>
                <w:sz w:val="22"/>
                <w:szCs w:val="22"/>
              </w:rPr>
            </w:pPr>
            <w:r>
              <w:rPr>
                <w:rFonts w:eastAsia="Times New Roman"/>
                <w:sz w:val="22"/>
                <w:szCs w:val="22"/>
              </w:rPr>
              <w:t>96.73</w:t>
            </w:r>
          </w:p>
        </w:tc>
        <w:tc>
          <w:tcPr>
            <w:tcW w:w="1173" w:type="dxa"/>
            <w:shd w:val="clear" w:color="auto" w:fill="auto"/>
            <w:noWrap/>
            <w:vAlign w:val="bottom"/>
          </w:tcPr>
          <w:p w14:paraId="188806B5" w14:textId="4AEE17A2" w:rsidR="008B3B16" w:rsidRPr="009A57CB" w:rsidRDefault="008B3B16" w:rsidP="006B5394">
            <w:pPr>
              <w:jc w:val="right"/>
              <w:rPr>
                <w:rFonts w:eastAsia="Times New Roman"/>
                <w:sz w:val="22"/>
                <w:szCs w:val="22"/>
              </w:rPr>
            </w:pPr>
            <w:r>
              <w:rPr>
                <w:rFonts w:eastAsia="Times New Roman"/>
                <w:sz w:val="22"/>
                <w:szCs w:val="22"/>
              </w:rPr>
              <w:t>0.150</w:t>
            </w:r>
          </w:p>
        </w:tc>
        <w:tc>
          <w:tcPr>
            <w:tcW w:w="1268" w:type="dxa"/>
            <w:shd w:val="clear" w:color="auto" w:fill="auto"/>
            <w:noWrap/>
            <w:vAlign w:val="bottom"/>
          </w:tcPr>
          <w:p w14:paraId="3576195C" w14:textId="40041ED3" w:rsidR="008B3B16" w:rsidRPr="009A57CB" w:rsidRDefault="008B3B16" w:rsidP="006B5394">
            <w:pPr>
              <w:jc w:val="right"/>
              <w:rPr>
                <w:rFonts w:eastAsia="Times New Roman"/>
                <w:sz w:val="22"/>
                <w:szCs w:val="22"/>
              </w:rPr>
            </w:pPr>
            <w:r>
              <w:rPr>
                <w:rFonts w:eastAsia="Times New Roman"/>
                <w:sz w:val="22"/>
                <w:szCs w:val="22"/>
              </w:rPr>
              <w:t>1.155</w:t>
            </w:r>
          </w:p>
        </w:tc>
        <w:tc>
          <w:tcPr>
            <w:tcW w:w="1076" w:type="dxa"/>
            <w:shd w:val="clear" w:color="auto" w:fill="auto"/>
            <w:noWrap/>
            <w:vAlign w:val="bottom"/>
          </w:tcPr>
          <w:p w14:paraId="0EB79C77" w14:textId="44BDAAD5" w:rsidR="008B3B16" w:rsidRPr="009A57CB" w:rsidRDefault="008B3B16" w:rsidP="006B5394">
            <w:pPr>
              <w:jc w:val="right"/>
              <w:rPr>
                <w:rFonts w:eastAsia="Times New Roman"/>
                <w:sz w:val="22"/>
                <w:szCs w:val="22"/>
              </w:rPr>
            </w:pPr>
            <w:r>
              <w:rPr>
                <w:rFonts w:eastAsia="Times New Roman"/>
                <w:sz w:val="22"/>
                <w:szCs w:val="22"/>
              </w:rPr>
              <w:t>8.472</w:t>
            </w:r>
          </w:p>
        </w:tc>
      </w:tr>
      <w:tr w:rsidR="00B523E3" w:rsidRPr="009A57CB" w14:paraId="07AD2635" w14:textId="77777777" w:rsidTr="00B523E3">
        <w:trPr>
          <w:trHeight w:val="288"/>
          <w:jc w:val="center"/>
        </w:trPr>
        <w:tc>
          <w:tcPr>
            <w:tcW w:w="2016" w:type="dxa"/>
            <w:shd w:val="clear" w:color="auto" w:fill="auto"/>
            <w:noWrap/>
            <w:vAlign w:val="bottom"/>
          </w:tcPr>
          <w:p w14:paraId="7AFE24AC" w14:textId="1AB3BD7C" w:rsidR="008B3B16" w:rsidRPr="009A57CB" w:rsidRDefault="008B3B16" w:rsidP="006B5394">
            <w:pPr>
              <w:rPr>
                <w:rFonts w:eastAsia="Times New Roman"/>
                <w:i/>
                <w:sz w:val="22"/>
                <w:szCs w:val="22"/>
              </w:rPr>
            </w:pPr>
            <w:proofErr w:type="spellStart"/>
            <w:r w:rsidRPr="009A57CB">
              <w:rPr>
                <w:rFonts w:eastAsia="Times New Roman"/>
                <w:i/>
                <w:sz w:val="22"/>
                <w:szCs w:val="22"/>
              </w:rPr>
              <w:t>CompExpense</w:t>
            </w:r>
            <w:proofErr w:type="spellEnd"/>
          </w:p>
        </w:tc>
        <w:tc>
          <w:tcPr>
            <w:tcW w:w="1133" w:type="dxa"/>
            <w:shd w:val="clear" w:color="auto" w:fill="auto"/>
            <w:noWrap/>
            <w:vAlign w:val="bottom"/>
          </w:tcPr>
          <w:p w14:paraId="02D1E255" w14:textId="7428CAD7" w:rsidR="008B3B16" w:rsidRPr="009A57CB" w:rsidRDefault="008B3B16" w:rsidP="006B5394">
            <w:pPr>
              <w:jc w:val="right"/>
              <w:rPr>
                <w:rFonts w:eastAsia="Times New Roman"/>
                <w:sz w:val="22"/>
                <w:szCs w:val="22"/>
              </w:rPr>
            </w:pPr>
            <w:r>
              <w:rPr>
                <w:rFonts w:eastAsia="Times New Roman"/>
                <w:sz w:val="22"/>
                <w:szCs w:val="22"/>
              </w:rPr>
              <w:t>19.42</w:t>
            </w:r>
          </w:p>
        </w:tc>
        <w:tc>
          <w:tcPr>
            <w:tcW w:w="1166" w:type="dxa"/>
            <w:vAlign w:val="bottom"/>
          </w:tcPr>
          <w:p w14:paraId="48E4967E" w14:textId="38DED05C" w:rsidR="008B3B16" w:rsidRPr="009A57CB" w:rsidRDefault="008B3B16" w:rsidP="006B5394">
            <w:pPr>
              <w:jc w:val="right"/>
              <w:rPr>
                <w:rFonts w:eastAsia="Times New Roman"/>
                <w:sz w:val="22"/>
                <w:szCs w:val="22"/>
              </w:rPr>
            </w:pPr>
            <w:r>
              <w:rPr>
                <w:rFonts w:eastAsia="Times New Roman"/>
                <w:sz w:val="22"/>
                <w:szCs w:val="22"/>
              </w:rPr>
              <w:t>48.11</w:t>
            </w:r>
          </w:p>
        </w:tc>
        <w:tc>
          <w:tcPr>
            <w:tcW w:w="1173" w:type="dxa"/>
            <w:shd w:val="clear" w:color="auto" w:fill="auto"/>
            <w:noWrap/>
            <w:vAlign w:val="bottom"/>
          </w:tcPr>
          <w:p w14:paraId="046E41C9" w14:textId="3D43D0DA" w:rsidR="008B3B16" w:rsidRPr="009A57CB" w:rsidRDefault="008B3B16" w:rsidP="006B5394">
            <w:pPr>
              <w:jc w:val="right"/>
              <w:rPr>
                <w:rFonts w:eastAsia="Times New Roman"/>
                <w:sz w:val="22"/>
                <w:szCs w:val="22"/>
              </w:rPr>
            </w:pPr>
            <w:r>
              <w:rPr>
                <w:rFonts w:eastAsia="Times New Roman"/>
                <w:sz w:val="22"/>
                <w:szCs w:val="22"/>
              </w:rPr>
              <w:t>1.448</w:t>
            </w:r>
          </w:p>
        </w:tc>
        <w:tc>
          <w:tcPr>
            <w:tcW w:w="1268" w:type="dxa"/>
            <w:shd w:val="clear" w:color="auto" w:fill="auto"/>
            <w:noWrap/>
            <w:vAlign w:val="bottom"/>
          </w:tcPr>
          <w:p w14:paraId="14DE769E" w14:textId="142A0E37" w:rsidR="008B3B16" w:rsidRPr="009A57CB" w:rsidRDefault="008B3B16" w:rsidP="006B5394">
            <w:pPr>
              <w:jc w:val="right"/>
              <w:rPr>
                <w:rFonts w:eastAsia="Times New Roman"/>
                <w:sz w:val="22"/>
                <w:szCs w:val="22"/>
              </w:rPr>
            </w:pPr>
            <w:r>
              <w:rPr>
                <w:rFonts w:eastAsia="Times New Roman"/>
                <w:sz w:val="22"/>
                <w:szCs w:val="22"/>
              </w:rPr>
              <w:t>4.356</w:t>
            </w:r>
          </w:p>
        </w:tc>
        <w:tc>
          <w:tcPr>
            <w:tcW w:w="1076" w:type="dxa"/>
            <w:shd w:val="clear" w:color="auto" w:fill="auto"/>
            <w:noWrap/>
            <w:vAlign w:val="bottom"/>
          </w:tcPr>
          <w:p w14:paraId="35794086" w14:textId="637B86E9" w:rsidR="008B3B16" w:rsidRPr="009A57CB" w:rsidRDefault="008B3B16" w:rsidP="006B5394">
            <w:pPr>
              <w:jc w:val="right"/>
              <w:rPr>
                <w:rFonts w:eastAsia="Times New Roman"/>
                <w:sz w:val="22"/>
                <w:szCs w:val="22"/>
              </w:rPr>
            </w:pPr>
            <w:r>
              <w:rPr>
                <w:rFonts w:eastAsia="Times New Roman"/>
                <w:sz w:val="22"/>
                <w:szCs w:val="22"/>
              </w:rPr>
              <w:t>14.07</w:t>
            </w:r>
          </w:p>
        </w:tc>
      </w:tr>
      <w:tr w:rsidR="00B523E3" w:rsidRPr="009A57CB" w14:paraId="7C3F45A9" w14:textId="77777777" w:rsidTr="00B523E3">
        <w:trPr>
          <w:trHeight w:val="288"/>
          <w:jc w:val="center"/>
        </w:trPr>
        <w:tc>
          <w:tcPr>
            <w:tcW w:w="2016" w:type="dxa"/>
            <w:shd w:val="clear" w:color="auto" w:fill="auto"/>
            <w:noWrap/>
            <w:vAlign w:val="bottom"/>
          </w:tcPr>
          <w:p w14:paraId="06DF6863" w14:textId="22605191" w:rsidR="008B3B16" w:rsidRPr="009A57CB" w:rsidRDefault="008B3B16" w:rsidP="006B5394">
            <w:pPr>
              <w:rPr>
                <w:rFonts w:eastAsia="Times New Roman"/>
                <w:i/>
                <w:sz w:val="22"/>
                <w:szCs w:val="22"/>
              </w:rPr>
            </w:pPr>
            <w:r w:rsidRPr="009A57CB">
              <w:rPr>
                <w:rFonts w:eastAsia="Times New Roman"/>
                <w:i/>
                <w:sz w:val="22"/>
                <w:szCs w:val="22"/>
              </w:rPr>
              <w:t>ROA</w:t>
            </w:r>
          </w:p>
        </w:tc>
        <w:tc>
          <w:tcPr>
            <w:tcW w:w="1133" w:type="dxa"/>
            <w:shd w:val="clear" w:color="auto" w:fill="auto"/>
            <w:noWrap/>
            <w:vAlign w:val="bottom"/>
          </w:tcPr>
          <w:p w14:paraId="43B43FAF" w14:textId="5F611855" w:rsidR="008B3B16" w:rsidRPr="009A57CB" w:rsidRDefault="008B3B16" w:rsidP="006B5394">
            <w:pPr>
              <w:jc w:val="right"/>
              <w:rPr>
                <w:rFonts w:eastAsia="Times New Roman"/>
                <w:sz w:val="22"/>
                <w:szCs w:val="22"/>
              </w:rPr>
            </w:pPr>
            <w:r>
              <w:rPr>
                <w:rFonts w:eastAsia="Times New Roman"/>
                <w:color w:val="000000"/>
                <w:sz w:val="22"/>
                <w:szCs w:val="22"/>
              </w:rPr>
              <w:t>0.076</w:t>
            </w:r>
          </w:p>
        </w:tc>
        <w:tc>
          <w:tcPr>
            <w:tcW w:w="1166" w:type="dxa"/>
            <w:vAlign w:val="bottom"/>
          </w:tcPr>
          <w:p w14:paraId="74FBEC5F" w14:textId="3A8BF06E" w:rsidR="008B3B16" w:rsidRPr="009A57CB" w:rsidRDefault="008B3B16" w:rsidP="006B5394">
            <w:pPr>
              <w:jc w:val="right"/>
              <w:rPr>
                <w:rFonts w:eastAsia="Times New Roman"/>
                <w:sz w:val="22"/>
                <w:szCs w:val="22"/>
              </w:rPr>
            </w:pPr>
            <w:r>
              <w:rPr>
                <w:rFonts w:eastAsia="Times New Roman"/>
                <w:color w:val="000000"/>
                <w:sz w:val="22"/>
                <w:szCs w:val="22"/>
              </w:rPr>
              <w:t>0.163</w:t>
            </w:r>
          </w:p>
        </w:tc>
        <w:tc>
          <w:tcPr>
            <w:tcW w:w="1173" w:type="dxa"/>
            <w:shd w:val="clear" w:color="auto" w:fill="auto"/>
            <w:noWrap/>
            <w:vAlign w:val="bottom"/>
          </w:tcPr>
          <w:p w14:paraId="7FA7E381" w14:textId="2541F503" w:rsidR="008B3B16" w:rsidRPr="009A57CB" w:rsidRDefault="008B3B16" w:rsidP="006B5394">
            <w:pPr>
              <w:jc w:val="right"/>
              <w:rPr>
                <w:rFonts w:eastAsia="Times New Roman"/>
                <w:sz w:val="22"/>
                <w:szCs w:val="22"/>
              </w:rPr>
            </w:pPr>
            <w:r>
              <w:rPr>
                <w:rFonts w:eastAsia="Times New Roman"/>
                <w:color w:val="000000"/>
                <w:sz w:val="22"/>
                <w:szCs w:val="22"/>
              </w:rPr>
              <w:t>0.006</w:t>
            </w:r>
          </w:p>
        </w:tc>
        <w:tc>
          <w:tcPr>
            <w:tcW w:w="1268" w:type="dxa"/>
            <w:shd w:val="clear" w:color="auto" w:fill="auto"/>
            <w:noWrap/>
            <w:vAlign w:val="bottom"/>
          </w:tcPr>
          <w:p w14:paraId="66CFDAC0" w14:textId="22EF580E" w:rsidR="008B3B16" w:rsidRPr="009A57CB" w:rsidRDefault="008B3B16" w:rsidP="006B5394">
            <w:pPr>
              <w:jc w:val="right"/>
              <w:rPr>
                <w:rFonts w:eastAsia="Times New Roman"/>
                <w:sz w:val="22"/>
                <w:szCs w:val="22"/>
              </w:rPr>
            </w:pPr>
            <w:r>
              <w:rPr>
                <w:rFonts w:eastAsia="Times New Roman"/>
                <w:color w:val="000000"/>
                <w:sz w:val="22"/>
                <w:szCs w:val="22"/>
              </w:rPr>
              <w:t>0.064</w:t>
            </w:r>
          </w:p>
        </w:tc>
        <w:tc>
          <w:tcPr>
            <w:tcW w:w="1076" w:type="dxa"/>
            <w:shd w:val="clear" w:color="auto" w:fill="auto"/>
            <w:noWrap/>
            <w:vAlign w:val="bottom"/>
          </w:tcPr>
          <w:p w14:paraId="4F07E093" w14:textId="6BA31A80" w:rsidR="008B3B16" w:rsidRPr="009A57CB" w:rsidRDefault="008B3B16" w:rsidP="006B5394">
            <w:pPr>
              <w:jc w:val="right"/>
              <w:rPr>
                <w:rFonts w:eastAsia="Times New Roman"/>
                <w:sz w:val="22"/>
                <w:szCs w:val="22"/>
              </w:rPr>
            </w:pPr>
            <w:r>
              <w:rPr>
                <w:rFonts w:eastAsia="Times New Roman"/>
                <w:color w:val="000000"/>
                <w:sz w:val="22"/>
                <w:szCs w:val="22"/>
              </w:rPr>
              <w:t>0.147</w:t>
            </w:r>
          </w:p>
        </w:tc>
      </w:tr>
      <w:tr w:rsidR="00B523E3" w:rsidRPr="009A57CB" w14:paraId="7CD0CE00" w14:textId="77777777" w:rsidTr="00B523E3">
        <w:trPr>
          <w:trHeight w:val="288"/>
          <w:jc w:val="center"/>
        </w:trPr>
        <w:tc>
          <w:tcPr>
            <w:tcW w:w="2016" w:type="dxa"/>
            <w:shd w:val="clear" w:color="auto" w:fill="auto"/>
            <w:noWrap/>
            <w:vAlign w:val="bottom"/>
            <w:hideMark/>
          </w:tcPr>
          <w:p w14:paraId="20D12F34" w14:textId="71408847" w:rsidR="008B3B16" w:rsidRPr="009A57CB" w:rsidRDefault="008B3B16" w:rsidP="006B5394">
            <w:pPr>
              <w:rPr>
                <w:rFonts w:eastAsia="Times New Roman"/>
                <w:i/>
                <w:sz w:val="22"/>
                <w:szCs w:val="22"/>
              </w:rPr>
            </w:pPr>
            <w:r w:rsidRPr="009A57CB">
              <w:rPr>
                <w:rFonts w:eastAsia="Times New Roman"/>
                <w:sz w:val="22"/>
                <w:szCs w:val="22"/>
              </w:rPr>
              <w:t>ln</w:t>
            </w:r>
            <w:r w:rsidRPr="009A57CB">
              <w:rPr>
                <w:rFonts w:eastAsia="Times New Roman"/>
                <w:i/>
                <w:sz w:val="22"/>
                <w:szCs w:val="22"/>
              </w:rPr>
              <w:t>(ROA+1)</w:t>
            </w:r>
          </w:p>
        </w:tc>
        <w:tc>
          <w:tcPr>
            <w:tcW w:w="1133" w:type="dxa"/>
            <w:shd w:val="clear" w:color="auto" w:fill="auto"/>
            <w:noWrap/>
            <w:vAlign w:val="bottom"/>
            <w:hideMark/>
          </w:tcPr>
          <w:p w14:paraId="140C9497" w14:textId="0C9551AE" w:rsidR="008B3B16" w:rsidRPr="009A57CB" w:rsidRDefault="008B3B16" w:rsidP="006B5394">
            <w:pPr>
              <w:jc w:val="right"/>
              <w:rPr>
                <w:rFonts w:eastAsia="Times New Roman"/>
                <w:sz w:val="22"/>
                <w:szCs w:val="22"/>
              </w:rPr>
            </w:pPr>
            <w:r>
              <w:rPr>
                <w:rFonts w:eastAsia="Times New Roman"/>
                <w:color w:val="000000"/>
                <w:sz w:val="22"/>
                <w:szCs w:val="22"/>
              </w:rPr>
              <w:t>0.061</w:t>
            </w:r>
          </w:p>
        </w:tc>
        <w:tc>
          <w:tcPr>
            <w:tcW w:w="1166" w:type="dxa"/>
            <w:vAlign w:val="bottom"/>
          </w:tcPr>
          <w:p w14:paraId="41AD2F42" w14:textId="47B8EC74" w:rsidR="008B3B16" w:rsidRPr="009A57CB" w:rsidRDefault="008B3B16" w:rsidP="006B5394">
            <w:pPr>
              <w:jc w:val="right"/>
              <w:rPr>
                <w:rFonts w:eastAsia="Times New Roman"/>
                <w:sz w:val="22"/>
                <w:szCs w:val="22"/>
              </w:rPr>
            </w:pPr>
            <w:r>
              <w:rPr>
                <w:rFonts w:eastAsia="Times New Roman"/>
                <w:color w:val="000000"/>
                <w:sz w:val="22"/>
                <w:szCs w:val="22"/>
              </w:rPr>
              <w:t>0.163</w:t>
            </w:r>
          </w:p>
        </w:tc>
        <w:tc>
          <w:tcPr>
            <w:tcW w:w="1173" w:type="dxa"/>
            <w:shd w:val="clear" w:color="auto" w:fill="auto"/>
            <w:noWrap/>
            <w:vAlign w:val="bottom"/>
            <w:hideMark/>
          </w:tcPr>
          <w:p w14:paraId="2BFADEFB" w14:textId="5BBC3119" w:rsidR="008B3B16" w:rsidRPr="009A57CB" w:rsidRDefault="008B3B16" w:rsidP="006B5394">
            <w:pPr>
              <w:jc w:val="right"/>
              <w:rPr>
                <w:rFonts w:eastAsia="Times New Roman"/>
                <w:sz w:val="22"/>
                <w:szCs w:val="22"/>
              </w:rPr>
            </w:pPr>
            <w:r>
              <w:rPr>
                <w:rFonts w:eastAsia="Times New Roman"/>
                <w:color w:val="000000"/>
                <w:sz w:val="22"/>
                <w:szCs w:val="22"/>
              </w:rPr>
              <w:t>0.005</w:t>
            </w:r>
          </w:p>
        </w:tc>
        <w:tc>
          <w:tcPr>
            <w:tcW w:w="1268" w:type="dxa"/>
            <w:shd w:val="clear" w:color="auto" w:fill="auto"/>
            <w:noWrap/>
            <w:vAlign w:val="bottom"/>
            <w:hideMark/>
          </w:tcPr>
          <w:p w14:paraId="5248FB27" w14:textId="6CBCA025" w:rsidR="008B3B16" w:rsidRPr="009A57CB" w:rsidRDefault="008B3B16" w:rsidP="006B5394">
            <w:pPr>
              <w:jc w:val="right"/>
              <w:rPr>
                <w:rFonts w:eastAsia="Times New Roman"/>
                <w:sz w:val="22"/>
                <w:szCs w:val="22"/>
              </w:rPr>
            </w:pPr>
            <w:r>
              <w:rPr>
                <w:rFonts w:eastAsia="Times New Roman"/>
                <w:color w:val="000000"/>
                <w:sz w:val="22"/>
                <w:szCs w:val="22"/>
              </w:rPr>
              <w:t>0.062</w:t>
            </w:r>
          </w:p>
        </w:tc>
        <w:tc>
          <w:tcPr>
            <w:tcW w:w="1076" w:type="dxa"/>
            <w:shd w:val="clear" w:color="auto" w:fill="auto"/>
            <w:noWrap/>
            <w:vAlign w:val="bottom"/>
            <w:hideMark/>
          </w:tcPr>
          <w:p w14:paraId="54D7FB4E" w14:textId="327039B1" w:rsidR="008B3B16" w:rsidRPr="009A57CB" w:rsidRDefault="008B3B16" w:rsidP="006B5394">
            <w:pPr>
              <w:jc w:val="right"/>
              <w:rPr>
                <w:rFonts w:eastAsia="Times New Roman"/>
                <w:sz w:val="22"/>
                <w:szCs w:val="22"/>
              </w:rPr>
            </w:pPr>
            <w:r>
              <w:rPr>
                <w:rFonts w:eastAsia="Times New Roman"/>
                <w:color w:val="000000"/>
                <w:sz w:val="22"/>
                <w:szCs w:val="22"/>
              </w:rPr>
              <w:t>0.138</w:t>
            </w:r>
          </w:p>
        </w:tc>
      </w:tr>
      <w:tr w:rsidR="00B523E3" w:rsidRPr="009A57CB" w14:paraId="555AE117" w14:textId="77777777" w:rsidTr="00B523E3">
        <w:trPr>
          <w:trHeight w:val="288"/>
          <w:jc w:val="center"/>
        </w:trPr>
        <w:tc>
          <w:tcPr>
            <w:tcW w:w="2016" w:type="dxa"/>
            <w:shd w:val="clear" w:color="auto" w:fill="auto"/>
            <w:noWrap/>
            <w:vAlign w:val="bottom"/>
            <w:hideMark/>
          </w:tcPr>
          <w:p w14:paraId="717BE110" w14:textId="4773D8BA" w:rsidR="008B3B16" w:rsidRPr="009A57CB" w:rsidRDefault="008B3B16" w:rsidP="0056556E">
            <w:pPr>
              <w:rPr>
                <w:rFonts w:eastAsia="Times New Roman"/>
                <w:i/>
                <w:sz w:val="22"/>
                <w:szCs w:val="22"/>
              </w:rPr>
            </w:pPr>
            <w:r w:rsidRPr="009A57CB">
              <w:rPr>
                <w:rFonts w:eastAsia="Times New Roman"/>
                <w:sz w:val="22"/>
                <w:szCs w:val="22"/>
              </w:rPr>
              <w:t>ln</w:t>
            </w:r>
            <w:r w:rsidRPr="009A57CB">
              <w:rPr>
                <w:rFonts w:eastAsia="Times New Roman"/>
                <w:i/>
                <w:sz w:val="22"/>
                <w:szCs w:val="22"/>
              </w:rPr>
              <w:t>(</w:t>
            </w:r>
            <w:proofErr w:type="spellStart"/>
            <w:r w:rsidRPr="009A57CB">
              <w:rPr>
                <w:rFonts w:eastAsia="Times New Roman"/>
                <w:i/>
                <w:sz w:val="22"/>
                <w:szCs w:val="22"/>
              </w:rPr>
              <w:t>TangibleAssets</w:t>
            </w:r>
            <w:proofErr w:type="spellEnd"/>
            <w:r w:rsidRPr="009A57CB">
              <w:rPr>
                <w:rFonts w:eastAsia="Times New Roman"/>
                <w:i/>
                <w:sz w:val="22"/>
                <w:szCs w:val="22"/>
              </w:rPr>
              <w:t>)</w:t>
            </w:r>
          </w:p>
        </w:tc>
        <w:tc>
          <w:tcPr>
            <w:tcW w:w="1133" w:type="dxa"/>
            <w:shd w:val="clear" w:color="auto" w:fill="auto"/>
            <w:noWrap/>
            <w:vAlign w:val="bottom"/>
            <w:hideMark/>
          </w:tcPr>
          <w:p w14:paraId="387627D0" w14:textId="49B29031" w:rsidR="008B3B16" w:rsidRPr="009A57CB" w:rsidRDefault="008B3B16" w:rsidP="006B5394">
            <w:pPr>
              <w:jc w:val="right"/>
              <w:rPr>
                <w:rFonts w:eastAsia="Times New Roman"/>
                <w:sz w:val="22"/>
                <w:szCs w:val="22"/>
              </w:rPr>
            </w:pPr>
            <w:r>
              <w:rPr>
                <w:rFonts w:eastAsia="Times New Roman"/>
                <w:color w:val="000000"/>
                <w:sz w:val="22"/>
                <w:szCs w:val="22"/>
              </w:rPr>
              <w:t>13.92</w:t>
            </w:r>
          </w:p>
        </w:tc>
        <w:tc>
          <w:tcPr>
            <w:tcW w:w="1166" w:type="dxa"/>
            <w:vAlign w:val="bottom"/>
          </w:tcPr>
          <w:p w14:paraId="27E219ED" w14:textId="13F08EFC" w:rsidR="008B3B16" w:rsidRPr="009A57CB" w:rsidRDefault="008B3B16" w:rsidP="006B5394">
            <w:pPr>
              <w:jc w:val="right"/>
              <w:rPr>
                <w:rFonts w:eastAsia="Times New Roman"/>
                <w:sz w:val="22"/>
                <w:szCs w:val="22"/>
              </w:rPr>
            </w:pPr>
            <w:r>
              <w:rPr>
                <w:rFonts w:eastAsia="Times New Roman"/>
                <w:color w:val="000000"/>
                <w:sz w:val="22"/>
                <w:szCs w:val="22"/>
              </w:rPr>
              <w:t>2.824</w:t>
            </w:r>
          </w:p>
        </w:tc>
        <w:tc>
          <w:tcPr>
            <w:tcW w:w="1173" w:type="dxa"/>
            <w:shd w:val="clear" w:color="auto" w:fill="auto"/>
            <w:noWrap/>
            <w:vAlign w:val="bottom"/>
            <w:hideMark/>
          </w:tcPr>
          <w:p w14:paraId="280957E4" w14:textId="2CA89204" w:rsidR="008B3B16" w:rsidRPr="009A57CB" w:rsidRDefault="008B3B16" w:rsidP="006B5394">
            <w:pPr>
              <w:jc w:val="right"/>
              <w:rPr>
                <w:rFonts w:eastAsia="Times New Roman"/>
                <w:sz w:val="22"/>
                <w:szCs w:val="22"/>
              </w:rPr>
            </w:pPr>
            <w:r>
              <w:rPr>
                <w:rFonts w:eastAsia="Times New Roman"/>
                <w:color w:val="000000"/>
                <w:sz w:val="22"/>
                <w:szCs w:val="22"/>
              </w:rPr>
              <w:t>11.92</w:t>
            </w:r>
          </w:p>
        </w:tc>
        <w:tc>
          <w:tcPr>
            <w:tcW w:w="1268" w:type="dxa"/>
            <w:shd w:val="clear" w:color="auto" w:fill="auto"/>
            <w:noWrap/>
            <w:vAlign w:val="bottom"/>
            <w:hideMark/>
          </w:tcPr>
          <w:p w14:paraId="097D818D" w14:textId="5FEF5AE4" w:rsidR="008B3B16" w:rsidRPr="009A57CB" w:rsidRDefault="008B3B16" w:rsidP="006B5394">
            <w:pPr>
              <w:jc w:val="right"/>
              <w:rPr>
                <w:rFonts w:eastAsia="Times New Roman"/>
                <w:sz w:val="22"/>
                <w:szCs w:val="22"/>
              </w:rPr>
            </w:pPr>
            <w:r>
              <w:rPr>
                <w:rFonts w:eastAsia="Times New Roman"/>
                <w:color w:val="000000"/>
                <w:sz w:val="22"/>
                <w:szCs w:val="22"/>
              </w:rPr>
              <w:t>13.96</w:t>
            </w:r>
          </w:p>
        </w:tc>
        <w:tc>
          <w:tcPr>
            <w:tcW w:w="1076" w:type="dxa"/>
            <w:shd w:val="clear" w:color="auto" w:fill="auto"/>
            <w:noWrap/>
            <w:vAlign w:val="bottom"/>
            <w:hideMark/>
          </w:tcPr>
          <w:p w14:paraId="2EDFA8C9" w14:textId="26D61167" w:rsidR="008B3B16" w:rsidRPr="009A57CB" w:rsidRDefault="008B3B16" w:rsidP="006B5394">
            <w:pPr>
              <w:jc w:val="right"/>
              <w:rPr>
                <w:rFonts w:eastAsia="Times New Roman"/>
                <w:sz w:val="22"/>
                <w:szCs w:val="22"/>
              </w:rPr>
            </w:pPr>
            <w:r>
              <w:rPr>
                <w:rFonts w:eastAsia="Times New Roman"/>
                <w:color w:val="000000"/>
                <w:sz w:val="22"/>
                <w:szCs w:val="22"/>
              </w:rPr>
              <w:t>15.95</w:t>
            </w:r>
          </w:p>
        </w:tc>
      </w:tr>
      <w:tr w:rsidR="00B523E3" w:rsidRPr="009A57CB" w14:paraId="47B4BC0F" w14:textId="77777777" w:rsidTr="00B523E3">
        <w:trPr>
          <w:trHeight w:val="288"/>
          <w:jc w:val="center"/>
        </w:trPr>
        <w:tc>
          <w:tcPr>
            <w:tcW w:w="2016" w:type="dxa"/>
            <w:shd w:val="clear" w:color="auto" w:fill="auto"/>
            <w:noWrap/>
            <w:vAlign w:val="bottom"/>
            <w:hideMark/>
          </w:tcPr>
          <w:p w14:paraId="1A7A006E" w14:textId="1AC0134F" w:rsidR="008B3B16" w:rsidRPr="009A57CB" w:rsidRDefault="008B3B16" w:rsidP="006B5394">
            <w:pPr>
              <w:rPr>
                <w:rFonts w:eastAsia="Times New Roman"/>
                <w:i/>
                <w:sz w:val="22"/>
                <w:szCs w:val="22"/>
              </w:rPr>
            </w:pPr>
            <w:r w:rsidRPr="009A57CB">
              <w:rPr>
                <w:rFonts w:eastAsia="Times New Roman"/>
                <w:sz w:val="22"/>
                <w:szCs w:val="22"/>
              </w:rPr>
              <w:t>ln</w:t>
            </w:r>
            <w:r w:rsidRPr="009A57CB">
              <w:rPr>
                <w:rFonts w:eastAsia="Times New Roman"/>
                <w:i/>
                <w:sz w:val="22"/>
                <w:szCs w:val="22"/>
              </w:rPr>
              <w:t>(</w:t>
            </w:r>
            <w:proofErr w:type="spellStart"/>
            <w:r w:rsidRPr="009A57CB">
              <w:rPr>
                <w:rFonts w:eastAsia="Times New Roman"/>
                <w:i/>
                <w:sz w:val="22"/>
                <w:szCs w:val="22"/>
              </w:rPr>
              <w:t>CompExpense</w:t>
            </w:r>
            <w:proofErr w:type="spellEnd"/>
            <w:r w:rsidRPr="009A57CB">
              <w:rPr>
                <w:rFonts w:eastAsia="Times New Roman"/>
                <w:i/>
                <w:sz w:val="22"/>
                <w:szCs w:val="22"/>
              </w:rPr>
              <w:t>)</w:t>
            </w:r>
          </w:p>
        </w:tc>
        <w:tc>
          <w:tcPr>
            <w:tcW w:w="1133" w:type="dxa"/>
            <w:shd w:val="clear" w:color="auto" w:fill="auto"/>
            <w:noWrap/>
            <w:vAlign w:val="bottom"/>
            <w:hideMark/>
          </w:tcPr>
          <w:p w14:paraId="556F43F7" w14:textId="5D5DE476" w:rsidR="008B3B16" w:rsidRPr="009A57CB" w:rsidRDefault="008B3B16" w:rsidP="006B5394">
            <w:pPr>
              <w:jc w:val="right"/>
              <w:rPr>
                <w:rFonts w:eastAsia="Times New Roman"/>
                <w:sz w:val="22"/>
                <w:szCs w:val="22"/>
              </w:rPr>
            </w:pPr>
            <w:r>
              <w:rPr>
                <w:rFonts w:eastAsia="Times New Roman"/>
                <w:color w:val="000000"/>
                <w:sz w:val="22"/>
                <w:szCs w:val="22"/>
              </w:rPr>
              <w:t>15.31</w:t>
            </w:r>
          </w:p>
        </w:tc>
        <w:tc>
          <w:tcPr>
            <w:tcW w:w="1166" w:type="dxa"/>
            <w:vAlign w:val="bottom"/>
          </w:tcPr>
          <w:p w14:paraId="288F49ED" w14:textId="39366088" w:rsidR="008B3B16" w:rsidRPr="009A57CB" w:rsidRDefault="008B3B16" w:rsidP="006B5394">
            <w:pPr>
              <w:jc w:val="right"/>
              <w:rPr>
                <w:rFonts w:eastAsia="Times New Roman"/>
                <w:sz w:val="22"/>
                <w:szCs w:val="22"/>
              </w:rPr>
            </w:pPr>
            <w:r>
              <w:rPr>
                <w:rFonts w:eastAsia="Times New Roman"/>
                <w:color w:val="000000"/>
                <w:sz w:val="22"/>
                <w:szCs w:val="22"/>
              </w:rPr>
              <w:t>1.764</w:t>
            </w:r>
          </w:p>
        </w:tc>
        <w:tc>
          <w:tcPr>
            <w:tcW w:w="1173" w:type="dxa"/>
            <w:shd w:val="clear" w:color="auto" w:fill="auto"/>
            <w:noWrap/>
            <w:vAlign w:val="bottom"/>
            <w:hideMark/>
          </w:tcPr>
          <w:p w14:paraId="1C13D1DB" w14:textId="1303AE03" w:rsidR="008B3B16" w:rsidRPr="009A57CB" w:rsidRDefault="008B3B16" w:rsidP="006B5394">
            <w:pPr>
              <w:jc w:val="right"/>
              <w:rPr>
                <w:rFonts w:eastAsia="Times New Roman"/>
                <w:sz w:val="22"/>
                <w:szCs w:val="22"/>
              </w:rPr>
            </w:pPr>
            <w:r>
              <w:rPr>
                <w:rFonts w:eastAsia="Times New Roman"/>
                <w:color w:val="000000"/>
                <w:sz w:val="22"/>
                <w:szCs w:val="22"/>
              </w:rPr>
              <w:t>14.19</w:t>
            </w:r>
          </w:p>
        </w:tc>
        <w:tc>
          <w:tcPr>
            <w:tcW w:w="1268" w:type="dxa"/>
            <w:shd w:val="clear" w:color="auto" w:fill="auto"/>
            <w:noWrap/>
            <w:vAlign w:val="bottom"/>
            <w:hideMark/>
          </w:tcPr>
          <w:p w14:paraId="3F668059" w14:textId="5D7ECEF6" w:rsidR="008B3B16" w:rsidRPr="009A57CB" w:rsidRDefault="008B3B16" w:rsidP="006B5394">
            <w:pPr>
              <w:jc w:val="right"/>
              <w:rPr>
                <w:rFonts w:eastAsia="Times New Roman"/>
                <w:sz w:val="22"/>
                <w:szCs w:val="22"/>
              </w:rPr>
            </w:pPr>
            <w:r>
              <w:rPr>
                <w:rFonts w:eastAsia="Times New Roman"/>
                <w:color w:val="000000"/>
                <w:sz w:val="22"/>
                <w:szCs w:val="22"/>
              </w:rPr>
              <w:t>15.29</w:t>
            </w:r>
          </w:p>
        </w:tc>
        <w:tc>
          <w:tcPr>
            <w:tcW w:w="1076" w:type="dxa"/>
            <w:shd w:val="clear" w:color="auto" w:fill="auto"/>
            <w:noWrap/>
            <w:vAlign w:val="bottom"/>
            <w:hideMark/>
          </w:tcPr>
          <w:p w14:paraId="5A569C3D" w14:textId="197A9352" w:rsidR="008B3B16" w:rsidRPr="009A57CB" w:rsidRDefault="008B3B16" w:rsidP="006B5394">
            <w:pPr>
              <w:jc w:val="right"/>
              <w:rPr>
                <w:rFonts w:eastAsia="Times New Roman"/>
                <w:sz w:val="22"/>
                <w:szCs w:val="22"/>
              </w:rPr>
            </w:pPr>
            <w:r>
              <w:rPr>
                <w:rFonts w:eastAsia="Times New Roman"/>
                <w:color w:val="000000"/>
                <w:sz w:val="22"/>
                <w:szCs w:val="22"/>
              </w:rPr>
              <w:t>16.46</w:t>
            </w:r>
          </w:p>
        </w:tc>
      </w:tr>
      <w:tr w:rsidR="00B523E3" w:rsidRPr="009A57CB" w14:paraId="333B989D" w14:textId="77777777" w:rsidTr="00B523E3">
        <w:trPr>
          <w:trHeight w:val="288"/>
          <w:jc w:val="center"/>
        </w:trPr>
        <w:tc>
          <w:tcPr>
            <w:tcW w:w="2016" w:type="dxa"/>
            <w:shd w:val="clear" w:color="auto" w:fill="auto"/>
            <w:noWrap/>
            <w:vAlign w:val="bottom"/>
            <w:hideMark/>
          </w:tcPr>
          <w:p w14:paraId="7B9F5480" w14:textId="127526DA" w:rsidR="008B3B16" w:rsidRPr="009A57CB" w:rsidRDefault="008B3B16" w:rsidP="006B5394">
            <w:pPr>
              <w:rPr>
                <w:rFonts w:eastAsia="Times New Roman"/>
                <w:i/>
                <w:sz w:val="22"/>
                <w:szCs w:val="22"/>
              </w:rPr>
            </w:pPr>
            <w:proofErr w:type="spellStart"/>
            <w:r w:rsidRPr="009A57CB">
              <w:rPr>
                <w:rFonts w:eastAsia="Times New Roman"/>
                <w:i/>
                <w:sz w:val="22"/>
                <w:szCs w:val="22"/>
              </w:rPr>
              <w:t>IndustryROA</w:t>
            </w:r>
            <w:proofErr w:type="spellEnd"/>
          </w:p>
        </w:tc>
        <w:tc>
          <w:tcPr>
            <w:tcW w:w="1133" w:type="dxa"/>
            <w:shd w:val="clear" w:color="auto" w:fill="auto"/>
            <w:noWrap/>
            <w:vAlign w:val="bottom"/>
            <w:hideMark/>
          </w:tcPr>
          <w:p w14:paraId="2A79B686" w14:textId="56F8C54E" w:rsidR="008B3B16" w:rsidRPr="009A57CB" w:rsidRDefault="008B3B16" w:rsidP="006B5394">
            <w:pPr>
              <w:jc w:val="right"/>
              <w:rPr>
                <w:rFonts w:eastAsia="Times New Roman"/>
                <w:sz w:val="22"/>
                <w:szCs w:val="22"/>
              </w:rPr>
            </w:pPr>
            <w:r>
              <w:rPr>
                <w:rFonts w:eastAsia="Times New Roman"/>
                <w:color w:val="000000"/>
                <w:sz w:val="22"/>
                <w:szCs w:val="22"/>
              </w:rPr>
              <w:t>0.043</w:t>
            </w:r>
          </w:p>
        </w:tc>
        <w:tc>
          <w:tcPr>
            <w:tcW w:w="1166" w:type="dxa"/>
            <w:vAlign w:val="bottom"/>
          </w:tcPr>
          <w:p w14:paraId="1A5C0E9F" w14:textId="0423ABB3" w:rsidR="008B3B16" w:rsidRPr="009A57CB" w:rsidRDefault="008B3B16" w:rsidP="006B5394">
            <w:pPr>
              <w:jc w:val="right"/>
              <w:rPr>
                <w:rFonts w:eastAsia="Times New Roman"/>
                <w:sz w:val="22"/>
                <w:szCs w:val="22"/>
              </w:rPr>
            </w:pPr>
            <w:r>
              <w:rPr>
                <w:rFonts w:eastAsia="Times New Roman"/>
                <w:color w:val="000000"/>
                <w:sz w:val="22"/>
                <w:szCs w:val="22"/>
              </w:rPr>
              <w:t>0.034</w:t>
            </w:r>
          </w:p>
        </w:tc>
        <w:tc>
          <w:tcPr>
            <w:tcW w:w="1173" w:type="dxa"/>
            <w:shd w:val="clear" w:color="auto" w:fill="auto"/>
            <w:noWrap/>
            <w:vAlign w:val="bottom"/>
            <w:hideMark/>
          </w:tcPr>
          <w:p w14:paraId="58A9985E" w14:textId="7DD7379B" w:rsidR="008B3B16" w:rsidRPr="009A57CB" w:rsidRDefault="008B3B16" w:rsidP="006B5394">
            <w:pPr>
              <w:jc w:val="right"/>
              <w:rPr>
                <w:rFonts w:eastAsia="Times New Roman"/>
                <w:sz w:val="22"/>
                <w:szCs w:val="22"/>
              </w:rPr>
            </w:pPr>
            <w:r>
              <w:rPr>
                <w:rFonts w:eastAsia="Times New Roman"/>
                <w:color w:val="000000"/>
                <w:sz w:val="22"/>
                <w:szCs w:val="22"/>
              </w:rPr>
              <w:t>0.023</w:t>
            </w:r>
          </w:p>
        </w:tc>
        <w:tc>
          <w:tcPr>
            <w:tcW w:w="1268" w:type="dxa"/>
            <w:shd w:val="clear" w:color="auto" w:fill="auto"/>
            <w:noWrap/>
            <w:vAlign w:val="bottom"/>
            <w:hideMark/>
          </w:tcPr>
          <w:p w14:paraId="7D47273C" w14:textId="10588CE9" w:rsidR="008B3B16" w:rsidRPr="009A57CB" w:rsidRDefault="008B3B16" w:rsidP="006B5394">
            <w:pPr>
              <w:jc w:val="right"/>
              <w:rPr>
                <w:rFonts w:eastAsia="Times New Roman"/>
                <w:sz w:val="22"/>
                <w:szCs w:val="22"/>
              </w:rPr>
            </w:pPr>
            <w:r>
              <w:rPr>
                <w:rFonts w:eastAsia="Times New Roman"/>
                <w:color w:val="000000"/>
                <w:sz w:val="22"/>
                <w:szCs w:val="22"/>
              </w:rPr>
              <w:t>0.039</w:t>
            </w:r>
          </w:p>
        </w:tc>
        <w:tc>
          <w:tcPr>
            <w:tcW w:w="1076" w:type="dxa"/>
            <w:shd w:val="clear" w:color="auto" w:fill="auto"/>
            <w:noWrap/>
            <w:vAlign w:val="bottom"/>
            <w:hideMark/>
          </w:tcPr>
          <w:p w14:paraId="2DB927E0" w14:textId="39098286" w:rsidR="008B3B16" w:rsidRPr="009A57CB" w:rsidRDefault="008B3B16" w:rsidP="006B5394">
            <w:pPr>
              <w:jc w:val="right"/>
              <w:rPr>
                <w:rFonts w:eastAsia="Times New Roman"/>
                <w:sz w:val="22"/>
                <w:szCs w:val="22"/>
              </w:rPr>
            </w:pPr>
            <w:r>
              <w:rPr>
                <w:rFonts w:eastAsia="Times New Roman"/>
                <w:color w:val="000000"/>
                <w:sz w:val="22"/>
                <w:szCs w:val="22"/>
              </w:rPr>
              <w:t>0.058</w:t>
            </w:r>
          </w:p>
        </w:tc>
      </w:tr>
      <w:tr w:rsidR="00B523E3" w:rsidRPr="009A57CB" w14:paraId="3DA41675" w14:textId="77777777" w:rsidTr="00B523E3">
        <w:trPr>
          <w:trHeight w:val="288"/>
          <w:jc w:val="center"/>
        </w:trPr>
        <w:tc>
          <w:tcPr>
            <w:tcW w:w="2016" w:type="dxa"/>
            <w:shd w:val="clear" w:color="auto" w:fill="auto"/>
            <w:noWrap/>
            <w:vAlign w:val="bottom"/>
            <w:hideMark/>
          </w:tcPr>
          <w:p w14:paraId="105A8984" w14:textId="0C7ECA13" w:rsidR="008B3B16" w:rsidRPr="009A57CB" w:rsidRDefault="008B3B16" w:rsidP="006B5394">
            <w:pPr>
              <w:rPr>
                <w:rFonts w:eastAsia="Times New Roman"/>
                <w:i/>
                <w:sz w:val="22"/>
                <w:szCs w:val="22"/>
              </w:rPr>
            </w:pPr>
            <w:r w:rsidRPr="009A57CB">
              <w:rPr>
                <w:rFonts w:eastAsia="Times New Roman"/>
                <w:i/>
                <w:sz w:val="22"/>
                <w:szCs w:val="22"/>
              </w:rPr>
              <w:t>Age</w:t>
            </w:r>
          </w:p>
        </w:tc>
        <w:tc>
          <w:tcPr>
            <w:tcW w:w="1133" w:type="dxa"/>
            <w:shd w:val="clear" w:color="auto" w:fill="auto"/>
            <w:noWrap/>
            <w:vAlign w:val="bottom"/>
            <w:hideMark/>
          </w:tcPr>
          <w:p w14:paraId="7C5A558E" w14:textId="2557E26E" w:rsidR="008B3B16" w:rsidRPr="009A57CB" w:rsidRDefault="008B3B16" w:rsidP="006B5394">
            <w:pPr>
              <w:jc w:val="right"/>
              <w:rPr>
                <w:rFonts w:eastAsia="Times New Roman"/>
                <w:sz w:val="22"/>
                <w:szCs w:val="22"/>
              </w:rPr>
            </w:pPr>
            <w:r>
              <w:rPr>
                <w:rFonts w:eastAsia="Times New Roman"/>
                <w:color w:val="000000"/>
                <w:sz w:val="22"/>
                <w:szCs w:val="22"/>
              </w:rPr>
              <w:t>1.094</w:t>
            </w:r>
          </w:p>
        </w:tc>
        <w:tc>
          <w:tcPr>
            <w:tcW w:w="1166" w:type="dxa"/>
            <w:vAlign w:val="bottom"/>
          </w:tcPr>
          <w:p w14:paraId="3091292A" w14:textId="1DAB66EB" w:rsidR="008B3B16" w:rsidRPr="009A57CB" w:rsidRDefault="008B3B16" w:rsidP="006B5394">
            <w:pPr>
              <w:jc w:val="right"/>
              <w:rPr>
                <w:rFonts w:eastAsia="Times New Roman"/>
                <w:sz w:val="22"/>
                <w:szCs w:val="22"/>
              </w:rPr>
            </w:pPr>
            <w:r>
              <w:rPr>
                <w:rFonts w:eastAsia="Times New Roman"/>
                <w:color w:val="000000"/>
                <w:sz w:val="22"/>
                <w:szCs w:val="22"/>
              </w:rPr>
              <w:t>0.759</w:t>
            </w:r>
          </w:p>
        </w:tc>
        <w:tc>
          <w:tcPr>
            <w:tcW w:w="1173" w:type="dxa"/>
            <w:shd w:val="clear" w:color="auto" w:fill="auto"/>
            <w:noWrap/>
            <w:vAlign w:val="bottom"/>
            <w:hideMark/>
          </w:tcPr>
          <w:p w14:paraId="4BE4FE68" w14:textId="0C23611D" w:rsidR="008B3B16" w:rsidRPr="009A57CB" w:rsidRDefault="008B3B16" w:rsidP="006B5394">
            <w:pPr>
              <w:jc w:val="right"/>
              <w:rPr>
                <w:rFonts w:eastAsia="Times New Roman"/>
                <w:sz w:val="22"/>
                <w:szCs w:val="22"/>
              </w:rPr>
            </w:pPr>
            <w:r>
              <w:rPr>
                <w:rFonts w:eastAsia="Times New Roman"/>
                <w:color w:val="000000"/>
                <w:sz w:val="22"/>
                <w:szCs w:val="22"/>
              </w:rPr>
              <w:t>0.693</w:t>
            </w:r>
          </w:p>
        </w:tc>
        <w:tc>
          <w:tcPr>
            <w:tcW w:w="1268" w:type="dxa"/>
            <w:shd w:val="clear" w:color="auto" w:fill="auto"/>
            <w:noWrap/>
            <w:vAlign w:val="bottom"/>
            <w:hideMark/>
          </w:tcPr>
          <w:p w14:paraId="2B00C6EE" w14:textId="7F0B9702" w:rsidR="008B3B16" w:rsidRPr="009A57CB" w:rsidRDefault="008B3B16" w:rsidP="006B5394">
            <w:pPr>
              <w:jc w:val="right"/>
              <w:rPr>
                <w:rFonts w:eastAsia="Times New Roman"/>
                <w:sz w:val="22"/>
                <w:szCs w:val="22"/>
              </w:rPr>
            </w:pPr>
            <w:r>
              <w:rPr>
                <w:rFonts w:eastAsia="Times New Roman"/>
                <w:color w:val="000000"/>
                <w:sz w:val="22"/>
                <w:szCs w:val="22"/>
              </w:rPr>
              <w:t>1.099</w:t>
            </w:r>
          </w:p>
        </w:tc>
        <w:tc>
          <w:tcPr>
            <w:tcW w:w="1076" w:type="dxa"/>
            <w:shd w:val="clear" w:color="auto" w:fill="auto"/>
            <w:noWrap/>
            <w:vAlign w:val="bottom"/>
            <w:hideMark/>
          </w:tcPr>
          <w:p w14:paraId="57DC688F" w14:textId="5C806E35" w:rsidR="008B3B16" w:rsidRPr="009A57CB" w:rsidRDefault="008B3B16" w:rsidP="006B5394">
            <w:pPr>
              <w:jc w:val="right"/>
              <w:rPr>
                <w:rFonts w:eastAsia="Times New Roman"/>
                <w:sz w:val="22"/>
                <w:szCs w:val="22"/>
              </w:rPr>
            </w:pPr>
            <w:r>
              <w:rPr>
                <w:rFonts w:eastAsia="Times New Roman"/>
                <w:color w:val="000000"/>
                <w:sz w:val="22"/>
                <w:szCs w:val="22"/>
              </w:rPr>
              <w:t>1.792</w:t>
            </w:r>
          </w:p>
        </w:tc>
      </w:tr>
      <w:tr w:rsidR="00B523E3" w:rsidRPr="009A57CB" w14:paraId="09AECF24" w14:textId="77777777" w:rsidTr="00B523E3">
        <w:trPr>
          <w:trHeight w:val="288"/>
          <w:jc w:val="center"/>
        </w:trPr>
        <w:tc>
          <w:tcPr>
            <w:tcW w:w="2016" w:type="dxa"/>
            <w:shd w:val="clear" w:color="auto" w:fill="auto"/>
            <w:noWrap/>
            <w:vAlign w:val="bottom"/>
          </w:tcPr>
          <w:p w14:paraId="3893AF91" w14:textId="3919469D" w:rsidR="008B3B16" w:rsidRPr="009A57CB" w:rsidRDefault="008B3B16" w:rsidP="006B5394">
            <w:pPr>
              <w:rPr>
                <w:rFonts w:eastAsia="Times New Roman"/>
                <w:i/>
                <w:sz w:val="22"/>
                <w:szCs w:val="22"/>
              </w:rPr>
            </w:pPr>
            <w:r w:rsidRPr="009A57CB">
              <w:rPr>
                <w:i/>
                <w:sz w:val="22"/>
                <w:szCs w:val="22"/>
              </w:rPr>
              <w:t>∆GDP</w:t>
            </w:r>
          </w:p>
        </w:tc>
        <w:tc>
          <w:tcPr>
            <w:tcW w:w="1133" w:type="dxa"/>
            <w:shd w:val="clear" w:color="auto" w:fill="auto"/>
            <w:noWrap/>
            <w:vAlign w:val="bottom"/>
          </w:tcPr>
          <w:p w14:paraId="14C3178F" w14:textId="0FC059DF" w:rsidR="008B3B16" w:rsidRPr="009A57CB" w:rsidRDefault="008B3B16" w:rsidP="006B5394">
            <w:pPr>
              <w:jc w:val="right"/>
              <w:rPr>
                <w:rFonts w:eastAsia="Times New Roman"/>
                <w:sz w:val="22"/>
                <w:szCs w:val="22"/>
              </w:rPr>
            </w:pPr>
            <w:r>
              <w:rPr>
                <w:rFonts w:eastAsia="Times New Roman"/>
                <w:color w:val="000000"/>
                <w:sz w:val="22"/>
                <w:szCs w:val="22"/>
              </w:rPr>
              <w:t>0.036</w:t>
            </w:r>
          </w:p>
        </w:tc>
        <w:tc>
          <w:tcPr>
            <w:tcW w:w="1166" w:type="dxa"/>
            <w:vAlign w:val="bottom"/>
          </w:tcPr>
          <w:p w14:paraId="1B6B802D" w14:textId="1B120872" w:rsidR="008B3B16" w:rsidRPr="009A57CB" w:rsidRDefault="008B3B16" w:rsidP="006B5394">
            <w:pPr>
              <w:jc w:val="right"/>
              <w:rPr>
                <w:rFonts w:eastAsia="Times New Roman"/>
                <w:sz w:val="22"/>
                <w:szCs w:val="22"/>
              </w:rPr>
            </w:pPr>
            <w:r>
              <w:rPr>
                <w:rFonts w:eastAsia="Times New Roman"/>
                <w:color w:val="000000"/>
                <w:sz w:val="22"/>
                <w:szCs w:val="22"/>
              </w:rPr>
              <w:t>0.089</w:t>
            </w:r>
          </w:p>
        </w:tc>
        <w:tc>
          <w:tcPr>
            <w:tcW w:w="1173" w:type="dxa"/>
            <w:shd w:val="clear" w:color="auto" w:fill="auto"/>
            <w:noWrap/>
            <w:vAlign w:val="bottom"/>
          </w:tcPr>
          <w:p w14:paraId="0620ECCF" w14:textId="6B98574A" w:rsidR="008B3B16" w:rsidRPr="009A57CB" w:rsidRDefault="008B3B16" w:rsidP="006B5394">
            <w:pPr>
              <w:jc w:val="right"/>
              <w:rPr>
                <w:rFonts w:eastAsia="Times New Roman"/>
                <w:sz w:val="22"/>
                <w:szCs w:val="22"/>
              </w:rPr>
            </w:pPr>
            <w:r>
              <w:rPr>
                <w:rFonts w:eastAsia="Times New Roman"/>
                <w:color w:val="000000"/>
                <w:sz w:val="22"/>
                <w:szCs w:val="22"/>
              </w:rPr>
              <w:t>-0.027</w:t>
            </w:r>
          </w:p>
        </w:tc>
        <w:tc>
          <w:tcPr>
            <w:tcW w:w="1268" w:type="dxa"/>
            <w:shd w:val="clear" w:color="auto" w:fill="auto"/>
            <w:noWrap/>
            <w:vAlign w:val="bottom"/>
          </w:tcPr>
          <w:p w14:paraId="382965FD" w14:textId="5E743161" w:rsidR="008B3B16" w:rsidRPr="009A57CB" w:rsidRDefault="008B3B16" w:rsidP="006B5394">
            <w:pPr>
              <w:jc w:val="right"/>
              <w:rPr>
                <w:rFonts w:eastAsia="Times New Roman"/>
                <w:sz w:val="22"/>
                <w:szCs w:val="22"/>
              </w:rPr>
            </w:pPr>
            <w:r>
              <w:rPr>
                <w:rFonts w:eastAsia="Times New Roman"/>
                <w:color w:val="000000"/>
                <w:sz w:val="22"/>
                <w:szCs w:val="22"/>
              </w:rPr>
              <w:t>0.038</w:t>
            </w:r>
          </w:p>
        </w:tc>
        <w:tc>
          <w:tcPr>
            <w:tcW w:w="1076" w:type="dxa"/>
            <w:shd w:val="clear" w:color="auto" w:fill="auto"/>
            <w:noWrap/>
            <w:vAlign w:val="bottom"/>
          </w:tcPr>
          <w:p w14:paraId="273A7BDF" w14:textId="097A6EA2" w:rsidR="008B3B16" w:rsidRPr="009A57CB" w:rsidRDefault="008B3B16" w:rsidP="006B5394">
            <w:pPr>
              <w:jc w:val="right"/>
              <w:rPr>
                <w:rFonts w:eastAsia="Times New Roman"/>
                <w:sz w:val="22"/>
                <w:szCs w:val="22"/>
              </w:rPr>
            </w:pPr>
            <w:r>
              <w:rPr>
                <w:rFonts w:eastAsia="Times New Roman"/>
                <w:color w:val="000000"/>
                <w:sz w:val="22"/>
                <w:szCs w:val="22"/>
              </w:rPr>
              <w:t>0.098</w:t>
            </w:r>
          </w:p>
        </w:tc>
      </w:tr>
      <w:tr w:rsidR="00B523E3" w:rsidRPr="009A57CB" w14:paraId="2C358607" w14:textId="77777777" w:rsidTr="00B523E3">
        <w:trPr>
          <w:trHeight w:val="288"/>
          <w:jc w:val="center"/>
        </w:trPr>
        <w:tc>
          <w:tcPr>
            <w:tcW w:w="2016" w:type="dxa"/>
            <w:shd w:val="clear" w:color="auto" w:fill="auto"/>
            <w:noWrap/>
            <w:vAlign w:val="bottom"/>
          </w:tcPr>
          <w:p w14:paraId="0E7D752C" w14:textId="22221FAB" w:rsidR="008C56C4" w:rsidRPr="009A57CB" w:rsidRDefault="008C56C4" w:rsidP="0056556E">
            <w:pPr>
              <w:rPr>
                <w:i/>
                <w:sz w:val="22"/>
                <w:szCs w:val="22"/>
              </w:rPr>
            </w:pPr>
            <w:r w:rsidRPr="009A57CB">
              <w:rPr>
                <w:i/>
                <w:sz w:val="22"/>
                <w:szCs w:val="22"/>
              </w:rPr>
              <w:t>∆</w:t>
            </w:r>
            <w:proofErr w:type="spellStart"/>
            <w:r w:rsidRPr="009A57CB">
              <w:rPr>
                <w:i/>
                <w:sz w:val="22"/>
                <w:szCs w:val="22"/>
              </w:rPr>
              <w:t>MarketSize</w:t>
            </w:r>
            <w:proofErr w:type="spellEnd"/>
          </w:p>
        </w:tc>
        <w:tc>
          <w:tcPr>
            <w:tcW w:w="1133" w:type="dxa"/>
            <w:shd w:val="clear" w:color="auto" w:fill="auto"/>
            <w:noWrap/>
            <w:vAlign w:val="bottom"/>
          </w:tcPr>
          <w:p w14:paraId="7E04E03D" w14:textId="21E6D302" w:rsidR="008C56C4" w:rsidRPr="009A57CB" w:rsidRDefault="008B3B16" w:rsidP="008B3B16">
            <w:pPr>
              <w:jc w:val="right"/>
              <w:rPr>
                <w:rFonts w:eastAsia="Times New Roman"/>
                <w:sz w:val="22"/>
                <w:szCs w:val="22"/>
              </w:rPr>
            </w:pPr>
            <w:r>
              <w:rPr>
                <w:rFonts w:eastAsia="Times New Roman"/>
                <w:color w:val="000000"/>
                <w:sz w:val="22"/>
                <w:szCs w:val="22"/>
              </w:rPr>
              <w:t>1</w:t>
            </w:r>
            <w:r w:rsidR="00FA0508">
              <w:rPr>
                <w:rFonts w:eastAsia="Times New Roman"/>
                <w:color w:val="000000"/>
                <w:sz w:val="22"/>
                <w:szCs w:val="22"/>
              </w:rPr>
              <w:t>.</w:t>
            </w:r>
            <w:r>
              <w:rPr>
                <w:rFonts w:eastAsia="Times New Roman"/>
                <w:color w:val="000000"/>
                <w:sz w:val="22"/>
                <w:szCs w:val="22"/>
              </w:rPr>
              <w:t>353</w:t>
            </w:r>
          </w:p>
        </w:tc>
        <w:tc>
          <w:tcPr>
            <w:tcW w:w="1166" w:type="dxa"/>
            <w:vAlign w:val="bottom"/>
          </w:tcPr>
          <w:p w14:paraId="1C1B7A66" w14:textId="7737CC3A" w:rsidR="008C56C4" w:rsidRPr="009A57CB" w:rsidRDefault="008B3B16" w:rsidP="006B5394">
            <w:pPr>
              <w:jc w:val="right"/>
              <w:rPr>
                <w:rFonts w:eastAsia="Times New Roman"/>
                <w:sz w:val="22"/>
                <w:szCs w:val="22"/>
              </w:rPr>
            </w:pPr>
            <w:r>
              <w:rPr>
                <w:rFonts w:eastAsia="Times New Roman"/>
                <w:color w:val="000000"/>
                <w:sz w:val="22"/>
                <w:szCs w:val="22"/>
              </w:rPr>
              <w:t>4.408</w:t>
            </w:r>
          </w:p>
        </w:tc>
        <w:tc>
          <w:tcPr>
            <w:tcW w:w="1173" w:type="dxa"/>
            <w:shd w:val="clear" w:color="auto" w:fill="auto"/>
            <w:noWrap/>
            <w:vAlign w:val="bottom"/>
          </w:tcPr>
          <w:p w14:paraId="653366CE" w14:textId="34149DC9" w:rsidR="008C56C4" w:rsidRPr="009A57CB" w:rsidRDefault="008C56C4" w:rsidP="006B5394">
            <w:pPr>
              <w:jc w:val="right"/>
              <w:rPr>
                <w:rFonts w:eastAsia="Times New Roman"/>
                <w:sz w:val="22"/>
                <w:szCs w:val="22"/>
              </w:rPr>
            </w:pPr>
            <w:r w:rsidRPr="009A57CB">
              <w:rPr>
                <w:rFonts w:eastAsia="Times New Roman"/>
                <w:color w:val="000000"/>
                <w:sz w:val="22"/>
                <w:szCs w:val="22"/>
              </w:rPr>
              <w:t>-0.08</w:t>
            </w:r>
            <w:r w:rsidR="00FA0508">
              <w:rPr>
                <w:rFonts w:eastAsia="Times New Roman"/>
                <w:color w:val="000000"/>
                <w:sz w:val="22"/>
                <w:szCs w:val="22"/>
              </w:rPr>
              <w:t>2</w:t>
            </w:r>
          </w:p>
        </w:tc>
        <w:tc>
          <w:tcPr>
            <w:tcW w:w="1268" w:type="dxa"/>
            <w:shd w:val="clear" w:color="auto" w:fill="auto"/>
            <w:noWrap/>
            <w:vAlign w:val="bottom"/>
          </w:tcPr>
          <w:p w14:paraId="7FFBDF2C" w14:textId="15F5E564" w:rsidR="008C56C4" w:rsidRPr="009A57CB" w:rsidRDefault="008C56C4" w:rsidP="006B5394">
            <w:pPr>
              <w:jc w:val="right"/>
              <w:rPr>
                <w:rFonts w:eastAsia="Times New Roman"/>
                <w:sz w:val="22"/>
                <w:szCs w:val="22"/>
              </w:rPr>
            </w:pPr>
            <w:r w:rsidRPr="009A57CB">
              <w:rPr>
                <w:rFonts w:eastAsia="Times New Roman"/>
                <w:color w:val="000000"/>
                <w:sz w:val="22"/>
                <w:szCs w:val="22"/>
              </w:rPr>
              <w:t>0.</w:t>
            </w:r>
            <w:r w:rsidR="00FA0508">
              <w:rPr>
                <w:rFonts w:eastAsia="Times New Roman"/>
                <w:color w:val="000000"/>
                <w:sz w:val="22"/>
                <w:szCs w:val="22"/>
              </w:rPr>
              <w:t>200</w:t>
            </w:r>
          </w:p>
        </w:tc>
        <w:tc>
          <w:tcPr>
            <w:tcW w:w="1076" w:type="dxa"/>
            <w:shd w:val="clear" w:color="auto" w:fill="auto"/>
            <w:noWrap/>
            <w:vAlign w:val="bottom"/>
          </w:tcPr>
          <w:p w14:paraId="7CADA23A" w14:textId="156DD7BE" w:rsidR="008C56C4" w:rsidRPr="009A57CB" w:rsidRDefault="008C56C4" w:rsidP="006B5394">
            <w:pPr>
              <w:jc w:val="right"/>
              <w:rPr>
                <w:rFonts w:eastAsia="Times New Roman"/>
                <w:sz w:val="22"/>
                <w:szCs w:val="22"/>
              </w:rPr>
            </w:pPr>
            <w:r w:rsidRPr="009A57CB">
              <w:rPr>
                <w:rFonts w:eastAsia="Times New Roman"/>
                <w:color w:val="000000"/>
                <w:sz w:val="22"/>
                <w:szCs w:val="22"/>
              </w:rPr>
              <w:t>0.8</w:t>
            </w:r>
            <w:r w:rsidR="00FA0508">
              <w:rPr>
                <w:rFonts w:eastAsia="Times New Roman"/>
                <w:color w:val="000000"/>
                <w:sz w:val="22"/>
                <w:szCs w:val="22"/>
              </w:rPr>
              <w:t>60</w:t>
            </w:r>
          </w:p>
        </w:tc>
      </w:tr>
      <w:tr w:rsidR="00B523E3" w:rsidRPr="009A57CB" w14:paraId="237787AD" w14:textId="77777777" w:rsidTr="00B523E3">
        <w:trPr>
          <w:trHeight w:val="288"/>
          <w:jc w:val="center"/>
        </w:trPr>
        <w:tc>
          <w:tcPr>
            <w:tcW w:w="2016" w:type="dxa"/>
            <w:shd w:val="clear" w:color="auto" w:fill="auto"/>
            <w:noWrap/>
            <w:vAlign w:val="bottom"/>
          </w:tcPr>
          <w:p w14:paraId="33EA6776" w14:textId="3B9CBC2F" w:rsidR="008B3B16" w:rsidRPr="009A57CB" w:rsidRDefault="008B3B16" w:rsidP="0056556E">
            <w:pPr>
              <w:rPr>
                <w:i/>
                <w:sz w:val="22"/>
                <w:szCs w:val="22"/>
              </w:rPr>
            </w:pPr>
            <w:r w:rsidRPr="009A57CB">
              <w:rPr>
                <w:i/>
                <w:sz w:val="22"/>
                <w:szCs w:val="22"/>
              </w:rPr>
              <w:t>C</w:t>
            </w:r>
          </w:p>
        </w:tc>
        <w:tc>
          <w:tcPr>
            <w:tcW w:w="1133" w:type="dxa"/>
            <w:shd w:val="clear" w:color="auto" w:fill="auto"/>
            <w:noWrap/>
            <w:vAlign w:val="bottom"/>
          </w:tcPr>
          <w:p w14:paraId="428FFA3A" w14:textId="10D0EB99" w:rsidR="008B3B16" w:rsidRPr="009A57CB" w:rsidRDefault="008B3B16" w:rsidP="006B5394">
            <w:pPr>
              <w:jc w:val="right"/>
              <w:rPr>
                <w:rFonts w:eastAsia="Times New Roman"/>
                <w:sz w:val="22"/>
                <w:szCs w:val="22"/>
              </w:rPr>
            </w:pPr>
            <w:r>
              <w:rPr>
                <w:rFonts w:eastAsia="Times New Roman"/>
                <w:color w:val="000000"/>
                <w:sz w:val="22"/>
                <w:szCs w:val="22"/>
              </w:rPr>
              <w:t>0.002</w:t>
            </w:r>
          </w:p>
        </w:tc>
        <w:tc>
          <w:tcPr>
            <w:tcW w:w="1166" w:type="dxa"/>
            <w:vAlign w:val="bottom"/>
          </w:tcPr>
          <w:p w14:paraId="287F58AD" w14:textId="07A78E8A" w:rsidR="008B3B16" w:rsidRPr="009A57CB" w:rsidRDefault="008B3B16" w:rsidP="006B5394">
            <w:pPr>
              <w:jc w:val="right"/>
              <w:rPr>
                <w:rFonts w:eastAsia="Times New Roman"/>
                <w:sz w:val="22"/>
                <w:szCs w:val="22"/>
              </w:rPr>
            </w:pPr>
            <w:r>
              <w:rPr>
                <w:rFonts w:eastAsia="Times New Roman"/>
                <w:color w:val="000000"/>
                <w:sz w:val="22"/>
                <w:szCs w:val="22"/>
              </w:rPr>
              <w:t>0.046</w:t>
            </w:r>
          </w:p>
        </w:tc>
        <w:tc>
          <w:tcPr>
            <w:tcW w:w="1173" w:type="dxa"/>
            <w:shd w:val="clear" w:color="auto" w:fill="auto"/>
            <w:noWrap/>
            <w:vAlign w:val="bottom"/>
          </w:tcPr>
          <w:p w14:paraId="3879BFA9" w14:textId="122337F4" w:rsidR="008B3B16" w:rsidRPr="009A57CB" w:rsidRDefault="008B3B16" w:rsidP="006B5394">
            <w:pPr>
              <w:jc w:val="right"/>
              <w:rPr>
                <w:rFonts w:eastAsia="Times New Roman"/>
                <w:sz w:val="22"/>
                <w:szCs w:val="22"/>
              </w:rPr>
            </w:pPr>
            <w:r>
              <w:rPr>
                <w:rFonts w:eastAsia="Times New Roman"/>
                <w:color w:val="000000"/>
                <w:sz w:val="22"/>
                <w:szCs w:val="22"/>
              </w:rPr>
              <w:t>-0.012</w:t>
            </w:r>
          </w:p>
        </w:tc>
        <w:tc>
          <w:tcPr>
            <w:tcW w:w="1268" w:type="dxa"/>
            <w:shd w:val="clear" w:color="auto" w:fill="auto"/>
            <w:noWrap/>
            <w:vAlign w:val="bottom"/>
          </w:tcPr>
          <w:p w14:paraId="31BA95EE" w14:textId="11254106" w:rsidR="008B3B16" w:rsidRPr="009A57CB" w:rsidRDefault="008B3B16" w:rsidP="006B5394">
            <w:pPr>
              <w:jc w:val="right"/>
              <w:rPr>
                <w:rFonts w:eastAsia="Times New Roman"/>
                <w:sz w:val="22"/>
                <w:szCs w:val="22"/>
              </w:rPr>
            </w:pPr>
            <w:r>
              <w:rPr>
                <w:rFonts w:eastAsia="Times New Roman"/>
                <w:color w:val="000000"/>
                <w:sz w:val="22"/>
                <w:szCs w:val="22"/>
              </w:rPr>
              <w:t>0.001</w:t>
            </w:r>
          </w:p>
        </w:tc>
        <w:tc>
          <w:tcPr>
            <w:tcW w:w="1076" w:type="dxa"/>
            <w:shd w:val="clear" w:color="auto" w:fill="auto"/>
            <w:noWrap/>
            <w:vAlign w:val="bottom"/>
          </w:tcPr>
          <w:p w14:paraId="5E1695A3" w14:textId="6AFB11D6" w:rsidR="008B3B16" w:rsidRPr="009A57CB" w:rsidRDefault="008B3B16" w:rsidP="006B5394">
            <w:pPr>
              <w:jc w:val="right"/>
              <w:rPr>
                <w:rFonts w:eastAsia="Times New Roman"/>
                <w:sz w:val="22"/>
                <w:szCs w:val="22"/>
              </w:rPr>
            </w:pPr>
            <w:r>
              <w:rPr>
                <w:rFonts w:eastAsia="Times New Roman"/>
                <w:color w:val="000000"/>
                <w:sz w:val="22"/>
                <w:szCs w:val="22"/>
              </w:rPr>
              <w:t>0.026</w:t>
            </w:r>
          </w:p>
        </w:tc>
      </w:tr>
      <w:tr w:rsidR="00B523E3" w:rsidRPr="009A57CB" w14:paraId="0D6F8306" w14:textId="77777777" w:rsidTr="00B523E3">
        <w:trPr>
          <w:trHeight w:val="288"/>
          <w:jc w:val="center"/>
        </w:trPr>
        <w:tc>
          <w:tcPr>
            <w:tcW w:w="2016" w:type="dxa"/>
            <w:shd w:val="clear" w:color="auto" w:fill="auto"/>
            <w:noWrap/>
            <w:vAlign w:val="bottom"/>
          </w:tcPr>
          <w:p w14:paraId="03EFD3EB" w14:textId="0A023A2D" w:rsidR="008B3B16" w:rsidRPr="009A57CB" w:rsidRDefault="008B3B16" w:rsidP="0056556E">
            <w:pPr>
              <w:rPr>
                <w:i/>
                <w:sz w:val="22"/>
                <w:szCs w:val="22"/>
              </w:rPr>
            </w:pPr>
            <w:r w:rsidRPr="009A57CB">
              <w:rPr>
                <w:i/>
                <w:sz w:val="22"/>
                <w:szCs w:val="22"/>
              </w:rPr>
              <w:t>Loss</w:t>
            </w:r>
          </w:p>
        </w:tc>
        <w:tc>
          <w:tcPr>
            <w:tcW w:w="1133" w:type="dxa"/>
            <w:shd w:val="clear" w:color="auto" w:fill="auto"/>
            <w:noWrap/>
            <w:vAlign w:val="bottom"/>
          </w:tcPr>
          <w:p w14:paraId="22A18423" w14:textId="348FDDFD" w:rsidR="008B3B16" w:rsidRPr="009A57CB" w:rsidRDefault="008B3B16" w:rsidP="006B5394">
            <w:pPr>
              <w:jc w:val="right"/>
              <w:rPr>
                <w:rFonts w:eastAsia="Times New Roman"/>
                <w:sz w:val="22"/>
                <w:szCs w:val="22"/>
              </w:rPr>
            </w:pPr>
            <w:r>
              <w:rPr>
                <w:rFonts w:eastAsia="Times New Roman"/>
                <w:color w:val="000000"/>
                <w:sz w:val="22"/>
                <w:szCs w:val="22"/>
              </w:rPr>
              <w:t>0.224</w:t>
            </w:r>
          </w:p>
        </w:tc>
        <w:tc>
          <w:tcPr>
            <w:tcW w:w="1166" w:type="dxa"/>
            <w:vAlign w:val="bottom"/>
          </w:tcPr>
          <w:p w14:paraId="2956FB2C" w14:textId="64424C91" w:rsidR="008B3B16" w:rsidRPr="009A57CB" w:rsidRDefault="008B3B16" w:rsidP="006B5394">
            <w:pPr>
              <w:jc w:val="right"/>
              <w:rPr>
                <w:rFonts w:eastAsia="Times New Roman"/>
                <w:sz w:val="22"/>
                <w:szCs w:val="22"/>
              </w:rPr>
            </w:pPr>
            <w:r>
              <w:rPr>
                <w:rFonts w:eastAsia="Times New Roman"/>
                <w:color w:val="000000"/>
                <w:sz w:val="22"/>
                <w:szCs w:val="22"/>
              </w:rPr>
              <w:t>0.417</w:t>
            </w:r>
          </w:p>
        </w:tc>
        <w:tc>
          <w:tcPr>
            <w:tcW w:w="1173" w:type="dxa"/>
            <w:shd w:val="clear" w:color="auto" w:fill="auto"/>
            <w:noWrap/>
            <w:vAlign w:val="bottom"/>
          </w:tcPr>
          <w:p w14:paraId="08EE9344" w14:textId="78841618" w:rsidR="008B3B16" w:rsidRPr="009A57CB" w:rsidRDefault="008B3B16" w:rsidP="006B5394">
            <w:pPr>
              <w:jc w:val="right"/>
              <w:rPr>
                <w:rFonts w:eastAsia="Times New Roman"/>
                <w:sz w:val="22"/>
                <w:szCs w:val="22"/>
              </w:rPr>
            </w:pPr>
            <w:r>
              <w:rPr>
                <w:rFonts w:eastAsia="Times New Roman"/>
                <w:color w:val="000000"/>
                <w:sz w:val="22"/>
                <w:szCs w:val="22"/>
              </w:rPr>
              <w:t>0.000</w:t>
            </w:r>
          </w:p>
        </w:tc>
        <w:tc>
          <w:tcPr>
            <w:tcW w:w="1268" w:type="dxa"/>
            <w:shd w:val="clear" w:color="auto" w:fill="auto"/>
            <w:noWrap/>
            <w:vAlign w:val="bottom"/>
          </w:tcPr>
          <w:p w14:paraId="439447BB" w14:textId="73649CCB" w:rsidR="008B3B16" w:rsidRPr="009A57CB" w:rsidRDefault="008B3B16" w:rsidP="006B5394">
            <w:pPr>
              <w:jc w:val="right"/>
              <w:rPr>
                <w:rFonts w:eastAsia="Times New Roman"/>
                <w:sz w:val="22"/>
                <w:szCs w:val="22"/>
              </w:rPr>
            </w:pPr>
            <w:r>
              <w:rPr>
                <w:rFonts w:eastAsia="Times New Roman"/>
                <w:color w:val="000000"/>
                <w:sz w:val="22"/>
                <w:szCs w:val="22"/>
              </w:rPr>
              <w:t>0.000</w:t>
            </w:r>
          </w:p>
        </w:tc>
        <w:tc>
          <w:tcPr>
            <w:tcW w:w="1076" w:type="dxa"/>
            <w:shd w:val="clear" w:color="auto" w:fill="auto"/>
            <w:noWrap/>
            <w:vAlign w:val="bottom"/>
          </w:tcPr>
          <w:p w14:paraId="2A90BB55" w14:textId="2FB62607" w:rsidR="008B3B16" w:rsidRPr="009A57CB" w:rsidRDefault="008B3B16" w:rsidP="006B5394">
            <w:pPr>
              <w:jc w:val="right"/>
              <w:rPr>
                <w:rFonts w:eastAsia="Times New Roman"/>
                <w:sz w:val="22"/>
                <w:szCs w:val="22"/>
              </w:rPr>
            </w:pPr>
            <w:r>
              <w:rPr>
                <w:rFonts w:eastAsia="Times New Roman"/>
                <w:color w:val="000000"/>
                <w:sz w:val="22"/>
                <w:szCs w:val="22"/>
              </w:rPr>
              <w:t>0.000</w:t>
            </w:r>
          </w:p>
        </w:tc>
      </w:tr>
    </w:tbl>
    <w:p w14:paraId="5AFE5E8B" w14:textId="77777777" w:rsidR="008133A0" w:rsidRDefault="008133A0" w:rsidP="008133A0"/>
    <w:p w14:paraId="621BEA9C" w14:textId="5BDECE42" w:rsidR="008133A0" w:rsidRPr="00D3741C" w:rsidRDefault="008133A0" w:rsidP="00C20136">
      <w:pPr>
        <w:pStyle w:val="p1"/>
        <w:jc w:val="both"/>
        <w:rPr>
          <w:sz w:val="18"/>
          <w:szCs w:val="18"/>
        </w:rPr>
      </w:pPr>
      <w:r>
        <w:rPr>
          <w:sz w:val="22"/>
          <w:szCs w:val="22"/>
        </w:rPr>
        <w:t xml:space="preserve">Table </w:t>
      </w:r>
      <w:r w:rsidR="000B038D">
        <w:rPr>
          <w:sz w:val="22"/>
          <w:szCs w:val="22"/>
        </w:rPr>
        <w:t>2</w:t>
      </w:r>
      <w:r>
        <w:rPr>
          <w:sz w:val="22"/>
          <w:szCs w:val="22"/>
        </w:rPr>
        <w:t xml:space="preserve"> presents </w:t>
      </w:r>
      <w:r w:rsidR="003F625B">
        <w:rPr>
          <w:sz w:val="22"/>
          <w:szCs w:val="22"/>
        </w:rPr>
        <w:t>descriptive information</w:t>
      </w:r>
      <w:r>
        <w:rPr>
          <w:sz w:val="22"/>
          <w:szCs w:val="22"/>
        </w:rPr>
        <w:t xml:space="preserve"> for the sample used to </w:t>
      </w:r>
      <w:r w:rsidR="0083596A">
        <w:rPr>
          <w:sz w:val="22"/>
          <w:szCs w:val="22"/>
        </w:rPr>
        <w:t xml:space="preserve">estimate equation (1) and </w:t>
      </w:r>
      <w:r w:rsidR="0083596A">
        <w:rPr>
          <w:i/>
          <w:sz w:val="22"/>
          <w:szCs w:val="22"/>
        </w:rPr>
        <w:t>G</w:t>
      </w:r>
      <w:r>
        <w:rPr>
          <w:sz w:val="22"/>
          <w:szCs w:val="22"/>
        </w:rPr>
        <w:t xml:space="preserve">. </w:t>
      </w:r>
      <w:r w:rsidR="003F625B">
        <w:rPr>
          <w:sz w:val="22"/>
          <w:szCs w:val="22"/>
        </w:rPr>
        <w:t xml:space="preserve">Panel A provides descriptive statistics. </w:t>
      </w:r>
      <w:r w:rsidR="009E38E7" w:rsidRPr="001071B7">
        <w:rPr>
          <w:sz w:val="22"/>
          <w:szCs w:val="22"/>
        </w:rPr>
        <w:t xml:space="preserve">The affiliate-year sample includes </w:t>
      </w:r>
      <w:r w:rsidR="00B73B39">
        <w:rPr>
          <w:sz w:val="22"/>
          <w:szCs w:val="22"/>
        </w:rPr>
        <w:t>151,083</w:t>
      </w:r>
      <w:r w:rsidR="009E38E7" w:rsidRPr="001071B7">
        <w:rPr>
          <w:sz w:val="22"/>
          <w:szCs w:val="22"/>
        </w:rPr>
        <w:t xml:space="preserve"> affiliate-years from </w:t>
      </w:r>
      <w:proofErr w:type="spellStart"/>
      <w:r w:rsidR="009E38E7" w:rsidRPr="001071B7">
        <w:rPr>
          <w:sz w:val="22"/>
          <w:szCs w:val="22"/>
        </w:rPr>
        <w:t>BvD’s</w:t>
      </w:r>
      <w:proofErr w:type="spellEnd"/>
      <w:r w:rsidR="009E38E7" w:rsidRPr="001071B7">
        <w:rPr>
          <w:sz w:val="22"/>
          <w:szCs w:val="22"/>
        </w:rPr>
        <w:t xml:space="preserve"> Osiris database </w:t>
      </w:r>
      <w:r w:rsidR="001353F3" w:rsidRPr="00421E02">
        <w:rPr>
          <w:sz w:val="22"/>
          <w:szCs w:val="22"/>
        </w:rPr>
        <w:t xml:space="preserve">with at least two affiliates in different jurisdictions </w:t>
      </w:r>
      <w:r w:rsidR="009E38E7" w:rsidRPr="001071B7">
        <w:rPr>
          <w:sz w:val="22"/>
          <w:szCs w:val="22"/>
        </w:rPr>
        <w:t xml:space="preserve">and non-missing EBIT 2002 to 2014, representing </w:t>
      </w:r>
      <w:r w:rsidR="00B73B39">
        <w:rPr>
          <w:sz w:val="22"/>
          <w:szCs w:val="22"/>
        </w:rPr>
        <w:t>5,610</w:t>
      </w:r>
      <w:r w:rsidR="009E38E7" w:rsidRPr="001071B7">
        <w:rPr>
          <w:sz w:val="22"/>
          <w:szCs w:val="22"/>
        </w:rPr>
        <w:t xml:space="preserve"> unique controlled </w:t>
      </w:r>
      <w:r w:rsidR="00E964A6">
        <w:rPr>
          <w:sz w:val="22"/>
          <w:szCs w:val="22"/>
        </w:rPr>
        <w:t>firm</w:t>
      </w:r>
      <w:r w:rsidR="009E38E7" w:rsidRPr="001071B7">
        <w:rPr>
          <w:sz w:val="22"/>
          <w:szCs w:val="22"/>
        </w:rPr>
        <w:t xml:space="preserve">s. </w:t>
      </w:r>
      <w:r w:rsidR="00784F6A">
        <w:rPr>
          <w:sz w:val="22"/>
          <w:szCs w:val="22"/>
        </w:rPr>
        <w:t>All varia</w:t>
      </w:r>
      <w:r w:rsidR="006F3B1E" w:rsidRPr="003C3481">
        <w:rPr>
          <w:rFonts w:ascii="Times New Roman" w:hAnsi="Times New Roman"/>
          <w:sz w:val="22"/>
          <w:szCs w:val="22"/>
        </w:rPr>
        <w:t xml:space="preserve">bles are obtained from the Bureau van </w:t>
      </w:r>
      <w:proofErr w:type="spellStart"/>
      <w:r w:rsidR="006F3B1E" w:rsidRPr="003C3481">
        <w:rPr>
          <w:rFonts w:ascii="Times New Roman" w:hAnsi="Times New Roman"/>
          <w:sz w:val="22"/>
          <w:szCs w:val="22"/>
        </w:rPr>
        <w:t>Dijk</w:t>
      </w:r>
      <w:proofErr w:type="spellEnd"/>
      <w:r w:rsidR="006F3B1E" w:rsidRPr="003C3481">
        <w:rPr>
          <w:rFonts w:ascii="Times New Roman" w:hAnsi="Times New Roman"/>
          <w:sz w:val="22"/>
          <w:szCs w:val="22"/>
        </w:rPr>
        <w:t xml:space="preserve"> Osiris database </w:t>
      </w:r>
      <w:r w:rsidR="001353F3">
        <w:rPr>
          <w:rFonts w:ascii="Times New Roman" w:hAnsi="Times New Roman"/>
          <w:sz w:val="22"/>
          <w:szCs w:val="22"/>
        </w:rPr>
        <w:t>unless</w:t>
      </w:r>
      <w:r w:rsidR="001353F3" w:rsidRPr="003C3481">
        <w:rPr>
          <w:rFonts w:ascii="Times New Roman" w:hAnsi="Times New Roman"/>
          <w:sz w:val="22"/>
          <w:szCs w:val="22"/>
        </w:rPr>
        <w:t xml:space="preserve"> otherwise noted </w:t>
      </w:r>
      <w:r w:rsidR="00784F6A" w:rsidRPr="003C3481">
        <w:rPr>
          <w:rFonts w:ascii="Times New Roman" w:hAnsi="Times New Roman"/>
          <w:sz w:val="22"/>
          <w:szCs w:val="22"/>
        </w:rPr>
        <w:t xml:space="preserve">and dollar values are reported in $USD </w:t>
      </w:r>
      <w:proofErr w:type="gramStart"/>
      <w:r w:rsidR="00784F6A" w:rsidRPr="003C3481">
        <w:rPr>
          <w:rFonts w:ascii="Times New Roman" w:hAnsi="Times New Roman"/>
          <w:sz w:val="22"/>
          <w:szCs w:val="22"/>
        </w:rPr>
        <w:t>millions</w:t>
      </w:r>
      <w:proofErr w:type="gramEnd"/>
      <w:r w:rsidR="00784F6A" w:rsidRPr="003C3481">
        <w:rPr>
          <w:rFonts w:ascii="Times New Roman" w:hAnsi="Times New Roman"/>
          <w:sz w:val="22"/>
          <w:szCs w:val="22"/>
        </w:rPr>
        <w:t xml:space="preserve"> </w:t>
      </w:r>
      <w:r w:rsidR="006F3B1E" w:rsidRPr="003C3481">
        <w:rPr>
          <w:rFonts w:ascii="Times New Roman" w:hAnsi="Times New Roman"/>
          <w:sz w:val="22"/>
          <w:szCs w:val="22"/>
        </w:rPr>
        <w:t xml:space="preserve">unless </w:t>
      </w:r>
      <w:r w:rsidR="00784F6A" w:rsidRPr="003C3481">
        <w:rPr>
          <w:rFonts w:ascii="Times New Roman" w:hAnsi="Times New Roman"/>
          <w:sz w:val="22"/>
          <w:szCs w:val="22"/>
        </w:rPr>
        <w:t>logged</w:t>
      </w:r>
      <w:r w:rsidR="006F3B1E" w:rsidRPr="003C3481">
        <w:rPr>
          <w:rFonts w:ascii="Times New Roman" w:hAnsi="Times New Roman"/>
          <w:sz w:val="22"/>
          <w:szCs w:val="22"/>
        </w:rPr>
        <w:t xml:space="preserve">. </w:t>
      </w:r>
      <w:r w:rsidR="006F3B1E" w:rsidRPr="003C3481">
        <w:rPr>
          <w:rFonts w:ascii="Times New Roman" w:hAnsi="Times New Roman"/>
          <w:i/>
          <w:sz w:val="22"/>
          <w:szCs w:val="22"/>
        </w:rPr>
        <w:t>EBIT</w:t>
      </w:r>
      <w:r w:rsidRPr="003C3481">
        <w:rPr>
          <w:rFonts w:ascii="Times New Roman" w:hAnsi="Times New Roman"/>
          <w:sz w:val="22"/>
          <w:szCs w:val="22"/>
        </w:rPr>
        <w:t xml:space="preserve"> is </w:t>
      </w:r>
      <w:r w:rsidR="006F3B1E" w:rsidRPr="003C3481">
        <w:rPr>
          <w:rFonts w:ascii="Times New Roman" w:hAnsi="Times New Roman"/>
          <w:sz w:val="22"/>
          <w:szCs w:val="22"/>
        </w:rPr>
        <w:t>earnings before interest and taxes (</w:t>
      </w:r>
      <w:r w:rsidR="006F3B1E" w:rsidRPr="003C3481">
        <w:rPr>
          <w:rFonts w:ascii="Times New Roman" w:hAnsi="Times New Roman"/>
          <w:i/>
          <w:sz w:val="22"/>
          <w:szCs w:val="22"/>
        </w:rPr>
        <w:t>EBIT</w:t>
      </w:r>
      <w:r w:rsidR="006F3B1E" w:rsidRPr="003C3481">
        <w:rPr>
          <w:rFonts w:ascii="Times New Roman" w:hAnsi="Times New Roman"/>
          <w:sz w:val="22"/>
          <w:szCs w:val="22"/>
        </w:rPr>
        <w:t>)</w:t>
      </w:r>
      <w:r w:rsidRPr="003C3481">
        <w:rPr>
          <w:rFonts w:ascii="Times New Roman" w:hAnsi="Times New Roman"/>
          <w:sz w:val="22"/>
          <w:szCs w:val="22"/>
        </w:rPr>
        <w:t xml:space="preserve">. </w:t>
      </w:r>
      <w:r w:rsidR="006F3B1E" w:rsidRPr="003C3481">
        <w:rPr>
          <w:rFonts w:ascii="Times New Roman" w:hAnsi="Times New Roman"/>
          <w:i/>
          <w:sz w:val="22"/>
          <w:szCs w:val="22"/>
        </w:rPr>
        <w:t xml:space="preserve">Sales </w:t>
      </w:r>
      <w:r w:rsidR="006F3B1E" w:rsidRPr="003C3481">
        <w:rPr>
          <w:rFonts w:ascii="Times New Roman" w:hAnsi="Times New Roman"/>
          <w:sz w:val="22"/>
          <w:szCs w:val="22"/>
        </w:rPr>
        <w:t>is operating revenues (</w:t>
      </w:r>
      <w:r w:rsidR="006F3B1E" w:rsidRPr="003C3481">
        <w:rPr>
          <w:rFonts w:ascii="Times New Roman" w:hAnsi="Times New Roman"/>
          <w:i/>
          <w:sz w:val="22"/>
          <w:szCs w:val="22"/>
        </w:rPr>
        <w:t xml:space="preserve">OPRE). </w:t>
      </w:r>
      <w:proofErr w:type="spellStart"/>
      <w:r w:rsidR="006F3B1E" w:rsidRPr="003C3481">
        <w:rPr>
          <w:rFonts w:ascii="Times New Roman" w:hAnsi="Times New Roman"/>
          <w:i/>
          <w:sz w:val="22"/>
          <w:szCs w:val="22"/>
        </w:rPr>
        <w:t>TotalAssets</w:t>
      </w:r>
      <w:proofErr w:type="spellEnd"/>
      <w:r w:rsidR="006F3B1E" w:rsidRPr="003C3481">
        <w:rPr>
          <w:rFonts w:ascii="Times New Roman" w:hAnsi="Times New Roman"/>
          <w:i/>
          <w:sz w:val="22"/>
          <w:szCs w:val="22"/>
        </w:rPr>
        <w:t xml:space="preserve"> </w:t>
      </w:r>
      <w:r w:rsidR="006F3B1E" w:rsidRPr="003C3481">
        <w:rPr>
          <w:rFonts w:ascii="Times New Roman" w:hAnsi="Times New Roman"/>
          <w:sz w:val="22"/>
          <w:szCs w:val="22"/>
        </w:rPr>
        <w:t>is total assets (</w:t>
      </w:r>
      <w:r w:rsidR="006F3B1E" w:rsidRPr="003C3481">
        <w:rPr>
          <w:rFonts w:ascii="Times New Roman" w:hAnsi="Times New Roman"/>
          <w:i/>
          <w:sz w:val="22"/>
          <w:szCs w:val="22"/>
        </w:rPr>
        <w:t>TOAS</w:t>
      </w:r>
      <w:r w:rsidR="006F3B1E" w:rsidRPr="003C3481">
        <w:rPr>
          <w:rFonts w:ascii="Times New Roman" w:hAnsi="Times New Roman"/>
          <w:sz w:val="22"/>
          <w:szCs w:val="22"/>
        </w:rPr>
        <w:t>)</w:t>
      </w:r>
      <w:r w:rsidR="00784F6A" w:rsidRPr="003C3481">
        <w:rPr>
          <w:rFonts w:ascii="Times New Roman" w:hAnsi="Times New Roman"/>
          <w:sz w:val="22"/>
          <w:szCs w:val="22"/>
        </w:rPr>
        <w:t xml:space="preserve">. </w:t>
      </w:r>
      <w:proofErr w:type="spellStart"/>
      <w:r w:rsidR="004F3868">
        <w:rPr>
          <w:rFonts w:ascii="Times New Roman" w:hAnsi="Times New Roman"/>
          <w:i/>
          <w:sz w:val="22"/>
          <w:szCs w:val="22"/>
        </w:rPr>
        <w:t>TangibleAssets</w:t>
      </w:r>
      <w:proofErr w:type="spellEnd"/>
      <w:r w:rsidR="004F3868">
        <w:rPr>
          <w:rFonts w:ascii="Times New Roman" w:hAnsi="Times New Roman"/>
          <w:i/>
          <w:sz w:val="22"/>
          <w:szCs w:val="22"/>
        </w:rPr>
        <w:t xml:space="preserve"> </w:t>
      </w:r>
      <w:r w:rsidR="004F3868">
        <w:rPr>
          <w:rFonts w:ascii="Times New Roman" w:hAnsi="Times New Roman"/>
          <w:sz w:val="22"/>
          <w:szCs w:val="22"/>
        </w:rPr>
        <w:t>is tangible fixed assets (</w:t>
      </w:r>
      <w:r w:rsidR="004F3868">
        <w:rPr>
          <w:rFonts w:ascii="Times New Roman" w:hAnsi="Times New Roman"/>
          <w:i/>
          <w:sz w:val="22"/>
          <w:szCs w:val="22"/>
        </w:rPr>
        <w:t>TFAS</w:t>
      </w:r>
      <w:r w:rsidR="004F3868" w:rsidRPr="004F3868">
        <w:rPr>
          <w:rFonts w:ascii="Times New Roman" w:hAnsi="Times New Roman"/>
          <w:sz w:val="22"/>
          <w:szCs w:val="22"/>
        </w:rPr>
        <w:t>)</w:t>
      </w:r>
      <w:r w:rsidR="004F3868">
        <w:rPr>
          <w:rFonts w:ascii="Times New Roman" w:hAnsi="Times New Roman"/>
          <w:i/>
          <w:sz w:val="22"/>
          <w:szCs w:val="22"/>
        </w:rPr>
        <w:t xml:space="preserve">. </w:t>
      </w:r>
      <w:proofErr w:type="spellStart"/>
      <w:r w:rsidR="0080123A" w:rsidRPr="003C3481">
        <w:rPr>
          <w:rFonts w:ascii="Times New Roman" w:hAnsi="Times New Roman"/>
          <w:i/>
          <w:sz w:val="22"/>
          <w:szCs w:val="22"/>
        </w:rPr>
        <w:t>CompExpense</w:t>
      </w:r>
      <w:proofErr w:type="spellEnd"/>
      <w:r w:rsidR="0080123A" w:rsidRPr="003C3481">
        <w:rPr>
          <w:rFonts w:ascii="Times New Roman" w:hAnsi="Times New Roman"/>
          <w:i/>
          <w:sz w:val="22"/>
          <w:szCs w:val="22"/>
        </w:rPr>
        <w:t xml:space="preserve"> </w:t>
      </w:r>
      <w:r w:rsidR="0080123A" w:rsidRPr="003C3481">
        <w:rPr>
          <w:rFonts w:ascii="Times New Roman" w:hAnsi="Times New Roman"/>
          <w:sz w:val="22"/>
          <w:szCs w:val="22"/>
        </w:rPr>
        <w:t>is compensation expense (</w:t>
      </w:r>
      <w:r w:rsidR="0080123A" w:rsidRPr="003C3481">
        <w:rPr>
          <w:rFonts w:ascii="Times New Roman" w:hAnsi="Times New Roman"/>
          <w:i/>
          <w:sz w:val="22"/>
          <w:szCs w:val="22"/>
        </w:rPr>
        <w:t>STAF</w:t>
      </w:r>
      <w:r w:rsidR="0080123A" w:rsidRPr="003C3481">
        <w:rPr>
          <w:rFonts w:ascii="Times New Roman" w:hAnsi="Times New Roman"/>
          <w:sz w:val="22"/>
          <w:szCs w:val="22"/>
        </w:rPr>
        <w:t>)</w:t>
      </w:r>
      <w:r w:rsidR="0080123A" w:rsidRPr="003C3481">
        <w:rPr>
          <w:rFonts w:ascii="Times New Roman" w:hAnsi="Times New Roman"/>
          <w:i/>
          <w:sz w:val="22"/>
          <w:szCs w:val="22"/>
        </w:rPr>
        <w:t xml:space="preserve">. ROA </w:t>
      </w:r>
      <w:r w:rsidR="0080123A" w:rsidRPr="003C3481">
        <w:rPr>
          <w:rFonts w:ascii="Times New Roman" w:hAnsi="Times New Roman"/>
          <w:sz w:val="22"/>
          <w:szCs w:val="22"/>
        </w:rPr>
        <w:t xml:space="preserve">is </w:t>
      </w:r>
      <w:r w:rsidR="0080123A" w:rsidRPr="003C3481">
        <w:rPr>
          <w:rFonts w:ascii="Times New Roman" w:hAnsi="Times New Roman"/>
          <w:i/>
          <w:sz w:val="22"/>
          <w:szCs w:val="22"/>
        </w:rPr>
        <w:t xml:space="preserve">EBIT </w:t>
      </w:r>
      <w:r w:rsidR="0080123A" w:rsidRPr="003C3481">
        <w:rPr>
          <w:rFonts w:ascii="Times New Roman" w:hAnsi="Times New Roman"/>
          <w:sz w:val="22"/>
          <w:szCs w:val="22"/>
        </w:rPr>
        <w:t xml:space="preserve">scaled by </w:t>
      </w:r>
      <w:proofErr w:type="spellStart"/>
      <w:r w:rsidR="0080123A" w:rsidRPr="003C3481">
        <w:rPr>
          <w:rFonts w:ascii="Times New Roman" w:hAnsi="Times New Roman"/>
          <w:i/>
          <w:sz w:val="22"/>
          <w:szCs w:val="22"/>
        </w:rPr>
        <w:t>TotalAssets</w:t>
      </w:r>
      <w:proofErr w:type="spellEnd"/>
      <w:r w:rsidR="0080123A" w:rsidRPr="003C3481">
        <w:rPr>
          <w:rFonts w:ascii="Times New Roman" w:hAnsi="Times New Roman"/>
          <w:i/>
          <w:sz w:val="22"/>
          <w:szCs w:val="22"/>
        </w:rPr>
        <w:t xml:space="preserve">. </w:t>
      </w:r>
      <w:proofErr w:type="gramStart"/>
      <w:r w:rsidR="00264CF1">
        <w:rPr>
          <w:rFonts w:ascii="Times New Roman" w:hAnsi="Times New Roman"/>
          <w:i/>
          <w:sz w:val="22"/>
          <w:szCs w:val="22"/>
        </w:rPr>
        <w:t>ln(</w:t>
      </w:r>
      <w:proofErr w:type="gramEnd"/>
      <w:r w:rsidR="00264CF1">
        <w:rPr>
          <w:rFonts w:ascii="Times New Roman" w:hAnsi="Times New Roman"/>
          <w:i/>
          <w:sz w:val="22"/>
          <w:szCs w:val="22"/>
        </w:rPr>
        <w:t xml:space="preserve">ROA+1) </w:t>
      </w:r>
      <w:r w:rsidR="00264CF1">
        <w:rPr>
          <w:rFonts w:ascii="Times New Roman" w:hAnsi="Times New Roman"/>
          <w:sz w:val="22"/>
          <w:szCs w:val="22"/>
        </w:rPr>
        <w:t xml:space="preserve">is the natural log of the sum of </w:t>
      </w:r>
      <w:r w:rsidR="00264CF1">
        <w:rPr>
          <w:rFonts w:ascii="Times New Roman" w:hAnsi="Times New Roman"/>
          <w:i/>
          <w:sz w:val="22"/>
          <w:szCs w:val="22"/>
        </w:rPr>
        <w:t xml:space="preserve">ROA </w:t>
      </w:r>
      <w:r w:rsidR="00264CF1">
        <w:rPr>
          <w:rFonts w:ascii="Times New Roman" w:hAnsi="Times New Roman"/>
          <w:sz w:val="22"/>
          <w:szCs w:val="22"/>
        </w:rPr>
        <w:t xml:space="preserve">and one. </w:t>
      </w:r>
      <w:proofErr w:type="gramStart"/>
      <w:r w:rsidR="00264CF1">
        <w:rPr>
          <w:rFonts w:ascii="Times New Roman" w:hAnsi="Times New Roman"/>
          <w:i/>
          <w:sz w:val="22"/>
          <w:szCs w:val="22"/>
        </w:rPr>
        <w:t>ln(</w:t>
      </w:r>
      <w:proofErr w:type="spellStart"/>
      <w:proofErr w:type="gramEnd"/>
      <w:r w:rsidR="00264CF1">
        <w:rPr>
          <w:rFonts w:ascii="Times New Roman" w:hAnsi="Times New Roman"/>
          <w:i/>
          <w:sz w:val="22"/>
          <w:szCs w:val="22"/>
        </w:rPr>
        <w:t>TangibleAssets</w:t>
      </w:r>
      <w:proofErr w:type="spellEnd"/>
      <w:r w:rsidR="00264CF1">
        <w:rPr>
          <w:rFonts w:ascii="Times New Roman" w:hAnsi="Times New Roman"/>
          <w:i/>
          <w:sz w:val="22"/>
          <w:szCs w:val="22"/>
        </w:rPr>
        <w:t xml:space="preserve">) </w:t>
      </w:r>
      <w:r w:rsidR="00264CF1">
        <w:rPr>
          <w:rFonts w:ascii="Times New Roman" w:hAnsi="Times New Roman"/>
          <w:sz w:val="22"/>
          <w:szCs w:val="22"/>
        </w:rPr>
        <w:t xml:space="preserve">is the natural log of </w:t>
      </w:r>
      <w:proofErr w:type="spellStart"/>
      <w:r w:rsidR="00264CF1">
        <w:rPr>
          <w:rFonts w:ascii="Times New Roman" w:hAnsi="Times New Roman"/>
          <w:i/>
          <w:sz w:val="22"/>
          <w:szCs w:val="22"/>
        </w:rPr>
        <w:t>TangibleAssets</w:t>
      </w:r>
      <w:proofErr w:type="spellEnd"/>
      <w:r w:rsidR="00264CF1">
        <w:rPr>
          <w:rFonts w:ascii="Times New Roman" w:hAnsi="Times New Roman"/>
          <w:i/>
          <w:sz w:val="22"/>
          <w:szCs w:val="22"/>
        </w:rPr>
        <w:t xml:space="preserve">. </w:t>
      </w:r>
      <w:proofErr w:type="gramStart"/>
      <w:r w:rsidR="00264CF1">
        <w:rPr>
          <w:rFonts w:ascii="Times New Roman" w:hAnsi="Times New Roman"/>
          <w:i/>
          <w:sz w:val="22"/>
          <w:szCs w:val="22"/>
        </w:rPr>
        <w:t>ln(</w:t>
      </w:r>
      <w:proofErr w:type="spellStart"/>
      <w:proofErr w:type="gramEnd"/>
      <w:r w:rsidR="00264CF1">
        <w:rPr>
          <w:rFonts w:ascii="Times New Roman" w:hAnsi="Times New Roman"/>
          <w:i/>
          <w:sz w:val="22"/>
          <w:szCs w:val="22"/>
        </w:rPr>
        <w:t>CompExpense</w:t>
      </w:r>
      <w:proofErr w:type="spellEnd"/>
      <w:r w:rsidR="00264CF1">
        <w:rPr>
          <w:rFonts w:ascii="Times New Roman" w:hAnsi="Times New Roman"/>
          <w:i/>
          <w:sz w:val="22"/>
          <w:szCs w:val="22"/>
        </w:rPr>
        <w:t xml:space="preserve">) </w:t>
      </w:r>
      <w:r w:rsidR="00264CF1">
        <w:rPr>
          <w:rFonts w:ascii="Times New Roman" w:hAnsi="Times New Roman"/>
          <w:sz w:val="22"/>
          <w:szCs w:val="22"/>
        </w:rPr>
        <w:t xml:space="preserve">is the natural log of </w:t>
      </w:r>
      <w:proofErr w:type="spellStart"/>
      <w:r w:rsidR="00264CF1">
        <w:rPr>
          <w:rFonts w:ascii="Times New Roman" w:hAnsi="Times New Roman"/>
          <w:i/>
          <w:sz w:val="22"/>
          <w:szCs w:val="22"/>
        </w:rPr>
        <w:t>CompExpense</w:t>
      </w:r>
      <w:proofErr w:type="spellEnd"/>
      <w:r w:rsidR="00264CF1">
        <w:rPr>
          <w:rFonts w:ascii="Times New Roman" w:hAnsi="Times New Roman"/>
          <w:i/>
          <w:sz w:val="22"/>
          <w:szCs w:val="22"/>
        </w:rPr>
        <w:t xml:space="preserve">. </w:t>
      </w:r>
      <w:proofErr w:type="spellStart"/>
      <w:r w:rsidR="00D330B5" w:rsidRPr="003C3481">
        <w:rPr>
          <w:rFonts w:ascii="Times New Roman" w:hAnsi="Times New Roman"/>
          <w:i/>
          <w:sz w:val="22"/>
          <w:szCs w:val="22"/>
        </w:rPr>
        <w:t>IndustryROA</w:t>
      </w:r>
      <w:proofErr w:type="spellEnd"/>
      <w:r w:rsidR="00D330B5" w:rsidRPr="003C3481">
        <w:rPr>
          <w:rFonts w:ascii="Times New Roman" w:hAnsi="Times New Roman"/>
          <w:i/>
          <w:sz w:val="22"/>
          <w:szCs w:val="22"/>
        </w:rPr>
        <w:t xml:space="preserve"> </w:t>
      </w:r>
      <w:r w:rsidR="00D330B5" w:rsidRPr="003C3481">
        <w:rPr>
          <w:rFonts w:ascii="Times New Roman" w:hAnsi="Times New Roman"/>
          <w:sz w:val="22"/>
          <w:szCs w:val="22"/>
        </w:rPr>
        <w:t>is</w:t>
      </w:r>
      <w:r w:rsidR="00D330B5" w:rsidRPr="003C3481">
        <w:rPr>
          <w:rFonts w:ascii="Times New Roman" w:hAnsi="Times New Roman"/>
          <w:i/>
          <w:sz w:val="22"/>
          <w:szCs w:val="22"/>
        </w:rPr>
        <w:t xml:space="preserve"> </w:t>
      </w:r>
      <w:r w:rsidR="00D330B5" w:rsidRPr="003C3481">
        <w:rPr>
          <w:rFonts w:ascii="Times New Roman" w:hAnsi="Times New Roman"/>
          <w:sz w:val="22"/>
          <w:szCs w:val="22"/>
        </w:rPr>
        <w:t xml:space="preserve">country-industry-year median </w:t>
      </w:r>
      <w:r w:rsidR="00D330B5" w:rsidRPr="003C3481">
        <w:rPr>
          <w:rFonts w:ascii="Times New Roman" w:hAnsi="Times New Roman"/>
          <w:i/>
          <w:sz w:val="22"/>
          <w:szCs w:val="22"/>
        </w:rPr>
        <w:t xml:space="preserve">ROA </w:t>
      </w:r>
      <w:r w:rsidR="00D330B5" w:rsidRPr="003C3481">
        <w:rPr>
          <w:rFonts w:ascii="Times New Roman" w:hAnsi="Times New Roman"/>
          <w:sz w:val="22"/>
          <w:szCs w:val="22"/>
        </w:rPr>
        <w:t xml:space="preserve">for all observable (controlled or uncontrolled) affiliates. </w:t>
      </w:r>
      <w:r w:rsidR="00F62C2F" w:rsidRPr="003C3481">
        <w:rPr>
          <w:rFonts w:ascii="Times New Roman" w:hAnsi="Times New Roman"/>
          <w:i/>
          <w:sz w:val="22"/>
          <w:szCs w:val="22"/>
        </w:rPr>
        <w:t xml:space="preserve">Age </w:t>
      </w:r>
      <w:r w:rsidR="00D3741C" w:rsidRPr="003C3481">
        <w:rPr>
          <w:rFonts w:ascii="Times New Roman" w:hAnsi="Times New Roman"/>
          <w:sz w:val="22"/>
          <w:szCs w:val="22"/>
        </w:rPr>
        <w:t xml:space="preserve">is </w:t>
      </w:r>
      <w:r w:rsidR="000B0E53">
        <w:rPr>
          <w:rFonts w:ascii="Times New Roman" w:hAnsi="Times New Roman"/>
          <w:sz w:val="22"/>
          <w:szCs w:val="22"/>
        </w:rPr>
        <w:t xml:space="preserve">the natural log of </w:t>
      </w:r>
      <w:r w:rsidR="001342B3">
        <w:rPr>
          <w:rFonts w:ascii="Times New Roman" w:hAnsi="Times New Roman"/>
          <w:sz w:val="22"/>
          <w:szCs w:val="22"/>
        </w:rPr>
        <w:t xml:space="preserve">one </w:t>
      </w:r>
      <w:proofErr w:type="gramStart"/>
      <w:r w:rsidR="001342B3">
        <w:rPr>
          <w:rFonts w:ascii="Times New Roman" w:hAnsi="Times New Roman"/>
          <w:sz w:val="22"/>
          <w:szCs w:val="22"/>
        </w:rPr>
        <w:t>plus</w:t>
      </w:r>
      <w:proofErr w:type="gramEnd"/>
      <w:r w:rsidR="001342B3">
        <w:rPr>
          <w:rFonts w:ascii="Times New Roman" w:hAnsi="Times New Roman"/>
          <w:sz w:val="22"/>
          <w:szCs w:val="22"/>
        </w:rPr>
        <w:t xml:space="preserve"> </w:t>
      </w:r>
      <w:r w:rsidR="00D3741C" w:rsidRPr="003C3481">
        <w:rPr>
          <w:rFonts w:ascii="Times New Roman" w:hAnsi="Times New Roman"/>
          <w:sz w:val="22"/>
          <w:szCs w:val="22"/>
        </w:rPr>
        <w:t xml:space="preserve">year </w:t>
      </w:r>
      <w:r w:rsidR="00D3741C" w:rsidRPr="003C3481">
        <w:rPr>
          <w:rFonts w:ascii="Times New Roman" w:hAnsi="Times New Roman"/>
          <w:i/>
          <w:sz w:val="22"/>
          <w:szCs w:val="22"/>
        </w:rPr>
        <w:t xml:space="preserve">t </w:t>
      </w:r>
      <w:r w:rsidR="00D3741C" w:rsidRPr="003C3481">
        <w:rPr>
          <w:rFonts w:ascii="Times New Roman" w:hAnsi="Times New Roman"/>
          <w:sz w:val="22"/>
          <w:szCs w:val="22"/>
        </w:rPr>
        <w:t xml:space="preserve">minus the year the affiliate first appears in the database. </w:t>
      </w:r>
      <w:r w:rsidR="00D3741C" w:rsidRPr="003C3481">
        <w:rPr>
          <w:rFonts w:ascii="Times New Roman" w:hAnsi="Times New Roman"/>
          <w:i/>
          <w:sz w:val="22"/>
          <w:szCs w:val="22"/>
        </w:rPr>
        <w:t>∆GDP</w:t>
      </w:r>
      <w:r w:rsidR="00D3741C" w:rsidRPr="003C3481">
        <w:rPr>
          <w:rFonts w:ascii="Times New Roman" w:hAnsi="Times New Roman"/>
          <w:sz w:val="22"/>
          <w:szCs w:val="22"/>
        </w:rPr>
        <w:t xml:space="preserve"> is </w:t>
      </w:r>
      <w:r w:rsidR="00D3741C" w:rsidRPr="003C3481">
        <w:rPr>
          <w:rFonts w:ascii="Times New Roman" w:hAnsi="Times New Roman"/>
          <w:i/>
          <w:sz w:val="22"/>
          <w:szCs w:val="22"/>
        </w:rPr>
        <w:t xml:space="preserve">GDP </w:t>
      </w:r>
      <w:r w:rsidR="00D3741C" w:rsidRPr="003C3481">
        <w:rPr>
          <w:rFonts w:ascii="Times New Roman" w:hAnsi="Times New Roman"/>
          <w:sz w:val="22"/>
          <w:szCs w:val="22"/>
        </w:rPr>
        <w:t xml:space="preserve">in year </w:t>
      </w:r>
      <w:r w:rsidR="00D3741C" w:rsidRPr="003C3481">
        <w:rPr>
          <w:rFonts w:ascii="Times New Roman" w:hAnsi="Times New Roman"/>
          <w:i/>
          <w:sz w:val="22"/>
          <w:szCs w:val="22"/>
        </w:rPr>
        <w:t xml:space="preserve">t </w:t>
      </w:r>
      <w:r w:rsidR="00D3741C" w:rsidRPr="003C3481">
        <w:rPr>
          <w:rFonts w:ascii="Times New Roman" w:hAnsi="Times New Roman"/>
          <w:sz w:val="22"/>
          <w:szCs w:val="22"/>
        </w:rPr>
        <w:t xml:space="preserve">minus </w:t>
      </w:r>
      <w:r w:rsidR="00D3741C" w:rsidRPr="003C3481">
        <w:rPr>
          <w:rFonts w:ascii="Times New Roman" w:hAnsi="Times New Roman"/>
          <w:i/>
          <w:sz w:val="22"/>
          <w:szCs w:val="22"/>
        </w:rPr>
        <w:t xml:space="preserve">GDP </w:t>
      </w:r>
      <w:r w:rsidR="00D3741C" w:rsidRPr="003C3481">
        <w:rPr>
          <w:rFonts w:ascii="Times New Roman" w:hAnsi="Times New Roman"/>
          <w:sz w:val="22"/>
          <w:szCs w:val="22"/>
        </w:rPr>
        <w:t xml:space="preserve">in year </w:t>
      </w:r>
      <w:r w:rsidR="00D3741C" w:rsidRPr="003C3481">
        <w:rPr>
          <w:rFonts w:ascii="Times New Roman" w:hAnsi="Times New Roman"/>
          <w:i/>
          <w:sz w:val="22"/>
          <w:szCs w:val="22"/>
        </w:rPr>
        <w:t>t-1</w:t>
      </w:r>
      <w:r w:rsidR="00D3741C" w:rsidRPr="003C3481">
        <w:rPr>
          <w:rFonts w:ascii="Times New Roman" w:hAnsi="Times New Roman"/>
          <w:sz w:val="22"/>
          <w:szCs w:val="22"/>
        </w:rPr>
        <w:t xml:space="preserve">, scaled by </w:t>
      </w:r>
      <w:r w:rsidR="00D3741C" w:rsidRPr="003C3481">
        <w:rPr>
          <w:rFonts w:ascii="Times New Roman" w:hAnsi="Times New Roman"/>
          <w:i/>
          <w:sz w:val="22"/>
          <w:szCs w:val="22"/>
        </w:rPr>
        <w:t xml:space="preserve">GDP </w:t>
      </w:r>
      <w:r w:rsidR="00D3741C" w:rsidRPr="003C3481">
        <w:rPr>
          <w:rFonts w:ascii="Times New Roman" w:hAnsi="Times New Roman"/>
          <w:sz w:val="22"/>
          <w:szCs w:val="22"/>
        </w:rPr>
        <w:t xml:space="preserve">in year </w:t>
      </w:r>
      <w:r w:rsidR="00D3741C" w:rsidRPr="003C3481">
        <w:rPr>
          <w:rFonts w:ascii="Times New Roman" w:hAnsi="Times New Roman"/>
          <w:i/>
          <w:sz w:val="22"/>
          <w:szCs w:val="22"/>
        </w:rPr>
        <w:t>t-1</w:t>
      </w:r>
      <w:r w:rsidR="00D3741C" w:rsidRPr="003C3481">
        <w:rPr>
          <w:rFonts w:ascii="Times New Roman" w:hAnsi="Times New Roman"/>
          <w:sz w:val="22"/>
          <w:szCs w:val="22"/>
        </w:rPr>
        <w:t>;</w:t>
      </w:r>
      <w:r w:rsidR="00D3741C" w:rsidRPr="003C3481">
        <w:rPr>
          <w:rFonts w:ascii="Times New Roman" w:hAnsi="Times New Roman"/>
          <w:i/>
          <w:sz w:val="22"/>
          <w:szCs w:val="22"/>
        </w:rPr>
        <w:t xml:space="preserve"> </w:t>
      </w:r>
      <w:r w:rsidR="00D3741C" w:rsidRPr="003C3481">
        <w:rPr>
          <w:rFonts w:ascii="Times New Roman" w:hAnsi="Times New Roman"/>
          <w:sz w:val="22"/>
          <w:szCs w:val="22"/>
        </w:rPr>
        <w:t>we obtain GDP data from the World Bank</w:t>
      </w:r>
      <w:r w:rsidR="00D3741C" w:rsidRPr="003C3481">
        <w:rPr>
          <w:rFonts w:ascii="Times New Roman" w:hAnsi="Times New Roman"/>
          <w:i/>
          <w:sz w:val="22"/>
          <w:szCs w:val="22"/>
        </w:rPr>
        <w:t xml:space="preserve">. C </w:t>
      </w:r>
      <w:r w:rsidR="00D3741C" w:rsidRPr="003C3481">
        <w:rPr>
          <w:rFonts w:ascii="Times New Roman" w:hAnsi="Times New Roman"/>
          <w:sz w:val="22"/>
          <w:szCs w:val="22"/>
        </w:rPr>
        <w:t xml:space="preserve">is the capital-weighted average differential statutory tax rate between the affiliate and all related affiliates in the same </w:t>
      </w:r>
      <w:r w:rsidR="00E964A6">
        <w:rPr>
          <w:rFonts w:ascii="Times New Roman" w:hAnsi="Times New Roman"/>
          <w:sz w:val="22"/>
          <w:szCs w:val="22"/>
        </w:rPr>
        <w:t>firm</w:t>
      </w:r>
      <w:r w:rsidR="00D3741C" w:rsidRPr="003C3481">
        <w:rPr>
          <w:rFonts w:ascii="Times New Roman" w:hAnsi="Times New Roman"/>
          <w:sz w:val="22"/>
          <w:szCs w:val="22"/>
        </w:rPr>
        <w:t xml:space="preserve">-year; we compile statutory tax rate data from the University of Michigan, the OECD, KPMG, the Tax Foundation, and Trading Economics. </w:t>
      </w:r>
      <w:r w:rsidR="00D3741C" w:rsidRPr="003C3481">
        <w:rPr>
          <w:rFonts w:ascii="Times New Roman" w:hAnsi="Times New Roman"/>
          <w:i/>
          <w:sz w:val="22"/>
          <w:szCs w:val="22"/>
        </w:rPr>
        <w:t xml:space="preserve">Loss </w:t>
      </w:r>
      <w:r w:rsidR="00D3741C" w:rsidRPr="003C3481">
        <w:rPr>
          <w:rFonts w:ascii="Times New Roman" w:hAnsi="Times New Roman"/>
          <w:sz w:val="22"/>
          <w:szCs w:val="22"/>
        </w:rPr>
        <w:t xml:space="preserve">is an indicator variable equal to one if the affiliate reports </w:t>
      </w:r>
      <w:r w:rsidR="00D3741C" w:rsidRPr="003C3481">
        <w:rPr>
          <w:rFonts w:ascii="Times New Roman" w:hAnsi="Times New Roman"/>
          <w:i/>
          <w:sz w:val="22"/>
          <w:szCs w:val="22"/>
        </w:rPr>
        <w:t xml:space="preserve">EBIT </w:t>
      </w:r>
      <w:r w:rsidR="00D3741C" w:rsidRPr="003C3481">
        <w:rPr>
          <w:rFonts w:ascii="Times New Roman" w:hAnsi="Times New Roman"/>
          <w:sz w:val="22"/>
          <w:szCs w:val="22"/>
        </w:rPr>
        <w:t>less than zero</w:t>
      </w:r>
      <w:r w:rsidR="003C3481" w:rsidRPr="003C3481">
        <w:rPr>
          <w:rFonts w:ascii="Times New Roman" w:hAnsi="Times New Roman"/>
          <w:sz w:val="22"/>
          <w:szCs w:val="22"/>
        </w:rPr>
        <w:t>.</w:t>
      </w:r>
      <w:r w:rsidR="00D3741C" w:rsidRPr="003C3481">
        <w:rPr>
          <w:rFonts w:ascii="Times New Roman" w:hAnsi="Times New Roman"/>
          <w:sz w:val="22"/>
          <w:szCs w:val="22"/>
        </w:rPr>
        <w:t xml:space="preserve"> </w:t>
      </w:r>
      <w:r w:rsidRPr="00BC29AA">
        <w:rPr>
          <w:sz w:val="22"/>
          <w:szCs w:val="22"/>
        </w:rPr>
        <w:t xml:space="preserve">All variables are </w:t>
      </w:r>
      <w:proofErr w:type="spellStart"/>
      <w:r w:rsidRPr="00BC29AA">
        <w:rPr>
          <w:sz w:val="22"/>
          <w:szCs w:val="22"/>
        </w:rPr>
        <w:t>winsorized</w:t>
      </w:r>
      <w:proofErr w:type="spellEnd"/>
      <w:r w:rsidRPr="00BC29AA">
        <w:rPr>
          <w:sz w:val="22"/>
          <w:szCs w:val="22"/>
        </w:rPr>
        <w:t xml:space="preserve"> at 1 and 99 percent.</w:t>
      </w:r>
    </w:p>
    <w:p w14:paraId="1E02F1EB" w14:textId="77777777" w:rsidR="00C33D7E" w:rsidRDefault="00C33D7E">
      <w:r>
        <w:br w:type="page"/>
      </w:r>
    </w:p>
    <w:p w14:paraId="0EA96A6A" w14:textId="24943FEA" w:rsidR="00C33D7E" w:rsidRPr="00C33D7E" w:rsidRDefault="00C33D7E" w:rsidP="00C33D7E">
      <w:pPr>
        <w:outlineLvl w:val="0"/>
      </w:pPr>
      <w:r>
        <w:lastRenderedPageBreak/>
        <w:t xml:space="preserve">Table 2: Description of Affiliate-Year Sample Used to Estimate </w:t>
      </w:r>
      <w:r>
        <w:rPr>
          <w:i/>
        </w:rPr>
        <w:t xml:space="preserve">G </w:t>
      </w:r>
      <w:r>
        <w:t>(continued)</w:t>
      </w:r>
    </w:p>
    <w:p w14:paraId="720784CF" w14:textId="74E91910" w:rsidR="00C33D7E" w:rsidRDefault="00C33D7E" w:rsidP="00C33D7E">
      <w:r>
        <w:t>Panel B: Affiliate-Year Observations by Country</w:t>
      </w:r>
    </w:p>
    <w:p w14:paraId="4ECC3F3D" w14:textId="77777777" w:rsidR="00E46B90" w:rsidRDefault="00E46B90"/>
    <w:tbl>
      <w:tblPr>
        <w:tblStyle w:val="TableGrid"/>
        <w:tblW w:w="8998"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26"/>
        <w:gridCol w:w="1891"/>
        <w:gridCol w:w="2525"/>
        <w:gridCol w:w="2156"/>
      </w:tblGrid>
      <w:tr w:rsidR="002D04A8" w:rsidRPr="00D61E96" w14:paraId="7280BEE2" w14:textId="77777777" w:rsidTr="002D04A8">
        <w:trPr>
          <w:trHeight w:hRule="exact" w:val="856"/>
          <w:jc w:val="center"/>
        </w:trPr>
        <w:tc>
          <w:tcPr>
            <w:tcW w:w="2426" w:type="dxa"/>
            <w:tcBorders>
              <w:top w:val="single" w:sz="4" w:space="0" w:color="auto"/>
              <w:bottom w:val="single" w:sz="4" w:space="0" w:color="auto"/>
            </w:tcBorders>
            <w:vAlign w:val="bottom"/>
          </w:tcPr>
          <w:p w14:paraId="4721B830" w14:textId="021B11FB" w:rsidR="003F625B" w:rsidRPr="00681316" w:rsidRDefault="003F625B" w:rsidP="008835DF">
            <w:pPr>
              <w:ind w:right="-104"/>
              <w:rPr>
                <w:b/>
                <w:sz w:val="22"/>
                <w:szCs w:val="22"/>
              </w:rPr>
            </w:pPr>
            <w:r w:rsidRPr="00681316">
              <w:rPr>
                <w:rFonts w:eastAsia="Times New Roman"/>
                <w:b/>
                <w:color w:val="000000"/>
                <w:sz w:val="22"/>
                <w:szCs w:val="22"/>
              </w:rPr>
              <w:t>Affiliate Country</w:t>
            </w:r>
          </w:p>
        </w:tc>
        <w:tc>
          <w:tcPr>
            <w:tcW w:w="1891" w:type="dxa"/>
            <w:tcBorders>
              <w:top w:val="single" w:sz="4" w:space="0" w:color="auto"/>
              <w:bottom w:val="single" w:sz="4" w:space="0" w:color="auto"/>
            </w:tcBorders>
            <w:vAlign w:val="bottom"/>
          </w:tcPr>
          <w:p w14:paraId="04C047F1" w14:textId="2AF35D6A" w:rsidR="003F625B" w:rsidRPr="00681316" w:rsidRDefault="003F625B" w:rsidP="00A22686">
            <w:pPr>
              <w:tabs>
                <w:tab w:val="left" w:pos="1950"/>
              </w:tabs>
              <w:ind w:right="484"/>
              <w:jc w:val="center"/>
              <w:rPr>
                <w:rFonts w:eastAsia="Times New Roman"/>
                <w:b/>
                <w:color w:val="000000"/>
                <w:sz w:val="22"/>
                <w:szCs w:val="22"/>
              </w:rPr>
            </w:pPr>
            <w:r w:rsidRPr="00681316">
              <w:rPr>
                <w:rFonts w:eastAsia="Times New Roman"/>
                <w:b/>
                <w:color w:val="000000"/>
                <w:sz w:val="22"/>
                <w:szCs w:val="22"/>
              </w:rPr>
              <w:t>Affiliate-Year Observations</w:t>
            </w:r>
          </w:p>
        </w:tc>
        <w:tc>
          <w:tcPr>
            <w:tcW w:w="2525" w:type="dxa"/>
            <w:tcBorders>
              <w:top w:val="single" w:sz="4" w:space="0" w:color="auto"/>
              <w:bottom w:val="single" w:sz="4" w:space="0" w:color="auto"/>
            </w:tcBorders>
            <w:vAlign w:val="bottom"/>
          </w:tcPr>
          <w:p w14:paraId="1439A452" w14:textId="4BF8F926" w:rsidR="003F625B" w:rsidRPr="00681316" w:rsidRDefault="003F625B" w:rsidP="008835DF">
            <w:pPr>
              <w:tabs>
                <w:tab w:val="left" w:pos="1950"/>
              </w:tabs>
              <w:rPr>
                <w:rFonts w:eastAsia="Times New Roman"/>
                <w:b/>
                <w:color w:val="000000"/>
                <w:sz w:val="22"/>
                <w:szCs w:val="22"/>
              </w:rPr>
            </w:pPr>
            <w:r w:rsidRPr="00681316">
              <w:rPr>
                <w:rFonts w:eastAsia="Times New Roman"/>
                <w:b/>
                <w:color w:val="000000"/>
                <w:sz w:val="22"/>
                <w:szCs w:val="22"/>
              </w:rPr>
              <w:t>Affiliate Country</w:t>
            </w:r>
          </w:p>
        </w:tc>
        <w:tc>
          <w:tcPr>
            <w:tcW w:w="2156" w:type="dxa"/>
            <w:tcBorders>
              <w:top w:val="single" w:sz="4" w:space="0" w:color="auto"/>
              <w:bottom w:val="single" w:sz="4" w:space="0" w:color="auto"/>
            </w:tcBorders>
            <w:vAlign w:val="bottom"/>
          </w:tcPr>
          <w:p w14:paraId="73A3EB24" w14:textId="1BEAF2C0" w:rsidR="003F625B" w:rsidRPr="00681316" w:rsidRDefault="003F625B" w:rsidP="00A22686">
            <w:pPr>
              <w:tabs>
                <w:tab w:val="left" w:pos="1950"/>
              </w:tabs>
              <w:ind w:right="362"/>
              <w:jc w:val="center"/>
              <w:rPr>
                <w:b/>
                <w:sz w:val="22"/>
                <w:szCs w:val="22"/>
              </w:rPr>
            </w:pPr>
            <w:r w:rsidRPr="00681316">
              <w:rPr>
                <w:rFonts w:eastAsia="Times New Roman"/>
                <w:b/>
                <w:color w:val="000000"/>
                <w:sz w:val="22"/>
                <w:szCs w:val="22"/>
              </w:rPr>
              <w:t>Affiliate-Year Observations</w:t>
            </w:r>
          </w:p>
        </w:tc>
      </w:tr>
      <w:tr w:rsidR="002D04A8" w:rsidRPr="00CA38DC" w14:paraId="54340C2B" w14:textId="77777777" w:rsidTr="002D04A8">
        <w:trPr>
          <w:trHeight w:hRule="exact" w:val="325"/>
          <w:jc w:val="center"/>
        </w:trPr>
        <w:tc>
          <w:tcPr>
            <w:tcW w:w="2426" w:type="dxa"/>
            <w:tcBorders>
              <w:top w:val="single" w:sz="4" w:space="0" w:color="auto"/>
            </w:tcBorders>
            <w:vAlign w:val="bottom"/>
          </w:tcPr>
          <w:p w14:paraId="5027D937" w14:textId="358141CE" w:rsidR="003F625B" w:rsidRPr="00CA38DC" w:rsidRDefault="003F625B" w:rsidP="008835DF">
            <w:pPr>
              <w:ind w:right="-104"/>
              <w:rPr>
                <w:sz w:val="22"/>
                <w:szCs w:val="22"/>
              </w:rPr>
            </w:pPr>
            <w:r w:rsidRPr="00CA38DC">
              <w:rPr>
                <w:rFonts w:eastAsia="Times New Roman"/>
                <w:color w:val="000000"/>
                <w:sz w:val="22"/>
                <w:szCs w:val="22"/>
              </w:rPr>
              <w:t>Argentina</w:t>
            </w:r>
          </w:p>
        </w:tc>
        <w:tc>
          <w:tcPr>
            <w:tcW w:w="1891" w:type="dxa"/>
            <w:tcBorders>
              <w:top w:val="single" w:sz="4" w:space="0" w:color="auto"/>
            </w:tcBorders>
            <w:vAlign w:val="bottom"/>
          </w:tcPr>
          <w:p w14:paraId="64ADF924" w14:textId="555379F5" w:rsidR="003F625B" w:rsidRPr="00CA38DC" w:rsidRDefault="003F625B" w:rsidP="003F625B">
            <w:pPr>
              <w:tabs>
                <w:tab w:val="left" w:pos="1950"/>
              </w:tabs>
              <w:ind w:right="1056"/>
              <w:jc w:val="right"/>
              <w:rPr>
                <w:rFonts w:eastAsia="Times New Roman"/>
                <w:color w:val="000000"/>
                <w:sz w:val="22"/>
                <w:szCs w:val="22"/>
              </w:rPr>
            </w:pPr>
            <w:r w:rsidRPr="00CA38DC">
              <w:rPr>
                <w:rFonts w:eastAsia="Times New Roman"/>
                <w:color w:val="000000"/>
                <w:sz w:val="22"/>
                <w:szCs w:val="22"/>
              </w:rPr>
              <w:t>15</w:t>
            </w:r>
          </w:p>
        </w:tc>
        <w:tc>
          <w:tcPr>
            <w:tcW w:w="2525" w:type="dxa"/>
            <w:tcBorders>
              <w:top w:val="single" w:sz="4" w:space="0" w:color="auto"/>
            </w:tcBorders>
            <w:vAlign w:val="bottom"/>
          </w:tcPr>
          <w:p w14:paraId="75FFF900" w14:textId="3065D5AC" w:rsidR="003F625B" w:rsidRPr="00CA38DC" w:rsidRDefault="003F625B" w:rsidP="008835DF">
            <w:pPr>
              <w:tabs>
                <w:tab w:val="left" w:pos="1950"/>
              </w:tabs>
              <w:ind w:right="1056"/>
              <w:rPr>
                <w:rFonts w:eastAsia="Times New Roman"/>
                <w:color w:val="000000"/>
                <w:sz w:val="22"/>
                <w:szCs w:val="22"/>
              </w:rPr>
            </w:pPr>
            <w:r w:rsidRPr="00CA38DC">
              <w:rPr>
                <w:rFonts w:eastAsia="Times New Roman"/>
                <w:color w:val="000000"/>
                <w:sz w:val="22"/>
                <w:szCs w:val="22"/>
              </w:rPr>
              <w:t>Jamaica</w:t>
            </w:r>
          </w:p>
        </w:tc>
        <w:tc>
          <w:tcPr>
            <w:tcW w:w="2156" w:type="dxa"/>
            <w:tcBorders>
              <w:top w:val="single" w:sz="4" w:space="0" w:color="auto"/>
            </w:tcBorders>
            <w:vAlign w:val="bottom"/>
          </w:tcPr>
          <w:p w14:paraId="23C4E93A" w14:textId="491A2CBC" w:rsidR="003F625B" w:rsidRPr="00CA38DC" w:rsidRDefault="003F625B" w:rsidP="002D04A8">
            <w:pPr>
              <w:tabs>
                <w:tab w:val="left" w:pos="592"/>
                <w:tab w:val="left" w:pos="1950"/>
              </w:tabs>
              <w:ind w:right="1056"/>
              <w:jc w:val="right"/>
              <w:rPr>
                <w:sz w:val="22"/>
                <w:szCs w:val="22"/>
              </w:rPr>
            </w:pPr>
            <w:r w:rsidRPr="00CA38DC">
              <w:rPr>
                <w:rFonts w:eastAsia="Times New Roman"/>
                <w:color w:val="000000"/>
                <w:sz w:val="22"/>
                <w:szCs w:val="22"/>
              </w:rPr>
              <w:t>1</w:t>
            </w:r>
          </w:p>
        </w:tc>
      </w:tr>
      <w:tr w:rsidR="002D04A8" w:rsidRPr="00CA38DC" w14:paraId="0479C26F" w14:textId="77777777" w:rsidTr="002D04A8">
        <w:trPr>
          <w:trHeight w:hRule="exact" w:val="288"/>
          <w:jc w:val="center"/>
        </w:trPr>
        <w:tc>
          <w:tcPr>
            <w:tcW w:w="2426" w:type="dxa"/>
            <w:vAlign w:val="bottom"/>
          </w:tcPr>
          <w:p w14:paraId="6BC3AD01" w14:textId="66307B40" w:rsidR="003F625B" w:rsidRPr="00CA38DC" w:rsidRDefault="003F625B" w:rsidP="008835DF">
            <w:pPr>
              <w:ind w:right="-104"/>
              <w:rPr>
                <w:sz w:val="22"/>
                <w:szCs w:val="22"/>
              </w:rPr>
            </w:pPr>
            <w:r w:rsidRPr="00CA38DC">
              <w:rPr>
                <w:rFonts w:eastAsia="Times New Roman"/>
                <w:color w:val="000000"/>
                <w:sz w:val="22"/>
                <w:szCs w:val="22"/>
              </w:rPr>
              <w:t>Australia</w:t>
            </w:r>
          </w:p>
        </w:tc>
        <w:tc>
          <w:tcPr>
            <w:tcW w:w="1891" w:type="dxa"/>
            <w:vAlign w:val="bottom"/>
          </w:tcPr>
          <w:p w14:paraId="6F181A80" w14:textId="7E7A8CA8" w:rsidR="003F625B" w:rsidRPr="00CA38DC" w:rsidRDefault="003F625B" w:rsidP="003F625B">
            <w:pPr>
              <w:tabs>
                <w:tab w:val="left" w:pos="1950"/>
              </w:tabs>
              <w:ind w:right="1056"/>
              <w:jc w:val="right"/>
              <w:rPr>
                <w:rFonts w:eastAsia="Times New Roman"/>
                <w:color w:val="000000"/>
                <w:sz w:val="22"/>
                <w:szCs w:val="22"/>
              </w:rPr>
            </w:pPr>
            <w:r w:rsidRPr="00CA38DC">
              <w:rPr>
                <w:rFonts w:eastAsia="Times New Roman"/>
                <w:color w:val="000000"/>
                <w:sz w:val="22"/>
                <w:szCs w:val="22"/>
              </w:rPr>
              <w:t>467</w:t>
            </w:r>
          </w:p>
        </w:tc>
        <w:tc>
          <w:tcPr>
            <w:tcW w:w="2525" w:type="dxa"/>
            <w:vAlign w:val="bottom"/>
          </w:tcPr>
          <w:p w14:paraId="41307C16" w14:textId="1C9AE23E" w:rsidR="003F625B" w:rsidRPr="00CA38DC" w:rsidRDefault="003F625B" w:rsidP="008835DF">
            <w:pPr>
              <w:tabs>
                <w:tab w:val="left" w:pos="1950"/>
              </w:tabs>
              <w:ind w:right="1056"/>
              <w:rPr>
                <w:rFonts w:eastAsia="Times New Roman"/>
                <w:color w:val="000000"/>
                <w:sz w:val="22"/>
                <w:szCs w:val="22"/>
              </w:rPr>
            </w:pPr>
            <w:r w:rsidRPr="00CA38DC">
              <w:rPr>
                <w:rFonts w:eastAsia="Times New Roman"/>
                <w:color w:val="000000"/>
                <w:sz w:val="22"/>
                <w:szCs w:val="22"/>
              </w:rPr>
              <w:t>Japan</w:t>
            </w:r>
          </w:p>
        </w:tc>
        <w:tc>
          <w:tcPr>
            <w:tcW w:w="2156" w:type="dxa"/>
            <w:vAlign w:val="bottom"/>
          </w:tcPr>
          <w:p w14:paraId="4CD0E1F8" w14:textId="3FC6F05E" w:rsidR="003F625B" w:rsidRPr="00CA38DC" w:rsidRDefault="003C2ACA" w:rsidP="003F625B">
            <w:pPr>
              <w:tabs>
                <w:tab w:val="left" w:pos="1950"/>
              </w:tabs>
              <w:ind w:right="1056"/>
              <w:jc w:val="right"/>
              <w:rPr>
                <w:sz w:val="22"/>
                <w:szCs w:val="22"/>
              </w:rPr>
            </w:pPr>
            <w:r>
              <w:rPr>
                <w:rFonts w:eastAsia="Times New Roman"/>
                <w:color w:val="000000"/>
                <w:sz w:val="22"/>
                <w:szCs w:val="22"/>
              </w:rPr>
              <w:t>2,854</w:t>
            </w:r>
          </w:p>
        </w:tc>
      </w:tr>
      <w:tr w:rsidR="002D04A8" w:rsidRPr="00CA38DC" w14:paraId="063BFC54" w14:textId="77777777" w:rsidTr="002D04A8">
        <w:trPr>
          <w:trHeight w:hRule="exact" w:val="288"/>
          <w:jc w:val="center"/>
        </w:trPr>
        <w:tc>
          <w:tcPr>
            <w:tcW w:w="2426" w:type="dxa"/>
            <w:vAlign w:val="bottom"/>
          </w:tcPr>
          <w:p w14:paraId="4E24DFE9" w14:textId="156966AC" w:rsidR="003F625B" w:rsidRPr="00CA38DC" w:rsidRDefault="003F625B" w:rsidP="008835DF">
            <w:pPr>
              <w:ind w:right="-104"/>
              <w:rPr>
                <w:sz w:val="22"/>
                <w:szCs w:val="22"/>
              </w:rPr>
            </w:pPr>
            <w:r w:rsidRPr="00CA38DC">
              <w:rPr>
                <w:rFonts w:eastAsia="Times New Roman"/>
                <w:color w:val="000000"/>
                <w:sz w:val="22"/>
                <w:szCs w:val="22"/>
              </w:rPr>
              <w:t>Austria</w:t>
            </w:r>
          </w:p>
        </w:tc>
        <w:tc>
          <w:tcPr>
            <w:tcW w:w="1891" w:type="dxa"/>
            <w:vAlign w:val="bottom"/>
          </w:tcPr>
          <w:p w14:paraId="250216C0" w14:textId="544C7783" w:rsidR="003F625B" w:rsidRPr="00CA38DC" w:rsidRDefault="003F625B" w:rsidP="003F625B">
            <w:pPr>
              <w:tabs>
                <w:tab w:val="left" w:pos="1950"/>
              </w:tabs>
              <w:ind w:right="1056"/>
              <w:jc w:val="right"/>
              <w:rPr>
                <w:rFonts w:eastAsia="Times New Roman"/>
                <w:color w:val="000000"/>
                <w:sz w:val="22"/>
                <w:szCs w:val="22"/>
              </w:rPr>
            </w:pPr>
            <w:r w:rsidRPr="00CA38DC">
              <w:rPr>
                <w:rFonts w:eastAsia="Times New Roman"/>
                <w:color w:val="000000"/>
                <w:sz w:val="22"/>
                <w:szCs w:val="22"/>
              </w:rPr>
              <w:t>2</w:t>
            </w:r>
            <w:r>
              <w:rPr>
                <w:rFonts w:eastAsia="Times New Roman"/>
                <w:color w:val="000000"/>
                <w:sz w:val="22"/>
                <w:szCs w:val="22"/>
              </w:rPr>
              <w:t>,</w:t>
            </w:r>
            <w:r w:rsidR="003C2ACA">
              <w:rPr>
                <w:rFonts w:eastAsia="Times New Roman"/>
                <w:color w:val="000000"/>
                <w:sz w:val="22"/>
                <w:szCs w:val="22"/>
              </w:rPr>
              <w:t>863</w:t>
            </w:r>
          </w:p>
        </w:tc>
        <w:tc>
          <w:tcPr>
            <w:tcW w:w="2525" w:type="dxa"/>
            <w:vAlign w:val="bottom"/>
          </w:tcPr>
          <w:p w14:paraId="526ADDF7" w14:textId="461DFA62" w:rsidR="003F625B" w:rsidRPr="00CA38DC" w:rsidRDefault="003F625B" w:rsidP="008835DF">
            <w:pPr>
              <w:tabs>
                <w:tab w:val="left" w:pos="1950"/>
              </w:tabs>
              <w:ind w:right="1056"/>
              <w:rPr>
                <w:rFonts w:eastAsia="Times New Roman"/>
                <w:color w:val="000000"/>
                <w:sz w:val="22"/>
                <w:szCs w:val="22"/>
              </w:rPr>
            </w:pPr>
            <w:r w:rsidRPr="00CA38DC">
              <w:rPr>
                <w:rFonts w:eastAsia="Times New Roman"/>
                <w:color w:val="000000"/>
                <w:sz w:val="22"/>
                <w:szCs w:val="22"/>
              </w:rPr>
              <w:t>Korea</w:t>
            </w:r>
          </w:p>
        </w:tc>
        <w:tc>
          <w:tcPr>
            <w:tcW w:w="2156" w:type="dxa"/>
            <w:vAlign w:val="bottom"/>
          </w:tcPr>
          <w:p w14:paraId="77AEC156" w14:textId="1491AF17" w:rsidR="003F625B" w:rsidRPr="00CA38DC" w:rsidRDefault="003F625B" w:rsidP="003F625B">
            <w:pPr>
              <w:tabs>
                <w:tab w:val="left" w:pos="1950"/>
              </w:tabs>
              <w:ind w:right="1056"/>
              <w:jc w:val="right"/>
              <w:rPr>
                <w:sz w:val="22"/>
                <w:szCs w:val="22"/>
              </w:rPr>
            </w:pPr>
            <w:r w:rsidRPr="00CA38DC">
              <w:rPr>
                <w:rFonts w:eastAsia="Times New Roman"/>
                <w:color w:val="000000"/>
                <w:sz w:val="22"/>
                <w:szCs w:val="22"/>
              </w:rPr>
              <w:t>2</w:t>
            </w:r>
            <w:r>
              <w:rPr>
                <w:rFonts w:eastAsia="Times New Roman"/>
                <w:color w:val="000000"/>
                <w:sz w:val="22"/>
                <w:szCs w:val="22"/>
              </w:rPr>
              <w:t>,</w:t>
            </w:r>
            <w:r w:rsidRPr="00CA38DC">
              <w:rPr>
                <w:rFonts w:eastAsia="Times New Roman"/>
                <w:color w:val="000000"/>
                <w:sz w:val="22"/>
                <w:szCs w:val="22"/>
              </w:rPr>
              <w:t>3</w:t>
            </w:r>
            <w:r w:rsidR="003C2ACA">
              <w:rPr>
                <w:rFonts w:eastAsia="Times New Roman"/>
                <w:color w:val="000000"/>
                <w:sz w:val="22"/>
                <w:szCs w:val="22"/>
              </w:rPr>
              <w:t>74</w:t>
            </w:r>
          </w:p>
        </w:tc>
      </w:tr>
      <w:tr w:rsidR="002D04A8" w:rsidRPr="00CA38DC" w14:paraId="4ADFCC86" w14:textId="77777777" w:rsidTr="002D04A8">
        <w:trPr>
          <w:trHeight w:hRule="exact" w:val="288"/>
          <w:jc w:val="center"/>
        </w:trPr>
        <w:tc>
          <w:tcPr>
            <w:tcW w:w="2426" w:type="dxa"/>
            <w:vAlign w:val="bottom"/>
          </w:tcPr>
          <w:p w14:paraId="6D2F18A1" w14:textId="06B60A73" w:rsidR="003C2ACA" w:rsidRPr="00CA38DC" w:rsidRDefault="003C2ACA" w:rsidP="008835DF">
            <w:pPr>
              <w:ind w:right="-104"/>
              <w:rPr>
                <w:rFonts w:eastAsia="Times New Roman"/>
                <w:color w:val="000000"/>
                <w:sz w:val="22"/>
                <w:szCs w:val="22"/>
              </w:rPr>
            </w:pPr>
            <w:r>
              <w:rPr>
                <w:rFonts w:eastAsia="Times New Roman"/>
                <w:color w:val="000000"/>
                <w:sz w:val="22"/>
                <w:szCs w:val="22"/>
              </w:rPr>
              <w:t>Barbados</w:t>
            </w:r>
          </w:p>
        </w:tc>
        <w:tc>
          <w:tcPr>
            <w:tcW w:w="1891" w:type="dxa"/>
            <w:vAlign w:val="bottom"/>
          </w:tcPr>
          <w:p w14:paraId="42D0C25D" w14:textId="10BB821F" w:rsidR="003C2ACA" w:rsidRPr="00CA38DC" w:rsidRDefault="003C2ACA" w:rsidP="003C2ACA">
            <w:pPr>
              <w:tabs>
                <w:tab w:val="left" w:pos="1950"/>
              </w:tabs>
              <w:ind w:right="1056"/>
              <w:jc w:val="right"/>
              <w:rPr>
                <w:rFonts w:eastAsia="Times New Roman"/>
                <w:color w:val="000000"/>
                <w:sz w:val="22"/>
                <w:szCs w:val="22"/>
              </w:rPr>
            </w:pPr>
            <w:r>
              <w:rPr>
                <w:rFonts w:eastAsia="Times New Roman"/>
                <w:color w:val="000000"/>
                <w:sz w:val="22"/>
                <w:szCs w:val="22"/>
              </w:rPr>
              <w:t>1</w:t>
            </w:r>
          </w:p>
        </w:tc>
        <w:tc>
          <w:tcPr>
            <w:tcW w:w="2525" w:type="dxa"/>
            <w:vAlign w:val="bottom"/>
          </w:tcPr>
          <w:p w14:paraId="5DBD3696" w14:textId="0F7BBAC9" w:rsidR="003C2ACA" w:rsidRPr="00CA38DC" w:rsidRDefault="003C2ACA" w:rsidP="008835DF">
            <w:pPr>
              <w:tabs>
                <w:tab w:val="left" w:pos="1950"/>
              </w:tabs>
              <w:ind w:right="1056"/>
              <w:rPr>
                <w:rFonts w:eastAsia="Times New Roman"/>
                <w:color w:val="000000"/>
                <w:sz w:val="22"/>
                <w:szCs w:val="22"/>
              </w:rPr>
            </w:pPr>
            <w:r w:rsidRPr="00CA38DC">
              <w:rPr>
                <w:rFonts w:eastAsia="Times New Roman"/>
                <w:color w:val="000000"/>
                <w:sz w:val="22"/>
                <w:szCs w:val="22"/>
              </w:rPr>
              <w:t>Latvia</w:t>
            </w:r>
          </w:p>
        </w:tc>
        <w:tc>
          <w:tcPr>
            <w:tcW w:w="2156" w:type="dxa"/>
            <w:vAlign w:val="bottom"/>
          </w:tcPr>
          <w:p w14:paraId="3EE3F94D" w14:textId="3AA58D4D" w:rsidR="003C2ACA" w:rsidRPr="00CA38DC" w:rsidRDefault="003C2ACA" w:rsidP="003C2ACA">
            <w:pPr>
              <w:tabs>
                <w:tab w:val="left" w:pos="1950"/>
              </w:tabs>
              <w:ind w:right="1056"/>
              <w:jc w:val="right"/>
              <w:rPr>
                <w:rFonts w:eastAsia="Times New Roman"/>
                <w:color w:val="000000"/>
                <w:sz w:val="22"/>
                <w:szCs w:val="22"/>
              </w:rPr>
            </w:pPr>
            <w:r>
              <w:rPr>
                <w:rFonts w:eastAsia="Times New Roman"/>
                <w:color w:val="000000"/>
                <w:sz w:val="22"/>
                <w:szCs w:val="22"/>
              </w:rPr>
              <w:t>19</w:t>
            </w:r>
          </w:p>
        </w:tc>
      </w:tr>
      <w:tr w:rsidR="002D04A8" w:rsidRPr="00CA38DC" w14:paraId="564312AC" w14:textId="77777777" w:rsidTr="002D04A8">
        <w:trPr>
          <w:trHeight w:hRule="exact" w:val="288"/>
          <w:jc w:val="center"/>
        </w:trPr>
        <w:tc>
          <w:tcPr>
            <w:tcW w:w="2426" w:type="dxa"/>
            <w:vAlign w:val="bottom"/>
          </w:tcPr>
          <w:p w14:paraId="464BCE33" w14:textId="6BABD1F2" w:rsidR="003C2ACA" w:rsidRPr="00CA38DC" w:rsidRDefault="003C2ACA" w:rsidP="008835DF">
            <w:pPr>
              <w:ind w:right="-104"/>
              <w:rPr>
                <w:sz w:val="22"/>
                <w:szCs w:val="22"/>
              </w:rPr>
            </w:pPr>
            <w:r w:rsidRPr="00CA38DC">
              <w:rPr>
                <w:rFonts w:eastAsia="Times New Roman"/>
                <w:color w:val="000000"/>
                <w:sz w:val="22"/>
                <w:szCs w:val="22"/>
              </w:rPr>
              <w:t>Belgium</w:t>
            </w:r>
          </w:p>
        </w:tc>
        <w:tc>
          <w:tcPr>
            <w:tcW w:w="1891" w:type="dxa"/>
            <w:vAlign w:val="bottom"/>
          </w:tcPr>
          <w:p w14:paraId="287E69E2" w14:textId="33F6B84F" w:rsidR="003C2ACA" w:rsidRPr="00CA38DC" w:rsidRDefault="003C2ACA" w:rsidP="00FA0508">
            <w:pPr>
              <w:tabs>
                <w:tab w:val="left" w:pos="1950"/>
              </w:tabs>
              <w:ind w:right="1056"/>
              <w:jc w:val="right"/>
              <w:rPr>
                <w:rFonts w:eastAsia="Times New Roman"/>
                <w:color w:val="000000"/>
                <w:sz w:val="22"/>
                <w:szCs w:val="22"/>
              </w:rPr>
            </w:pPr>
            <w:r w:rsidRPr="00CA38DC">
              <w:rPr>
                <w:rFonts w:eastAsia="Times New Roman"/>
                <w:color w:val="000000"/>
                <w:sz w:val="22"/>
                <w:szCs w:val="22"/>
              </w:rPr>
              <w:t>10</w:t>
            </w:r>
            <w:r>
              <w:rPr>
                <w:rFonts w:eastAsia="Times New Roman"/>
                <w:color w:val="000000"/>
                <w:sz w:val="22"/>
                <w:szCs w:val="22"/>
              </w:rPr>
              <w:t>,339</w:t>
            </w:r>
          </w:p>
        </w:tc>
        <w:tc>
          <w:tcPr>
            <w:tcW w:w="2525" w:type="dxa"/>
            <w:vAlign w:val="bottom"/>
          </w:tcPr>
          <w:p w14:paraId="642C5D88" w14:textId="1B0975F5" w:rsidR="003C2ACA" w:rsidRPr="00CA38DC" w:rsidRDefault="003C2ACA" w:rsidP="008835DF">
            <w:pPr>
              <w:tabs>
                <w:tab w:val="left" w:pos="1950"/>
              </w:tabs>
              <w:ind w:right="1056"/>
              <w:rPr>
                <w:rFonts w:eastAsia="Times New Roman"/>
                <w:color w:val="000000"/>
                <w:sz w:val="22"/>
                <w:szCs w:val="22"/>
              </w:rPr>
            </w:pPr>
            <w:r w:rsidRPr="00CA38DC">
              <w:rPr>
                <w:rFonts w:eastAsia="Times New Roman"/>
                <w:color w:val="000000"/>
                <w:sz w:val="22"/>
                <w:szCs w:val="22"/>
              </w:rPr>
              <w:t>Luxembourg</w:t>
            </w:r>
          </w:p>
        </w:tc>
        <w:tc>
          <w:tcPr>
            <w:tcW w:w="2156" w:type="dxa"/>
            <w:vAlign w:val="bottom"/>
          </w:tcPr>
          <w:p w14:paraId="65325065" w14:textId="54FF07E0" w:rsidR="003C2ACA" w:rsidRPr="00CA38DC" w:rsidRDefault="003C2ACA" w:rsidP="003C2ACA">
            <w:pPr>
              <w:tabs>
                <w:tab w:val="left" w:pos="1950"/>
              </w:tabs>
              <w:ind w:right="1056"/>
              <w:jc w:val="right"/>
              <w:rPr>
                <w:sz w:val="22"/>
                <w:szCs w:val="22"/>
              </w:rPr>
            </w:pPr>
            <w:r>
              <w:rPr>
                <w:rFonts w:eastAsia="Times New Roman"/>
                <w:color w:val="000000"/>
                <w:sz w:val="22"/>
                <w:szCs w:val="22"/>
              </w:rPr>
              <w:t>606</w:t>
            </w:r>
          </w:p>
        </w:tc>
      </w:tr>
      <w:tr w:rsidR="002D04A8" w:rsidRPr="00CA38DC" w14:paraId="29D06AE3" w14:textId="77777777" w:rsidTr="002D04A8">
        <w:trPr>
          <w:trHeight w:hRule="exact" w:val="288"/>
          <w:jc w:val="center"/>
        </w:trPr>
        <w:tc>
          <w:tcPr>
            <w:tcW w:w="2426" w:type="dxa"/>
            <w:vAlign w:val="bottom"/>
          </w:tcPr>
          <w:p w14:paraId="66304479" w14:textId="1C773257" w:rsidR="003C2ACA" w:rsidRPr="00CA38DC" w:rsidRDefault="003C2ACA" w:rsidP="008835DF">
            <w:pPr>
              <w:ind w:right="-104"/>
              <w:rPr>
                <w:sz w:val="22"/>
                <w:szCs w:val="22"/>
              </w:rPr>
            </w:pPr>
            <w:r w:rsidRPr="00CA38DC">
              <w:rPr>
                <w:rFonts w:eastAsia="Times New Roman"/>
                <w:color w:val="000000"/>
                <w:sz w:val="22"/>
                <w:szCs w:val="22"/>
              </w:rPr>
              <w:t>Brazil</w:t>
            </w:r>
          </w:p>
        </w:tc>
        <w:tc>
          <w:tcPr>
            <w:tcW w:w="1891" w:type="dxa"/>
            <w:vAlign w:val="bottom"/>
          </w:tcPr>
          <w:p w14:paraId="5F97810A" w14:textId="56DE0E57" w:rsidR="003C2ACA" w:rsidRPr="00CA38DC" w:rsidRDefault="003C2ACA" w:rsidP="003C2ACA">
            <w:pPr>
              <w:tabs>
                <w:tab w:val="left" w:pos="1950"/>
              </w:tabs>
              <w:ind w:right="1056"/>
              <w:jc w:val="right"/>
              <w:rPr>
                <w:rFonts w:eastAsia="Times New Roman"/>
                <w:color w:val="000000"/>
                <w:sz w:val="22"/>
                <w:szCs w:val="22"/>
              </w:rPr>
            </w:pPr>
            <w:r w:rsidRPr="00CA38DC">
              <w:rPr>
                <w:rFonts w:eastAsia="Times New Roman"/>
                <w:color w:val="000000"/>
                <w:sz w:val="22"/>
                <w:szCs w:val="22"/>
              </w:rPr>
              <w:t>5</w:t>
            </w:r>
            <w:r>
              <w:rPr>
                <w:rFonts w:eastAsia="Times New Roman"/>
                <w:color w:val="000000"/>
                <w:sz w:val="22"/>
                <w:szCs w:val="22"/>
              </w:rPr>
              <w:t>9</w:t>
            </w:r>
          </w:p>
        </w:tc>
        <w:tc>
          <w:tcPr>
            <w:tcW w:w="2525" w:type="dxa"/>
            <w:vAlign w:val="bottom"/>
          </w:tcPr>
          <w:p w14:paraId="33D5439B" w14:textId="1FD90403" w:rsidR="003C2ACA" w:rsidRPr="00CA38DC" w:rsidRDefault="003C2ACA" w:rsidP="008835DF">
            <w:pPr>
              <w:tabs>
                <w:tab w:val="left" w:pos="1950"/>
              </w:tabs>
              <w:ind w:right="1056"/>
              <w:rPr>
                <w:rFonts w:eastAsia="Times New Roman"/>
                <w:color w:val="000000"/>
                <w:sz w:val="22"/>
                <w:szCs w:val="22"/>
              </w:rPr>
            </w:pPr>
            <w:r w:rsidRPr="00CA38DC">
              <w:rPr>
                <w:rFonts w:eastAsia="Times New Roman"/>
                <w:color w:val="000000"/>
                <w:sz w:val="22"/>
                <w:szCs w:val="22"/>
              </w:rPr>
              <w:t>Macedonia</w:t>
            </w:r>
          </w:p>
        </w:tc>
        <w:tc>
          <w:tcPr>
            <w:tcW w:w="2156" w:type="dxa"/>
            <w:vAlign w:val="bottom"/>
          </w:tcPr>
          <w:p w14:paraId="64BFB6B0" w14:textId="637BA9D9" w:rsidR="003C2ACA" w:rsidRPr="00CA38DC" w:rsidRDefault="003C2ACA" w:rsidP="003C2ACA">
            <w:pPr>
              <w:tabs>
                <w:tab w:val="left" w:pos="1950"/>
              </w:tabs>
              <w:ind w:right="1056"/>
              <w:jc w:val="right"/>
              <w:rPr>
                <w:sz w:val="22"/>
                <w:szCs w:val="22"/>
              </w:rPr>
            </w:pPr>
            <w:r w:rsidRPr="00CA38DC">
              <w:rPr>
                <w:rFonts w:eastAsia="Times New Roman"/>
                <w:color w:val="000000"/>
                <w:sz w:val="22"/>
                <w:szCs w:val="22"/>
              </w:rPr>
              <w:t>1</w:t>
            </w:r>
          </w:p>
        </w:tc>
      </w:tr>
      <w:tr w:rsidR="002D04A8" w:rsidRPr="00CA38DC" w14:paraId="61DB4E31" w14:textId="77777777" w:rsidTr="002D04A8">
        <w:trPr>
          <w:trHeight w:hRule="exact" w:val="324"/>
          <w:jc w:val="center"/>
        </w:trPr>
        <w:tc>
          <w:tcPr>
            <w:tcW w:w="2426" w:type="dxa"/>
            <w:vAlign w:val="bottom"/>
          </w:tcPr>
          <w:p w14:paraId="3BA13DFD" w14:textId="6F05EAA2" w:rsidR="003C2ACA" w:rsidRPr="00CA38DC" w:rsidRDefault="003C2ACA" w:rsidP="008835DF">
            <w:pPr>
              <w:ind w:right="-104"/>
              <w:rPr>
                <w:sz w:val="22"/>
                <w:szCs w:val="22"/>
              </w:rPr>
            </w:pPr>
            <w:r w:rsidRPr="00CA38DC">
              <w:rPr>
                <w:rFonts w:eastAsia="Times New Roman"/>
                <w:color w:val="000000"/>
                <w:sz w:val="22"/>
                <w:szCs w:val="22"/>
              </w:rPr>
              <w:t>Bulgaria</w:t>
            </w:r>
          </w:p>
        </w:tc>
        <w:tc>
          <w:tcPr>
            <w:tcW w:w="1891" w:type="dxa"/>
            <w:vAlign w:val="bottom"/>
          </w:tcPr>
          <w:p w14:paraId="3C76BB2F" w14:textId="1A2FE3F8" w:rsidR="003C2ACA" w:rsidRPr="00CA38DC" w:rsidRDefault="003C2ACA" w:rsidP="003C2ACA">
            <w:pPr>
              <w:tabs>
                <w:tab w:val="left" w:pos="1950"/>
              </w:tabs>
              <w:ind w:right="1056"/>
              <w:jc w:val="right"/>
              <w:rPr>
                <w:rFonts w:eastAsia="Times New Roman"/>
                <w:color w:val="000000"/>
                <w:sz w:val="22"/>
                <w:szCs w:val="22"/>
              </w:rPr>
            </w:pPr>
            <w:r>
              <w:rPr>
                <w:rFonts w:eastAsia="Times New Roman"/>
                <w:color w:val="000000"/>
                <w:sz w:val="22"/>
                <w:szCs w:val="22"/>
              </w:rPr>
              <w:t>819</w:t>
            </w:r>
          </w:p>
        </w:tc>
        <w:tc>
          <w:tcPr>
            <w:tcW w:w="2525" w:type="dxa"/>
            <w:vAlign w:val="bottom"/>
          </w:tcPr>
          <w:p w14:paraId="721FF8B8" w14:textId="3A49576B" w:rsidR="003C2ACA" w:rsidRPr="00CA38DC" w:rsidRDefault="003C2ACA" w:rsidP="008835DF">
            <w:pPr>
              <w:tabs>
                <w:tab w:val="left" w:pos="1950"/>
              </w:tabs>
              <w:ind w:right="1056"/>
              <w:rPr>
                <w:rFonts w:eastAsia="Times New Roman"/>
                <w:color w:val="000000"/>
                <w:sz w:val="22"/>
                <w:szCs w:val="22"/>
              </w:rPr>
            </w:pPr>
            <w:r w:rsidRPr="00CA38DC">
              <w:rPr>
                <w:rFonts w:eastAsia="Times New Roman"/>
                <w:color w:val="000000"/>
                <w:sz w:val="22"/>
                <w:szCs w:val="22"/>
              </w:rPr>
              <w:t>Malta</w:t>
            </w:r>
          </w:p>
        </w:tc>
        <w:tc>
          <w:tcPr>
            <w:tcW w:w="2156" w:type="dxa"/>
            <w:vAlign w:val="bottom"/>
          </w:tcPr>
          <w:p w14:paraId="33D3DD3D" w14:textId="2AAB71CC" w:rsidR="003C2ACA" w:rsidRPr="00CA38DC" w:rsidRDefault="003C2ACA" w:rsidP="003C2ACA">
            <w:pPr>
              <w:tabs>
                <w:tab w:val="left" w:pos="1950"/>
              </w:tabs>
              <w:ind w:right="1056"/>
              <w:jc w:val="right"/>
              <w:rPr>
                <w:sz w:val="22"/>
                <w:szCs w:val="22"/>
              </w:rPr>
            </w:pPr>
            <w:r w:rsidRPr="00CA38DC">
              <w:rPr>
                <w:rFonts w:eastAsia="Times New Roman"/>
                <w:color w:val="000000"/>
                <w:sz w:val="22"/>
                <w:szCs w:val="22"/>
              </w:rPr>
              <w:t>5</w:t>
            </w:r>
          </w:p>
        </w:tc>
      </w:tr>
      <w:tr w:rsidR="002D04A8" w:rsidRPr="00CA38DC" w14:paraId="508BB211" w14:textId="77777777" w:rsidTr="002D04A8">
        <w:trPr>
          <w:trHeight w:hRule="exact" w:val="288"/>
          <w:jc w:val="center"/>
        </w:trPr>
        <w:tc>
          <w:tcPr>
            <w:tcW w:w="2426" w:type="dxa"/>
            <w:vAlign w:val="bottom"/>
          </w:tcPr>
          <w:p w14:paraId="35539042" w14:textId="1BB07C1E" w:rsidR="003C2ACA" w:rsidRPr="00CA38DC" w:rsidRDefault="003C2ACA" w:rsidP="008835DF">
            <w:pPr>
              <w:ind w:right="-104"/>
              <w:rPr>
                <w:sz w:val="22"/>
                <w:szCs w:val="22"/>
              </w:rPr>
            </w:pPr>
            <w:r w:rsidRPr="00CA38DC">
              <w:rPr>
                <w:rFonts w:eastAsia="Times New Roman"/>
                <w:color w:val="000000"/>
                <w:sz w:val="22"/>
                <w:szCs w:val="22"/>
              </w:rPr>
              <w:t>Cayman Islands</w:t>
            </w:r>
          </w:p>
        </w:tc>
        <w:tc>
          <w:tcPr>
            <w:tcW w:w="1891" w:type="dxa"/>
            <w:vAlign w:val="bottom"/>
          </w:tcPr>
          <w:p w14:paraId="0A2DB955" w14:textId="0E39755B" w:rsidR="003C2ACA" w:rsidRPr="00CA38DC" w:rsidRDefault="003C2ACA" w:rsidP="003C2ACA">
            <w:pPr>
              <w:tabs>
                <w:tab w:val="left" w:pos="1950"/>
              </w:tabs>
              <w:ind w:right="1056"/>
              <w:jc w:val="right"/>
              <w:rPr>
                <w:rFonts w:eastAsia="Times New Roman"/>
                <w:color w:val="000000"/>
                <w:sz w:val="22"/>
                <w:szCs w:val="22"/>
              </w:rPr>
            </w:pPr>
            <w:r>
              <w:rPr>
                <w:rFonts w:eastAsia="Times New Roman"/>
                <w:color w:val="000000"/>
                <w:sz w:val="22"/>
                <w:szCs w:val="22"/>
              </w:rPr>
              <w:t>3</w:t>
            </w:r>
          </w:p>
        </w:tc>
        <w:tc>
          <w:tcPr>
            <w:tcW w:w="2525" w:type="dxa"/>
            <w:vAlign w:val="bottom"/>
          </w:tcPr>
          <w:p w14:paraId="38BC208B" w14:textId="4D57DA28" w:rsidR="003C2ACA" w:rsidRPr="00CA38DC" w:rsidRDefault="003C2ACA" w:rsidP="008835DF">
            <w:pPr>
              <w:tabs>
                <w:tab w:val="left" w:pos="1950"/>
              </w:tabs>
              <w:ind w:right="1056"/>
              <w:rPr>
                <w:rFonts w:eastAsia="Times New Roman"/>
                <w:color w:val="000000"/>
                <w:sz w:val="22"/>
                <w:szCs w:val="22"/>
              </w:rPr>
            </w:pPr>
            <w:r w:rsidRPr="00CA38DC">
              <w:rPr>
                <w:rFonts w:eastAsia="Times New Roman"/>
                <w:color w:val="000000"/>
                <w:sz w:val="22"/>
                <w:szCs w:val="22"/>
              </w:rPr>
              <w:t>Morocco</w:t>
            </w:r>
          </w:p>
        </w:tc>
        <w:tc>
          <w:tcPr>
            <w:tcW w:w="2156" w:type="dxa"/>
            <w:vAlign w:val="bottom"/>
          </w:tcPr>
          <w:p w14:paraId="61D20160" w14:textId="3E590FEA" w:rsidR="003C2ACA" w:rsidRPr="00CA38DC" w:rsidRDefault="003C2ACA" w:rsidP="003C2ACA">
            <w:pPr>
              <w:tabs>
                <w:tab w:val="left" w:pos="1950"/>
              </w:tabs>
              <w:ind w:right="1056"/>
              <w:jc w:val="right"/>
              <w:rPr>
                <w:sz w:val="22"/>
                <w:szCs w:val="22"/>
              </w:rPr>
            </w:pPr>
            <w:r>
              <w:rPr>
                <w:rFonts w:eastAsia="Times New Roman"/>
                <w:color w:val="000000"/>
                <w:sz w:val="22"/>
                <w:szCs w:val="22"/>
              </w:rPr>
              <w:t>79</w:t>
            </w:r>
          </w:p>
        </w:tc>
      </w:tr>
      <w:tr w:rsidR="002D04A8" w:rsidRPr="00CA38DC" w14:paraId="6EB50612" w14:textId="77777777" w:rsidTr="002D04A8">
        <w:trPr>
          <w:trHeight w:hRule="exact" w:val="288"/>
          <w:jc w:val="center"/>
        </w:trPr>
        <w:tc>
          <w:tcPr>
            <w:tcW w:w="2426" w:type="dxa"/>
            <w:vAlign w:val="bottom"/>
          </w:tcPr>
          <w:p w14:paraId="1A3B0920" w14:textId="0FAF2354" w:rsidR="003C2ACA" w:rsidRPr="00CA38DC" w:rsidRDefault="003C2ACA" w:rsidP="008835DF">
            <w:pPr>
              <w:ind w:right="-104"/>
              <w:rPr>
                <w:sz w:val="22"/>
                <w:szCs w:val="22"/>
              </w:rPr>
            </w:pPr>
            <w:r w:rsidRPr="00CA38DC">
              <w:rPr>
                <w:rFonts w:eastAsia="Times New Roman"/>
                <w:color w:val="000000"/>
                <w:sz w:val="22"/>
                <w:szCs w:val="22"/>
              </w:rPr>
              <w:t>Chile</w:t>
            </w:r>
          </w:p>
        </w:tc>
        <w:tc>
          <w:tcPr>
            <w:tcW w:w="1891" w:type="dxa"/>
            <w:vAlign w:val="bottom"/>
          </w:tcPr>
          <w:p w14:paraId="005F46A4" w14:textId="02C2BFC5" w:rsidR="003C2ACA" w:rsidRPr="00CA38DC" w:rsidRDefault="003C2ACA" w:rsidP="003C2ACA">
            <w:pPr>
              <w:tabs>
                <w:tab w:val="left" w:pos="1950"/>
              </w:tabs>
              <w:ind w:right="1056"/>
              <w:jc w:val="right"/>
              <w:rPr>
                <w:rFonts w:eastAsia="Times New Roman"/>
                <w:color w:val="000000"/>
                <w:sz w:val="22"/>
                <w:szCs w:val="22"/>
              </w:rPr>
            </w:pPr>
            <w:r w:rsidRPr="00CA38DC">
              <w:rPr>
                <w:rFonts w:eastAsia="Times New Roman"/>
                <w:color w:val="000000"/>
                <w:sz w:val="22"/>
                <w:szCs w:val="22"/>
              </w:rPr>
              <w:t>20</w:t>
            </w:r>
          </w:p>
        </w:tc>
        <w:tc>
          <w:tcPr>
            <w:tcW w:w="2525" w:type="dxa"/>
            <w:vAlign w:val="bottom"/>
          </w:tcPr>
          <w:p w14:paraId="4337852B" w14:textId="79C4669C" w:rsidR="003C2ACA" w:rsidRPr="00CA38DC" w:rsidRDefault="003C2ACA" w:rsidP="008835DF">
            <w:pPr>
              <w:tabs>
                <w:tab w:val="left" w:pos="1950"/>
              </w:tabs>
              <w:ind w:right="1056"/>
              <w:rPr>
                <w:rFonts w:eastAsia="Times New Roman"/>
                <w:color w:val="000000"/>
                <w:sz w:val="22"/>
                <w:szCs w:val="22"/>
              </w:rPr>
            </w:pPr>
            <w:r w:rsidRPr="00CA38DC">
              <w:rPr>
                <w:rFonts w:eastAsia="Times New Roman"/>
                <w:color w:val="000000"/>
                <w:sz w:val="22"/>
                <w:szCs w:val="22"/>
              </w:rPr>
              <w:t>Netherlands</w:t>
            </w:r>
          </w:p>
        </w:tc>
        <w:tc>
          <w:tcPr>
            <w:tcW w:w="2156" w:type="dxa"/>
            <w:vAlign w:val="bottom"/>
          </w:tcPr>
          <w:p w14:paraId="65D9C705" w14:textId="7EA1705F" w:rsidR="003C2ACA" w:rsidRPr="00CA38DC" w:rsidRDefault="003C2ACA" w:rsidP="003C2ACA">
            <w:pPr>
              <w:tabs>
                <w:tab w:val="left" w:pos="1950"/>
              </w:tabs>
              <w:ind w:right="1056"/>
              <w:jc w:val="right"/>
              <w:rPr>
                <w:sz w:val="22"/>
                <w:szCs w:val="22"/>
              </w:rPr>
            </w:pPr>
            <w:r w:rsidRPr="00CA38DC">
              <w:rPr>
                <w:rFonts w:eastAsia="Times New Roman"/>
                <w:color w:val="000000"/>
                <w:sz w:val="22"/>
                <w:szCs w:val="22"/>
              </w:rPr>
              <w:t>2</w:t>
            </w:r>
            <w:r>
              <w:rPr>
                <w:rFonts w:eastAsia="Times New Roman"/>
                <w:color w:val="000000"/>
                <w:sz w:val="22"/>
                <w:szCs w:val="22"/>
              </w:rPr>
              <w:t>,208</w:t>
            </w:r>
          </w:p>
        </w:tc>
      </w:tr>
      <w:tr w:rsidR="002D04A8" w:rsidRPr="00CA38DC" w14:paraId="67C4AD50" w14:textId="77777777" w:rsidTr="002D04A8">
        <w:trPr>
          <w:trHeight w:hRule="exact" w:val="288"/>
          <w:jc w:val="center"/>
        </w:trPr>
        <w:tc>
          <w:tcPr>
            <w:tcW w:w="2426" w:type="dxa"/>
            <w:vAlign w:val="bottom"/>
          </w:tcPr>
          <w:p w14:paraId="31B6D906" w14:textId="6F413A0E" w:rsidR="003C2ACA" w:rsidRPr="00CA38DC" w:rsidRDefault="003C2ACA" w:rsidP="008835DF">
            <w:pPr>
              <w:ind w:right="-104"/>
              <w:rPr>
                <w:sz w:val="22"/>
                <w:szCs w:val="22"/>
              </w:rPr>
            </w:pPr>
            <w:r w:rsidRPr="00CA38DC">
              <w:rPr>
                <w:rFonts w:eastAsia="Times New Roman"/>
                <w:color w:val="000000"/>
                <w:sz w:val="22"/>
                <w:szCs w:val="22"/>
              </w:rPr>
              <w:t>Colombia</w:t>
            </w:r>
          </w:p>
        </w:tc>
        <w:tc>
          <w:tcPr>
            <w:tcW w:w="1891" w:type="dxa"/>
            <w:vAlign w:val="bottom"/>
          </w:tcPr>
          <w:p w14:paraId="5A215CF5" w14:textId="04438B1D" w:rsidR="003C2ACA" w:rsidRPr="00CA38DC" w:rsidRDefault="003C2ACA" w:rsidP="003C2ACA">
            <w:pPr>
              <w:tabs>
                <w:tab w:val="left" w:pos="1950"/>
              </w:tabs>
              <w:ind w:right="1056"/>
              <w:jc w:val="right"/>
              <w:rPr>
                <w:rFonts w:eastAsia="Times New Roman"/>
                <w:color w:val="000000"/>
                <w:sz w:val="22"/>
                <w:szCs w:val="22"/>
              </w:rPr>
            </w:pPr>
            <w:r w:rsidRPr="00CA38DC">
              <w:rPr>
                <w:rFonts w:eastAsia="Times New Roman"/>
                <w:color w:val="000000"/>
                <w:sz w:val="22"/>
                <w:szCs w:val="22"/>
              </w:rPr>
              <w:t>3</w:t>
            </w:r>
          </w:p>
        </w:tc>
        <w:tc>
          <w:tcPr>
            <w:tcW w:w="2525" w:type="dxa"/>
            <w:vAlign w:val="bottom"/>
          </w:tcPr>
          <w:p w14:paraId="4BDD5A1E" w14:textId="1260D68A" w:rsidR="003C2ACA" w:rsidRPr="00CA38DC" w:rsidRDefault="003C2ACA" w:rsidP="008835DF">
            <w:pPr>
              <w:tabs>
                <w:tab w:val="left" w:pos="1950"/>
              </w:tabs>
              <w:ind w:right="1056"/>
              <w:rPr>
                <w:rFonts w:eastAsia="Times New Roman"/>
                <w:color w:val="000000"/>
                <w:sz w:val="22"/>
                <w:szCs w:val="22"/>
              </w:rPr>
            </w:pPr>
            <w:r w:rsidRPr="00CA38DC">
              <w:rPr>
                <w:rFonts w:eastAsia="Times New Roman"/>
                <w:color w:val="000000"/>
                <w:sz w:val="22"/>
                <w:szCs w:val="22"/>
              </w:rPr>
              <w:t>New Zealand</w:t>
            </w:r>
          </w:p>
        </w:tc>
        <w:tc>
          <w:tcPr>
            <w:tcW w:w="2156" w:type="dxa"/>
            <w:vAlign w:val="bottom"/>
          </w:tcPr>
          <w:p w14:paraId="4EB09804" w14:textId="37DF810C" w:rsidR="003C2ACA" w:rsidRPr="00CA38DC" w:rsidRDefault="003C2ACA" w:rsidP="003C2ACA">
            <w:pPr>
              <w:tabs>
                <w:tab w:val="left" w:pos="1950"/>
              </w:tabs>
              <w:ind w:right="1056"/>
              <w:jc w:val="right"/>
              <w:rPr>
                <w:sz w:val="22"/>
                <w:szCs w:val="22"/>
              </w:rPr>
            </w:pPr>
            <w:r>
              <w:rPr>
                <w:rFonts w:eastAsia="Times New Roman"/>
                <w:color w:val="000000"/>
                <w:sz w:val="22"/>
                <w:szCs w:val="22"/>
              </w:rPr>
              <w:t>52</w:t>
            </w:r>
            <w:r w:rsidRPr="00CA38DC">
              <w:rPr>
                <w:rFonts w:eastAsia="Times New Roman"/>
                <w:color w:val="000000"/>
                <w:sz w:val="22"/>
                <w:szCs w:val="22"/>
              </w:rPr>
              <w:t>8</w:t>
            </w:r>
          </w:p>
        </w:tc>
      </w:tr>
      <w:tr w:rsidR="002D04A8" w:rsidRPr="00CA38DC" w14:paraId="0EB4A18B" w14:textId="77777777" w:rsidTr="002D04A8">
        <w:trPr>
          <w:trHeight w:hRule="exact" w:val="288"/>
          <w:jc w:val="center"/>
        </w:trPr>
        <w:tc>
          <w:tcPr>
            <w:tcW w:w="2426" w:type="dxa"/>
            <w:vAlign w:val="bottom"/>
          </w:tcPr>
          <w:p w14:paraId="7F39CA6C" w14:textId="7213CD14" w:rsidR="003C2ACA" w:rsidRPr="00CA38DC" w:rsidRDefault="003C2ACA" w:rsidP="008835DF">
            <w:pPr>
              <w:ind w:right="-104"/>
              <w:rPr>
                <w:sz w:val="22"/>
                <w:szCs w:val="22"/>
              </w:rPr>
            </w:pPr>
            <w:r w:rsidRPr="00CA38DC">
              <w:rPr>
                <w:rFonts w:eastAsia="Times New Roman"/>
                <w:color w:val="000000"/>
                <w:sz w:val="22"/>
                <w:szCs w:val="22"/>
              </w:rPr>
              <w:t>Croatia</w:t>
            </w:r>
          </w:p>
        </w:tc>
        <w:tc>
          <w:tcPr>
            <w:tcW w:w="1891" w:type="dxa"/>
            <w:vAlign w:val="bottom"/>
          </w:tcPr>
          <w:p w14:paraId="6468F113" w14:textId="14667C16" w:rsidR="003C2ACA" w:rsidRPr="00CA38DC" w:rsidRDefault="003C2ACA" w:rsidP="003C2ACA">
            <w:pPr>
              <w:tabs>
                <w:tab w:val="left" w:pos="1950"/>
              </w:tabs>
              <w:ind w:right="1056"/>
              <w:jc w:val="right"/>
              <w:rPr>
                <w:rFonts w:eastAsia="Times New Roman"/>
                <w:color w:val="000000"/>
                <w:sz w:val="22"/>
                <w:szCs w:val="22"/>
              </w:rPr>
            </w:pPr>
            <w:r w:rsidRPr="00CA38DC">
              <w:rPr>
                <w:rFonts w:eastAsia="Times New Roman"/>
                <w:color w:val="000000"/>
                <w:sz w:val="22"/>
                <w:szCs w:val="22"/>
              </w:rPr>
              <w:t>3</w:t>
            </w:r>
            <w:r>
              <w:rPr>
                <w:rFonts w:eastAsia="Times New Roman"/>
                <w:color w:val="000000"/>
                <w:sz w:val="22"/>
                <w:szCs w:val="22"/>
              </w:rPr>
              <w:t>06</w:t>
            </w:r>
          </w:p>
        </w:tc>
        <w:tc>
          <w:tcPr>
            <w:tcW w:w="2525" w:type="dxa"/>
            <w:vAlign w:val="bottom"/>
          </w:tcPr>
          <w:p w14:paraId="274D949E" w14:textId="3AB304F3" w:rsidR="003C2ACA" w:rsidRPr="00CA38DC" w:rsidRDefault="003C2ACA" w:rsidP="008835DF">
            <w:pPr>
              <w:tabs>
                <w:tab w:val="left" w:pos="1950"/>
              </w:tabs>
              <w:ind w:right="1056"/>
              <w:rPr>
                <w:rFonts w:eastAsia="Times New Roman"/>
                <w:color w:val="000000"/>
                <w:sz w:val="22"/>
                <w:szCs w:val="22"/>
              </w:rPr>
            </w:pPr>
            <w:r w:rsidRPr="00CA38DC">
              <w:rPr>
                <w:rFonts w:eastAsia="Times New Roman"/>
                <w:color w:val="000000"/>
                <w:sz w:val="22"/>
                <w:szCs w:val="22"/>
              </w:rPr>
              <w:t>Norway</w:t>
            </w:r>
          </w:p>
        </w:tc>
        <w:tc>
          <w:tcPr>
            <w:tcW w:w="2156" w:type="dxa"/>
            <w:vAlign w:val="bottom"/>
          </w:tcPr>
          <w:p w14:paraId="671794CE" w14:textId="00D1B785" w:rsidR="003C2ACA" w:rsidRPr="00CA38DC" w:rsidRDefault="003C2ACA" w:rsidP="003C2ACA">
            <w:pPr>
              <w:tabs>
                <w:tab w:val="left" w:pos="1950"/>
              </w:tabs>
              <w:ind w:right="1056"/>
              <w:jc w:val="right"/>
              <w:rPr>
                <w:sz w:val="22"/>
                <w:szCs w:val="22"/>
              </w:rPr>
            </w:pPr>
            <w:r w:rsidRPr="00CA38DC">
              <w:rPr>
                <w:rFonts w:eastAsia="Times New Roman"/>
                <w:color w:val="000000"/>
                <w:sz w:val="22"/>
                <w:szCs w:val="22"/>
              </w:rPr>
              <w:t>4</w:t>
            </w:r>
            <w:r>
              <w:rPr>
                <w:rFonts w:eastAsia="Times New Roman"/>
                <w:color w:val="000000"/>
                <w:sz w:val="22"/>
                <w:szCs w:val="22"/>
              </w:rPr>
              <w:t>,734</w:t>
            </w:r>
          </w:p>
        </w:tc>
      </w:tr>
      <w:tr w:rsidR="002D04A8" w:rsidRPr="00CA38DC" w14:paraId="565BF6BD" w14:textId="77777777" w:rsidTr="002D04A8">
        <w:trPr>
          <w:trHeight w:hRule="exact" w:val="288"/>
          <w:jc w:val="center"/>
        </w:trPr>
        <w:tc>
          <w:tcPr>
            <w:tcW w:w="2426" w:type="dxa"/>
            <w:vAlign w:val="bottom"/>
          </w:tcPr>
          <w:p w14:paraId="42A60AE4" w14:textId="6F352D60" w:rsidR="003C2ACA" w:rsidRPr="00CA38DC" w:rsidRDefault="003C2ACA" w:rsidP="008835DF">
            <w:pPr>
              <w:ind w:right="-104"/>
              <w:rPr>
                <w:sz w:val="22"/>
                <w:szCs w:val="22"/>
              </w:rPr>
            </w:pPr>
            <w:r w:rsidRPr="00CA38DC">
              <w:rPr>
                <w:rFonts w:eastAsia="Times New Roman"/>
                <w:color w:val="000000"/>
                <w:sz w:val="22"/>
                <w:szCs w:val="22"/>
              </w:rPr>
              <w:t>Czech Republic</w:t>
            </w:r>
          </w:p>
        </w:tc>
        <w:tc>
          <w:tcPr>
            <w:tcW w:w="1891" w:type="dxa"/>
            <w:vAlign w:val="bottom"/>
          </w:tcPr>
          <w:p w14:paraId="64DA3F57" w14:textId="087A299C" w:rsidR="003C2ACA" w:rsidRPr="00CA38DC" w:rsidRDefault="003C2ACA" w:rsidP="003C2ACA">
            <w:pPr>
              <w:tabs>
                <w:tab w:val="left" w:pos="1950"/>
              </w:tabs>
              <w:ind w:right="1056"/>
              <w:jc w:val="right"/>
              <w:rPr>
                <w:rFonts w:eastAsia="Times New Roman"/>
                <w:color w:val="000000"/>
                <w:sz w:val="22"/>
                <w:szCs w:val="22"/>
              </w:rPr>
            </w:pPr>
            <w:r w:rsidRPr="00CA38DC">
              <w:rPr>
                <w:rFonts w:eastAsia="Times New Roman"/>
                <w:color w:val="000000"/>
                <w:sz w:val="22"/>
                <w:szCs w:val="22"/>
              </w:rPr>
              <w:t>4</w:t>
            </w:r>
            <w:r>
              <w:rPr>
                <w:rFonts w:eastAsia="Times New Roman"/>
                <w:color w:val="000000"/>
                <w:sz w:val="22"/>
                <w:szCs w:val="22"/>
              </w:rPr>
              <w:t>,006</w:t>
            </w:r>
          </w:p>
        </w:tc>
        <w:tc>
          <w:tcPr>
            <w:tcW w:w="2525" w:type="dxa"/>
            <w:vAlign w:val="bottom"/>
          </w:tcPr>
          <w:p w14:paraId="6D620511" w14:textId="519AF34E" w:rsidR="003C2ACA" w:rsidRPr="00CA38DC" w:rsidRDefault="003C2ACA" w:rsidP="008835DF">
            <w:pPr>
              <w:tabs>
                <w:tab w:val="left" w:pos="1950"/>
              </w:tabs>
              <w:ind w:right="1056"/>
              <w:rPr>
                <w:rFonts w:eastAsia="Times New Roman"/>
                <w:color w:val="000000"/>
                <w:sz w:val="22"/>
                <w:szCs w:val="22"/>
              </w:rPr>
            </w:pPr>
            <w:r w:rsidRPr="00CA38DC">
              <w:rPr>
                <w:rFonts w:eastAsia="Times New Roman"/>
                <w:color w:val="000000"/>
                <w:sz w:val="22"/>
                <w:szCs w:val="22"/>
              </w:rPr>
              <w:t>Panama</w:t>
            </w:r>
          </w:p>
        </w:tc>
        <w:tc>
          <w:tcPr>
            <w:tcW w:w="2156" w:type="dxa"/>
            <w:vAlign w:val="bottom"/>
          </w:tcPr>
          <w:p w14:paraId="76FCABE9" w14:textId="412267CF" w:rsidR="003C2ACA" w:rsidRPr="00CA38DC" w:rsidRDefault="003C2ACA" w:rsidP="003C2ACA">
            <w:pPr>
              <w:tabs>
                <w:tab w:val="left" w:pos="1950"/>
              </w:tabs>
              <w:ind w:right="1056"/>
              <w:jc w:val="right"/>
              <w:rPr>
                <w:sz w:val="22"/>
                <w:szCs w:val="22"/>
              </w:rPr>
            </w:pPr>
            <w:r w:rsidRPr="00CA38DC">
              <w:rPr>
                <w:rFonts w:eastAsia="Times New Roman"/>
                <w:color w:val="000000"/>
                <w:sz w:val="22"/>
                <w:szCs w:val="22"/>
              </w:rPr>
              <w:t>2</w:t>
            </w:r>
          </w:p>
        </w:tc>
      </w:tr>
      <w:tr w:rsidR="002D04A8" w:rsidRPr="00CA38DC" w14:paraId="6E821121" w14:textId="77777777" w:rsidTr="002D04A8">
        <w:trPr>
          <w:trHeight w:hRule="exact" w:val="288"/>
          <w:jc w:val="center"/>
        </w:trPr>
        <w:tc>
          <w:tcPr>
            <w:tcW w:w="2426" w:type="dxa"/>
            <w:vAlign w:val="bottom"/>
          </w:tcPr>
          <w:p w14:paraId="21159C7C" w14:textId="28133B05" w:rsidR="003C2ACA" w:rsidRPr="00CA38DC" w:rsidRDefault="003C2ACA" w:rsidP="008835DF">
            <w:pPr>
              <w:ind w:right="-104"/>
              <w:rPr>
                <w:sz w:val="22"/>
                <w:szCs w:val="22"/>
              </w:rPr>
            </w:pPr>
            <w:r w:rsidRPr="00CA38DC">
              <w:rPr>
                <w:rFonts w:eastAsia="Times New Roman"/>
                <w:color w:val="000000"/>
                <w:sz w:val="22"/>
                <w:szCs w:val="22"/>
              </w:rPr>
              <w:t>Denmark</w:t>
            </w:r>
          </w:p>
        </w:tc>
        <w:tc>
          <w:tcPr>
            <w:tcW w:w="1891" w:type="dxa"/>
            <w:vAlign w:val="bottom"/>
          </w:tcPr>
          <w:p w14:paraId="1C74B0D2" w14:textId="5FF5441E" w:rsidR="003C2ACA" w:rsidRPr="00CA38DC" w:rsidRDefault="003C2ACA" w:rsidP="003C2ACA">
            <w:pPr>
              <w:tabs>
                <w:tab w:val="left" w:pos="1950"/>
              </w:tabs>
              <w:ind w:right="1056"/>
              <w:jc w:val="right"/>
              <w:rPr>
                <w:rFonts w:eastAsia="Times New Roman"/>
                <w:color w:val="000000"/>
                <w:sz w:val="22"/>
                <w:szCs w:val="22"/>
              </w:rPr>
            </w:pPr>
            <w:r w:rsidRPr="00CA38DC">
              <w:rPr>
                <w:rFonts w:eastAsia="Times New Roman"/>
                <w:color w:val="000000"/>
                <w:sz w:val="22"/>
                <w:szCs w:val="22"/>
              </w:rPr>
              <w:t>1</w:t>
            </w:r>
            <w:r>
              <w:rPr>
                <w:rFonts w:eastAsia="Times New Roman"/>
                <w:color w:val="000000"/>
                <w:sz w:val="22"/>
                <w:szCs w:val="22"/>
              </w:rPr>
              <w:t>,876</w:t>
            </w:r>
          </w:p>
        </w:tc>
        <w:tc>
          <w:tcPr>
            <w:tcW w:w="2525" w:type="dxa"/>
            <w:vAlign w:val="bottom"/>
          </w:tcPr>
          <w:p w14:paraId="39838029" w14:textId="5F431D85" w:rsidR="003C2ACA" w:rsidRPr="00CA38DC" w:rsidRDefault="003C2ACA" w:rsidP="008835DF">
            <w:pPr>
              <w:tabs>
                <w:tab w:val="left" w:pos="1950"/>
              </w:tabs>
              <w:ind w:right="1056"/>
              <w:rPr>
                <w:rFonts w:eastAsia="Times New Roman"/>
                <w:color w:val="000000"/>
                <w:sz w:val="22"/>
                <w:szCs w:val="22"/>
              </w:rPr>
            </w:pPr>
            <w:r w:rsidRPr="00CA38DC">
              <w:rPr>
                <w:rFonts w:eastAsia="Times New Roman"/>
                <w:color w:val="000000"/>
                <w:sz w:val="22"/>
                <w:szCs w:val="22"/>
              </w:rPr>
              <w:t>Poland</w:t>
            </w:r>
          </w:p>
        </w:tc>
        <w:tc>
          <w:tcPr>
            <w:tcW w:w="2156" w:type="dxa"/>
            <w:vAlign w:val="bottom"/>
          </w:tcPr>
          <w:p w14:paraId="55210322" w14:textId="2CD0635D" w:rsidR="003C2ACA" w:rsidRPr="00CA38DC" w:rsidRDefault="003C2ACA" w:rsidP="003C2ACA">
            <w:pPr>
              <w:tabs>
                <w:tab w:val="left" w:pos="1950"/>
              </w:tabs>
              <w:ind w:right="1056"/>
              <w:jc w:val="right"/>
              <w:rPr>
                <w:sz w:val="22"/>
                <w:szCs w:val="22"/>
              </w:rPr>
            </w:pPr>
            <w:r w:rsidRPr="00CA38DC">
              <w:rPr>
                <w:rFonts w:eastAsia="Times New Roman"/>
                <w:color w:val="000000"/>
                <w:sz w:val="22"/>
                <w:szCs w:val="22"/>
              </w:rPr>
              <w:t>2</w:t>
            </w:r>
            <w:r>
              <w:rPr>
                <w:rFonts w:eastAsia="Times New Roman"/>
                <w:color w:val="000000"/>
                <w:sz w:val="22"/>
                <w:szCs w:val="22"/>
              </w:rPr>
              <w:t>,773</w:t>
            </w:r>
          </w:p>
        </w:tc>
      </w:tr>
      <w:tr w:rsidR="002D04A8" w:rsidRPr="00CA38DC" w14:paraId="52E1E70D" w14:textId="77777777" w:rsidTr="002D04A8">
        <w:trPr>
          <w:trHeight w:hRule="exact" w:val="288"/>
          <w:jc w:val="center"/>
        </w:trPr>
        <w:tc>
          <w:tcPr>
            <w:tcW w:w="2426" w:type="dxa"/>
            <w:vAlign w:val="bottom"/>
          </w:tcPr>
          <w:p w14:paraId="0ED820C4" w14:textId="1D3C42D8" w:rsidR="003C2ACA" w:rsidRPr="00CA38DC" w:rsidRDefault="003C2ACA" w:rsidP="008835DF">
            <w:pPr>
              <w:ind w:right="-104"/>
              <w:rPr>
                <w:sz w:val="22"/>
                <w:szCs w:val="22"/>
              </w:rPr>
            </w:pPr>
            <w:r w:rsidRPr="00CA38DC">
              <w:rPr>
                <w:rFonts w:eastAsia="Times New Roman"/>
                <w:color w:val="000000"/>
                <w:sz w:val="22"/>
                <w:szCs w:val="22"/>
              </w:rPr>
              <w:t>Ecuador</w:t>
            </w:r>
          </w:p>
        </w:tc>
        <w:tc>
          <w:tcPr>
            <w:tcW w:w="1891" w:type="dxa"/>
            <w:vAlign w:val="bottom"/>
          </w:tcPr>
          <w:p w14:paraId="58B28284" w14:textId="5180BDC7" w:rsidR="003C2ACA" w:rsidRPr="00CA38DC" w:rsidRDefault="003C2ACA" w:rsidP="003C2ACA">
            <w:pPr>
              <w:tabs>
                <w:tab w:val="left" w:pos="1950"/>
              </w:tabs>
              <w:ind w:right="1056"/>
              <w:jc w:val="right"/>
              <w:rPr>
                <w:rFonts w:eastAsia="Times New Roman"/>
                <w:color w:val="000000"/>
                <w:sz w:val="22"/>
                <w:szCs w:val="22"/>
              </w:rPr>
            </w:pPr>
            <w:r w:rsidRPr="00CA38DC">
              <w:rPr>
                <w:rFonts w:eastAsia="Times New Roman"/>
                <w:color w:val="000000"/>
                <w:sz w:val="22"/>
                <w:szCs w:val="22"/>
              </w:rPr>
              <w:t>1</w:t>
            </w:r>
            <w:r>
              <w:rPr>
                <w:rFonts w:eastAsia="Times New Roman"/>
                <w:color w:val="000000"/>
                <w:sz w:val="22"/>
                <w:szCs w:val="22"/>
              </w:rPr>
              <w:t>0</w:t>
            </w:r>
          </w:p>
        </w:tc>
        <w:tc>
          <w:tcPr>
            <w:tcW w:w="2525" w:type="dxa"/>
            <w:vAlign w:val="bottom"/>
          </w:tcPr>
          <w:p w14:paraId="7FC7EC5F" w14:textId="52FD50B6" w:rsidR="003C2ACA" w:rsidRPr="00CA38DC" w:rsidRDefault="003C2ACA" w:rsidP="008835DF">
            <w:pPr>
              <w:tabs>
                <w:tab w:val="left" w:pos="1950"/>
              </w:tabs>
              <w:ind w:right="1056"/>
              <w:rPr>
                <w:rFonts w:eastAsia="Times New Roman"/>
                <w:color w:val="000000"/>
                <w:sz w:val="22"/>
                <w:szCs w:val="22"/>
              </w:rPr>
            </w:pPr>
            <w:r w:rsidRPr="00CA38DC">
              <w:rPr>
                <w:rFonts w:eastAsia="Times New Roman"/>
                <w:color w:val="000000"/>
                <w:sz w:val="22"/>
                <w:szCs w:val="22"/>
              </w:rPr>
              <w:t>Portugal</w:t>
            </w:r>
          </w:p>
        </w:tc>
        <w:tc>
          <w:tcPr>
            <w:tcW w:w="2156" w:type="dxa"/>
            <w:vAlign w:val="bottom"/>
          </w:tcPr>
          <w:p w14:paraId="146DC9C2" w14:textId="6011F94D" w:rsidR="003C2ACA" w:rsidRPr="00CA38DC" w:rsidRDefault="003C2ACA" w:rsidP="003C2ACA">
            <w:pPr>
              <w:tabs>
                <w:tab w:val="left" w:pos="1950"/>
              </w:tabs>
              <w:ind w:right="1056"/>
              <w:jc w:val="right"/>
              <w:rPr>
                <w:sz w:val="22"/>
                <w:szCs w:val="22"/>
              </w:rPr>
            </w:pPr>
            <w:r w:rsidRPr="00CA38DC">
              <w:rPr>
                <w:rFonts w:eastAsia="Times New Roman"/>
                <w:color w:val="000000"/>
                <w:sz w:val="22"/>
                <w:szCs w:val="22"/>
              </w:rPr>
              <w:t>3</w:t>
            </w:r>
            <w:r>
              <w:rPr>
                <w:rFonts w:eastAsia="Times New Roman"/>
                <w:color w:val="000000"/>
                <w:sz w:val="22"/>
                <w:szCs w:val="22"/>
              </w:rPr>
              <w:t>,998</w:t>
            </w:r>
          </w:p>
        </w:tc>
      </w:tr>
      <w:tr w:rsidR="002D04A8" w:rsidRPr="00CA38DC" w14:paraId="670A4E67" w14:textId="77777777" w:rsidTr="002D04A8">
        <w:trPr>
          <w:trHeight w:hRule="exact" w:val="288"/>
          <w:jc w:val="center"/>
        </w:trPr>
        <w:tc>
          <w:tcPr>
            <w:tcW w:w="2426" w:type="dxa"/>
            <w:vAlign w:val="bottom"/>
          </w:tcPr>
          <w:p w14:paraId="3F69B3D1" w14:textId="59C6F898" w:rsidR="003C2ACA" w:rsidRPr="00CA38DC" w:rsidRDefault="003C2ACA" w:rsidP="008835DF">
            <w:pPr>
              <w:ind w:right="-104"/>
              <w:rPr>
                <w:sz w:val="22"/>
                <w:szCs w:val="22"/>
              </w:rPr>
            </w:pPr>
            <w:r w:rsidRPr="00CA38DC">
              <w:rPr>
                <w:rFonts w:eastAsia="Times New Roman"/>
                <w:color w:val="000000"/>
                <w:sz w:val="22"/>
                <w:szCs w:val="22"/>
              </w:rPr>
              <w:t>Egypt</w:t>
            </w:r>
          </w:p>
        </w:tc>
        <w:tc>
          <w:tcPr>
            <w:tcW w:w="1891" w:type="dxa"/>
            <w:vAlign w:val="bottom"/>
          </w:tcPr>
          <w:p w14:paraId="3D860475" w14:textId="18A07003" w:rsidR="003C2ACA" w:rsidRPr="00CA38DC" w:rsidRDefault="003C2ACA" w:rsidP="003C2ACA">
            <w:pPr>
              <w:tabs>
                <w:tab w:val="left" w:pos="1950"/>
              </w:tabs>
              <w:ind w:right="1056"/>
              <w:jc w:val="right"/>
              <w:rPr>
                <w:rFonts w:eastAsia="Times New Roman"/>
                <w:color w:val="000000"/>
                <w:sz w:val="22"/>
                <w:szCs w:val="22"/>
              </w:rPr>
            </w:pPr>
            <w:r w:rsidRPr="00CA38DC">
              <w:rPr>
                <w:rFonts w:eastAsia="Times New Roman"/>
                <w:color w:val="000000"/>
                <w:sz w:val="22"/>
                <w:szCs w:val="22"/>
              </w:rPr>
              <w:t>1</w:t>
            </w:r>
          </w:p>
        </w:tc>
        <w:tc>
          <w:tcPr>
            <w:tcW w:w="2525" w:type="dxa"/>
            <w:vAlign w:val="bottom"/>
          </w:tcPr>
          <w:p w14:paraId="7FFE3817" w14:textId="2C95DAB0" w:rsidR="003C2ACA" w:rsidRPr="00CA38DC" w:rsidRDefault="003C2ACA" w:rsidP="008835DF">
            <w:pPr>
              <w:tabs>
                <w:tab w:val="left" w:pos="1950"/>
              </w:tabs>
              <w:ind w:right="1056"/>
              <w:rPr>
                <w:rFonts w:eastAsia="Times New Roman"/>
                <w:color w:val="000000"/>
                <w:sz w:val="22"/>
                <w:szCs w:val="22"/>
              </w:rPr>
            </w:pPr>
            <w:r w:rsidRPr="00CA38DC">
              <w:rPr>
                <w:rFonts w:eastAsia="Times New Roman"/>
                <w:color w:val="000000"/>
                <w:sz w:val="22"/>
                <w:szCs w:val="22"/>
              </w:rPr>
              <w:t>Serbia</w:t>
            </w:r>
          </w:p>
        </w:tc>
        <w:tc>
          <w:tcPr>
            <w:tcW w:w="2156" w:type="dxa"/>
            <w:vAlign w:val="bottom"/>
          </w:tcPr>
          <w:p w14:paraId="55242773" w14:textId="0C60CCBC" w:rsidR="003C2ACA" w:rsidRPr="00CA38DC" w:rsidRDefault="003C2ACA" w:rsidP="003C2ACA">
            <w:pPr>
              <w:tabs>
                <w:tab w:val="left" w:pos="1950"/>
              </w:tabs>
              <w:ind w:right="1056"/>
              <w:jc w:val="right"/>
              <w:rPr>
                <w:sz w:val="22"/>
                <w:szCs w:val="22"/>
              </w:rPr>
            </w:pPr>
            <w:r>
              <w:rPr>
                <w:rFonts w:eastAsia="Times New Roman"/>
                <w:color w:val="000000"/>
                <w:sz w:val="22"/>
                <w:szCs w:val="22"/>
              </w:rPr>
              <w:t>636</w:t>
            </w:r>
          </w:p>
        </w:tc>
      </w:tr>
      <w:tr w:rsidR="002D04A8" w:rsidRPr="00CA38DC" w14:paraId="64EF93FE" w14:textId="77777777" w:rsidTr="002D04A8">
        <w:trPr>
          <w:trHeight w:hRule="exact" w:val="288"/>
          <w:jc w:val="center"/>
        </w:trPr>
        <w:tc>
          <w:tcPr>
            <w:tcW w:w="2426" w:type="dxa"/>
            <w:vAlign w:val="bottom"/>
          </w:tcPr>
          <w:p w14:paraId="116EA747" w14:textId="2D0BD10B" w:rsidR="003C2ACA" w:rsidRPr="00CA38DC" w:rsidRDefault="003C2ACA" w:rsidP="008835DF">
            <w:pPr>
              <w:ind w:right="-104"/>
              <w:rPr>
                <w:sz w:val="22"/>
                <w:szCs w:val="22"/>
              </w:rPr>
            </w:pPr>
            <w:r w:rsidRPr="00CA38DC">
              <w:rPr>
                <w:rFonts w:eastAsia="Times New Roman"/>
                <w:color w:val="000000"/>
                <w:sz w:val="22"/>
                <w:szCs w:val="22"/>
              </w:rPr>
              <w:t>El Salvador</w:t>
            </w:r>
          </w:p>
        </w:tc>
        <w:tc>
          <w:tcPr>
            <w:tcW w:w="1891" w:type="dxa"/>
            <w:vAlign w:val="bottom"/>
          </w:tcPr>
          <w:p w14:paraId="31AEED39" w14:textId="5DF5D298" w:rsidR="003C2ACA" w:rsidRPr="00CA38DC" w:rsidRDefault="003C2ACA" w:rsidP="003C2ACA">
            <w:pPr>
              <w:tabs>
                <w:tab w:val="left" w:pos="1950"/>
              </w:tabs>
              <w:ind w:right="1056"/>
              <w:jc w:val="right"/>
              <w:rPr>
                <w:rFonts w:eastAsia="Times New Roman"/>
                <w:color w:val="000000"/>
                <w:sz w:val="22"/>
                <w:szCs w:val="22"/>
              </w:rPr>
            </w:pPr>
            <w:r w:rsidRPr="00CA38DC">
              <w:rPr>
                <w:rFonts w:eastAsia="Times New Roman"/>
                <w:color w:val="000000"/>
                <w:sz w:val="22"/>
                <w:szCs w:val="22"/>
              </w:rPr>
              <w:t>2</w:t>
            </w:r>
          </w:p>
        </w:tc>
        <w:tc>
          <w:tcPr>
            <w:tcW w:w="2525" w:type="dxa"/>
            <w:vAlign w:val="bottom"/>
          </w:tcPr>
          <w:p w14:paraId="54AC5C48" w14:textId="789B08BB" w:rsidR="003C2ACA" w:rsidRPr="00CA38DC" w:rsidRDefault="003C2ACA" w:rsidP="008835DF">
            <w:pPr>
              <w:tabs>
                <w:tab w:val="left" w:pos="1950"/>
              </w:tabs>
              <w:ind w:right="1056"/>
              <w:rPr>
                <w:rFonts w:eastAsia="Times New Roman"/>
                <w:color w:val="000000"/>
                <w:sz w:val="22"/>
                <w:szCs w:val="22"/>
              </w:rPr>
            </w:pPr>
            <w:r w:rsidRPr="00CA38DC">
              <w:rPr>
                <w:rFonts w:eastAsia="Times New Roman"/>
                <w:color w:val="000000"/>
                <w:sz w:val="22"/>
                <w:szCs w:val="22"/>
              </w:rPr>
              <w:t>Slovakia</w:t>
            </w:r>
          </w:p>
        </w:tc>
        <w:tc>
          <w:tcPr>
            <w:tcW w:w="2156" w:type="dxa"/>
            <w:vAlign w:val="bottom"/>
          </w:tcPr>
          <w:p w14:paraId="5D140ACF" w14:textId="6EAAF63A" w:rsidR="003C2ACA" w:rsidRPr="00CA38DC" w:rsidRDefault="003C2ACA" w:rsidP="003C2ACA">
            <w:pPr>
              <w:tabs>
                <w:tab w:val="left" w:pos="1950"/>
              </w:tabs>
              <w:ind w:right="1056"/>
              <w:jc w:val="right"/>
              <w:rPr>
                <w:sz w:val="22"/>
                <w:szCs w:val="22"/>
              </w:rPr>
            </w:pPr>
            <w:r>
              <w:rPr>
                <w:rFonts w:eastAsia="Times New Roman"/>
                <w:color w:val="000000"/>
                <w:sz w:val="22"/>
                <w:szCs w:val="22"/>
              </w:rPr>
              <w:t>53</w:t>
            </w:r>
            <w:r w:rsidRPr="00CA38DC">
              <w:rPr>
                <w:rFonts w:eastAsia="Times New Roman"/>
                <w:color w:val="000000"/>
                <w:sz w:val="22"/>
                <w:szCs w:val="22"/>
              </w:rPr>
              <w:t>1</w:t>
            </w:r>
          </w:p>
        </w:tc>
      </w:tr>
      <w:tr w:rsidR="002D04A8" w:rsidRPr="00CA38DC" w14:paraId="0153D419" w14:textId="77777777" w:rsidTr="002D04A8">
        <w:trPr>
          <w:trHeight w:hRule="exact" w:val="288"/>
          <w:jc w:val="center"/>
        </w:trPr>
        <w:tc>
          <w:tcPr>
            <w:tcW w:w="2426" w:type="dxa"/>
            <w:vAlign w:val="bottom"/>
          </w:tcPr>
          <w:p w14:paraId="560D6D96" w14:textId="19DFA1F2" w:rsidR="003C2ACA" w:rsidRPr="00CA38DC" w:rsidRDefault="003C2ACA" w:rsidP="008835DF">
            <w:pPr>
              <w:ind w:right="-104"/>
              <w:rPr>
                <w:sz w:val="22"/>
                <w:szCs w:val="22"/>
              </w:rPr>
            </w:pPr>
            <w:r w:rsidRPr="00CA38DC">
              <w:rPr>
                <w:rFonts w:eastAsia="Times New Roman"/>
                <w:color w:val="000000"/>
                <w:sz w:val="22"/>
                <w:szCs w:val="22"/>
              </w:rPr>
              <w:t>Estonia</w:t>
            </w:r>
          </w:p>
        </w:tc>
        <w:tc>
          <w:tcPr>
            <w:tcW w:w="1891" w:type="dxa"/>
            <w:vAlign w:val="bottom"/>
          </w:tcPr>
          <w:p w14:paraId="14DA4608" w14:textId="2FB4F87F" w:rsidR="003C2ACA" w:rsidRPr="00CA38DC" w:rsidRDefault="003C2ACA" w:rsidP="003C2ACA">
            <w:pPr>
              <w:tabs>
                <w:tab w:val="left" w:pos="1950"/>
              </w:tabs>
              <w:ind w:right="1056"/>
              <w:jc w:val="right"/>
              <w:rPr>
                <w:rFonts w:eastAsia="Times New Roman"/>
                <w:color w:val="000000"/>
                <w:sz w:val="22"/>
                <w:szCs w:val="22"/>
              </w:rPr>
            </w:pPr>
            <w:r w:rsidRPr="00CA38DC">
              <w:rPr>
                <w:rFonts w:eastAsia="Times New Roman"/>
                <w:color w:val="000000"/>
                <w:sz w:val="22"/>
                <w:szCs w:val="22"/>
              </w:rPr>
              <w:t>1</w:t>
            </w:r>
            <w:r>
              <w:rPr>
                <w:rFonts w:eastAsia="Times New Roman"/>
                <w:color w:val="000000"/>
                <w:sz w:val="22"/>
                <w:szCs w:val="22"/>
              </w:rPr>
              <w:t>69</w:t>
            </w:r>
          </w:p>
        </w:tc>
        <w:tc>
          <w:tcPr>
            <w:tcW w:w="2525" w:type="dxa"/>
            <w:vAlign w:val="bottom"/>
          </w:tcPr>
          <w:p w14:paraId="5660829B" w14:textId="4CADE97E" w:rsidR="003C2ACA" w:rsidRPr="00CA38DC" w:rsidRDefault="003C2ACA" w:rsidP="008835DF">
            <w:pPr>
              <w:tabs>
                <w:tab w:val="left" w:pos="1950"/>
              </w:tabs>
              <w:ind w:right="1056"/>
              <w:rPr>
                <w:rFonts w:eastAsia="Times New Roman"/>
                <w:color w:val="000000"/>
                <w:sz w:val="22"/>
                <w:szCs w:val="22"/>
              </w:rPr>
            </w:pPr>
            <w:r w:rsidRPr="00CA38DC">
              <w:rPr>
                <w:rFonts w:eastAsia="Times New Roman"/>
                <w:color w:val="000000"/>
                <w:sz w:val="22"/>
                <w:szCs w:val="22"/>
              </w:rPr>
              <w:t>Slovenia</w:t>
            </w:r>
          </w:p>
        </w:tc>
        <w:tc>
          <w:tcPr>
            <w:tcW w:w="2156" w:type="dxa"/>
            <w:vAlign w:val="bottom"/>
          </w:tcPr>
          <w:p w14:paraId="5C31E610" w14:textId="46E359F2" w:rsidR="003C2ACA" w:rsidRPr="00CA38DC" w:rsidRDefault="003C2ACA" w:rsidP="003C2ACA">
            <w:pPr>
              <w:tabs>
                <w:tab w:val="left" w:pos="1950"/>
              </w:tabs>
              <w:ind w:right="1056"/>
              <w:jc w:val="right"/>
              <w:rPr>
                <w:sz w:val="22"/>
                <w:szCs w:val="22"/>
              </w:rPr>
            </w:pPr>
            <w:r>
              <w:rPr>
                <w:rFonts w:eastAsia="Times New Roman"/>
                <w:color w:val="000000"/>
                <w:sz w:val="22"/>
                <w:szCs w:val="22"/>
              </w:rPr>
              <w:t>226</w:t>
            </w:r>
          </w:p>
        </w:tc>
      </w:tr>
      <w:tr w:rsidR="002D04A8" w:rsidRPr="00CA38DC" w14:paraId="45C2B4CD" w14:textId="77777777" w:rsidTr="002D04A8">
        <w:trPr>
          <w:trHeight w:hRule="exact" w:val="288"/>
          <w:jc w:val="center"/>
        </w:trPr>
        <w:tc>
          <w:tcPr>
            <w:tcW w:w="2426" w:type="dxa"/>
            <w:vAlign w:val="bottom"/>
          </w:tcPr>
          <w:p w14:paraId="07FC8639" w14:textId="4DDBE5A4" w:rsidR="003C2ACA" w:rsidRPr="00CA38DC" w:rsidRDefault="003C2ACA" w:rsidP="008835DF">
            <w:pPr>
              <w:ind w:right="-104"/>
              <w:rPr>
                <w:sz w:val="22"/>
                <w:szCs w:val="22"/>
              </w:rPr>
            </w:pPr>
            <w:r w:rsidRPr="00CA38DC">
              <w:rPr>
                <w:rFonts w:eastAsia="Times New Roman"/>
                <w:color w:val="000000"/>
                <w:sz w:val="22"/>
                <w:szCs w:val="22"/>
              </w:rPr>
              <w:t>Finland</w:t>
            </w:r>
          </w:p>
        </w:tc>
        <w:tc>
          <w:tcPr>
            <w:tcW w:w="1891" w:type="dxa"/>
            <w:vAlign w:val="bottom"/>
          </w:tcPr>
          <w:p w14:paraId="3FEA934C" w14:textId="1AFE6438" w:rsidR="003C2ACA" w:rsidRPr="00CA38DC" w:rsidRDefault="003C2ACA" w:rsidP="003C2ACA">
            <w:pPr>
              <w:tabs>
                <w:tab w:val="left" w:pos="1950"/>
              </w:tabs>
              <w:ind w:right="1056"/>
              <w:jc w:val="right"/>
              <w:rPr>
                <w:rFonts w:eastAsia="Times New Roman"/>
                <w:color w:val="000000"/>
                <w:sz w:val="22"/>
                <w:szCs w:val="22"/>
              </w:rPr>
            </w:pPr>
            <w:r w:rsidRPr="00CA38DC">
              <w:rPr>
                <w:rFonts w:eastAsia="Times New Roman"/>
                <w:color w:val="000000"/>
                <w:sz w:val="22"/>
                <w:szCs w:val="22"/>
              </w:rPr>
              <w:t>4</w:t>
            </w:r>
            <w:r>
              <w:rPr>
                <w:rFonts w:eastAsia="Times New Roman"/>
                <w:color w:val="000000"/>
                <w:sz w:val="22"/>
                <w:szCs w:val="22"/>
              </w:rPr>
              <w:t>,</w:t>
            </w:r>
            <w:r w:rsidRPr="00CA38DC">
              <w:rPr>
                <w:rFonts w:eastAsia="Times New Roman"/>
                <w:color w:val="000000"/>
                <w:sz w:val="22"/>
                <w:szCs w:val="22"/>
              </w:rPr>
              <w:t>3</w:t>
            </w:r>
            <w:r>
              <w:rPr>
                <w:rFonts w:eastAsia="Times New Roman"/>
                <w:color w:val="000000"/>
                <w:sz w:val="22"/>
                <w:szCs w:val="22"/>
              </w:rPr>
              <w:t>60</w:t>
            </w:r>
          </w:p>
        </w:tc>
        <w:tc>
          <w:tcPr>
            <w:tcW w:w="2525" w:type="dxa"/>
            <w:vAlign w:val="bottom"/>
          </w:tcPr>
          <w:p w14:paraId="649D7A2E" w14:textId="2C5780E0" w:rsidR="003C2ACA" w:rsidRPr="00CA38DC" w:rsidRDefault="003C2ACA" w:rsidP="008835DF">
            <w:pPr>
              <w:tabs>
                <w:tab w:val="left" w:pos="1950"/>
              </w:tabs>
              <w:ind w:right="1056"/>
              <w:rPr>
                <w:rFonts w:eastAsia="Times New Roman"/>
                <w:color w:val="000000"/>
                <w:sz w:val="22"/>
                <w:szCs w:val="22"/>
              </w:rPr>
            </w:pPr>
            <w:r w:rsidRPr="00CA38DC">
              <w:rPr>
                <w:rFonts w:eastAsia="Times New Roman"/>
                <w:color w:val="000000"/>
                <w:sz w:val="22"/>
                <w:szCs w:val="22"/>
              </w:rPr>
              <w:t>Spain</w:t>
            </w:r>
          </w:p>
        </w:tc>
        <w:tc>
          <w:tcPr>
            <w:tcW w:w="2156" w:type="dxa"/>
            <w:vAlign w:val="bottom"/>
          </w:tcPr>
          <w:p w14:paraId="7DB5E297" w14:textId="33F7E49F" w:rsidR="003C2ACA" w:rsidRPr="00CA38DC" w:rsidRDefault="003C2ACA" w:rsidP="003C2ACA">
            <w:pPr>
              <w:tabs>
                <w:tab w:val="left" w:pos="1950"/>
              </w:tabs>
              <w:ind w:right="1056"/>
              <w:jc w:val="right"/>
              <w:rPr>
                <w:sz w:val="22"/>
                <w:szCs w:val="22"/>
              </w:rPr>
            </w:pPr>
            <w:r w:rsidRPr="00CA38DC">
              <w:rPr>
                <w:rFonts w:eastAsia="Times New Roman"/>
                <w:color w:val="000000"/>
                <w:sz w:val="22"/>
                <w:szCs w:val="22"/>
              </w:rPr>
              <w:t>15</w:t>
            </w:r>
            <w:r>
              <w:rPr>
                <w:rFonts w:eastAsia="Times New Roman"/>
                <w:color w:val="000000"/>
                <w:sz w:val="22"/>
                <w:szCs w:val="22"/>
              </w:rPr>
              <w:t>,658</w:t>
            </w:r>
          </w:p>
        </w:tc>
      </w:tr>
      <w:tr w:rsidR="002D04A8" w:rsidRPr="00CA38DC" w14:paraId="1A3AA6E9" w14:textId="77777777" w:rsidTr="002D04A8">
        <w:trPr>
          <w:trHeight w:hRule="exact" w:val="288"/>
          <w:jc w:val="center"/>
        </w:trPr>
        <w:tc>
          <w:tcPr>
            <w:tcW w:w="2426" w:type="dxa"/>
            <w:vAlign w:val="bottom"/>
          </w:tcPr>
          <w:p w14:paraId="599EFAF5" w14:textId="5B6D171A" w:rsidR="003C2ACA" w:rsidRPr="00CA38DC" w:rsidRDefault="003C2ACA" w:rsidP="008835DF">
            <w:pPr>
              <w:ind w:right="-104"/>
              <w:rPr>
                <w:sz w:val="22"/>
                <w:szCs w:val="22"/>
              </w:rPr>
            </w:pPr>
            <w:r w:rsidRPr="00CA38DC">
              <w:rPr>
                <w:rFonts w:eastAsia="Times New Roman"/>
                <w:color w:val="000000"/>
                <w:sz w:val="22"/>
                <w:szCs w:val="22"/>
              </w:rPr>
              <w:t>France</w:t>
            </w:r>
          </w:p>
        </w:tc>
        <w:tc>
          <w:tcPr>
            <w:tcW w:w="1891" w:type="dxa"/>
            <w:vAlign w:val="bottom"/>
          </w:tcPr>
          <w:p w14:paraId="1701FDB4" w14:textId="59E139D4" w:rsidR="003C2ACA" w:rsidRPr="00CA38DC" w:rsidRDefault="003C2ACA" w:rsidP="003C2ACA">
            <w:pPr>
              <w:tabs>
                <w:tab w:val="left" w:pos="1950"/>
              </w:tabs>
              <w:ind w:right="1056"/>
              <w:jc w:val="right"/>
              <w:rPr>
                <w:rFonts w:eastAsia="Times New Roman"/>
                <w:color w:val="000000"/>
                <w:sz w:val="22"/>
                <w:szCs w:val="22"/>
              </w:rPr>
            </w:pPr>
            <w:r>
              <w:rPr>
                <w:rFonts w:eastAsia="Times New Roman"/>
                <w:color w:val="000000"/>
                <w:sz w:val="22"/>
                <w:szCs w:val="22"/>
              </w:rPr>
              <w:t>30,906</w:t>
            </w:r>
          </w:p>
        </w:tc>
        <w:tc>
          <w:tcPr>
            <w:tcW w:w="2525" w:type="dxa"/>
            <w:vAlign w:val="bottom"/>
          </w:tcPr>
          <w:p w14:paraId="282D436A" w14:textId="30746F21" w:rsidR="003C2ACA" w:rsidRPr="00CA38DC" w:rsidRDefault="003C2ACA" w:rsidP="008835DF">
            <w:pPr>
              <w:tabs>
                <w:tab w:val="left" w:pos="1950"/>
              </w:tabs>
              <w:ind w:right="1056"/>
              <w:rPr>
                <w:rFonts w:eastAsia="Times New Roman"/>
                <w:color w:val="000000"/>
                <w:sz w:val="22"/>
                <w:szCs w:val="22"/>
              </w:rPr>
            </w:pPr>
            <w:r w:rsidRPr="00CA38DC">
              <w:rPr>
                <w:rFonts w:eastAsia="Times New Roman"/>
                <w:color w:val="000000"/>
                <w:sz w:val="22"/>
                <w:szCs w:val="22"/>
              </w:rPr>
              <w:t>Sweden</w:t>
            </w:r>
          </w:p>
        </w:tc>
        <w:tc>
          <w:tcPr>
            <w:tcW w:w="2156" w:type="dxa"/>
            <w:vAlign w:val="bottom"/>
          </w:tcPr>
          <w:p w14:paraId="430E64B7" w14:textId="3BF900C3" w:rsidR="003C2ACA" w:rsidRPr="00CA38DC" w:rsidRDefault="003C2ACA" w:rsidP="003C2ACA">
            <w:pPr>
              <w:tabs>
                <w:tab w:val="left" w:pos="1950"/>
              </w:tabs>
              <w:ind w:right="1056"/>
              <w:jc w:val="right"/>
              <w:rPr>
                <w:sz w:val="22"/>
                <w:szCs w:val="22"/>
              </w:rPr>
            </w:pPr>
            <w:r w:rsidRPr="00CA38DC">
              <w:rPr>
                <w:rFonts w:eastAsia="Times New Roman"/>
                <w:color w:val="000000"/>
                <w:sz w:val="22"/>
                <w:szCs w:val="22"/>
              </w:rPr>
              <w:t>5</w:t>
            </w:r>
            <w:r>
              <w:rPr>
                <w:rFonts w:eastAsia="Times New Roman"/>
                <w:color w:val="000000"/>
                <w:sz w:val="22"/>
                <w:szCs w:val="22"/>
              </w:rPr>
              <w:t>,705</w:t>
            </w:r>
          </w:p>
        </w:tc>
      </w:tr>
      <w:tr w:rsidR="002D04A8" w:rsidRPr="00CA38DC" w14:paraId="558CF144" w14:textId="77777777" w:rsidTr="002D04A8">
        <w:trPr>
          <w:trHeight w:hRule="exact" w:val="288"/>
          <w:jc w:val="center"/>
        </w:trPr>
        <w:tc>
          <w:tcPr>
            <w:tcW w:w="2426" w:type="dxa"/>
            <w:vAlign w:val="bottom"/>
          </w:tcPr>
          <w:p w14:paraId="5721F7BC" w14:textId="6900CA7D" w:rsidR="003C2ACA" w:rsidRPr="00CA38DC" w:rsidRDefault="003C2ACA" w:rsidP="008835DF">
            <w:pPr>
              <w:ind w:right="-104"/>
              <w:rPr>
                <w:sz w:val="22"/>
                <w:szCs w:val="22"/>
              </w:rPr>
            </w:pPr>
            <w:r w:rsidRPr="00CA38DC">
              <w:rPr>
                <w:rFonts w:eastAsia="Times New Roman"/>
                <w:color w:val="000000"/>
                <w:sz w:val="22"/>
                <w:szCs w:val="22"/>
              </w:rPr>
              <w:t>Germany</w:t>
            </w:r>
          </w:p>
        </w:tc>
        <w:tc>
          <w:tcPr>
            <w:tcW w:w="1891" w:type="dxa"/>
            <w:vAlign w:val="bottom"/>
          </w:tcPr>
          <w:p w14:paraId="26BD5FBA" w14:textId="5A9EFBAD" w:rsidR="003C2ACA" w:rsidRPr="00CA38DC" w:rsidRDefault="003C2ACA" w:rsidP="003C2ACA">
            <w:pPr>
              <w:tabs>
                <w:tab w:val="left" w:pos="1950"/>
              </w:tabs>
              <w:ind w:right="1056"/>
              <w:jc w:val="right"/>
              <w:rPr>
                <w:rFonts w:eastAsia="Times New Roman"/>
                <w:color w:val="000000"/>
                <w:sz w:val="22"/>
                <w:szCs w:val="22"/>
              </w:rPr>
            </w:pPr>
            <w:r w:rsidRPr="00CA38DC">
              <w:rPr>
                <w:rFonts w:eastAsia="Times New Roman"/>
                <w:color w:val="000000"/>
                <w:sz w:val="22"/>
                <w:szCs w:val="22"/>
              </w:rPr>
              <w:t>14</w:t>
            </w:r>
            <w:r>
              <w:rPr>
                <w:rFonts w:eastAsia="Times New Roman"/>
                <w:color w:val="000000"/>
                <w:sz w:val="22"/>
                <w:szCs w:val="22"/>
              </w:rPr>
              <w:t>,673</w:t>
            </w:r>
          </w:p>
        </w:tc>
        <w:tc>
          <w:tcPr>
            <w:tcW w:w="2525" w:type="dxa"/>
            <w:vAlign w:val="bottom"/>
          </w:tcPr>
          <w:p w14:paraId="281A758B" w14:textId="2029F697" w:rsidR="003C2ACA" w:rsidRPr="00CA38DC" w:rsidRDefault="003C2ACA" w:rsidP="008835DF">
            <w:pPr>
              <w:tabs>
                <w:tab w:val="left" w:pos="1950"/>
              </w:tabs>
              <w:ind w:right="1056"/>
              <w:rPr>
                <w:rFonts w:eastAsia="Times New Roman"/>
                <w:color w:val="000000"/>
                <w:sz w:val="22"/>
                <w:szCs w:val="22"/>
              </w:rPr>
            </w:pPr>
            <w:r w:rsidRPr="00CA38DC">
              <w:rPr>
                <w:rFonts w:eastAsia="Times New Roman"/>
                <w:color w:val="000000"/>
                <w:sz w:val="22"/>
                <w:szCs w:val="22"/>
              </w:rPr>
              <w:t>Switzerland</w:t>
            </w:r>
          </w:p>
        </w:tc>
        <w:tc>
          <w:tcPr>
            <w:tcW w:w="2156" w:type="dxa"/>
            <w:vAlign w:val="bottom"/>
          </w:tcPr>
          <w:p w14:paraId="4D29BEE3" w14:textId="26944A79" w:rsidR="003C2ACA" w:rsidRPr="00CA38DC" w:rsidRDefault="003C2ACA" w:rsidP="003C2ACA">
            <w:pPr>
              <w:tabs>
                <w:tab w:val="left" w:pos="1950"/>
              </w:tabs>
              <w:ind w:right="1056"/>
              <w:jc w:val="right"/>
              <w:rPr>
                <w:sz w:val="22"/>
                <w:szCs w:val="22"/>
              </w:rPr>
            </w:pPr>
            <w:r>
              <w:rPr>
                <w:rFonts w:eastAsia="Times New Roman"/>
                <w:color w:val="000000"/>
                <w:sz w:val="22"/>
                <w:szCs w:val="22"/>
              </w:rPr>
              <w:t>18</w:t>
            </w:r>
          </w:p>
        </w:tc>
      </w:tr>
      <w:tr w:rsidR="002D04A8" w:rsidRPr="00CA38DC" w14:paraId="2326D434" w14:textId="77777777" w:rsidTr="002D04A8">
        <w:trPr>
          <w:trHeight w:hRule="exact" w:val="288"/>
          <w:jc w:val="center"/>
        </w:trPr>
        <w:tc>
          <w:tcPr>
            <w:tcW w:w="2426" w:type="dxa"/>
            <w:vAlign w:val="bottom"/>
          </w:tcPr>
          <w:p w14:paraId="1B109FA3" w14:textId="67C95D3C" w:rsidR="003C2ACA" w:rsidRPr="00CA38DC" w:rsidRDefault="003C2ACA" w:rsidP="008835DF">
            <w:pPr>
              <w:ind w:right="-104"/>
              <w:rPr>
                <w:sz w:val="22"/>
                <w:szCs w:val="22"/>
              </w:rPr>
            </w:pPr>
            <w:r w:rsidRPr="00CA38DC">
              <w:rPr>
                <w:rFonts w:eastAsia="Times New Roman"/>
                <w:color w:val="000000"/>
                <w:sz w:val="22"/>
                <w:szCs w:val="22"/>
              </w:rPr>
              <w:t>Hungary</w:t>
            </w:r>
          </w:p>
        </w:tc>
        <w:tc>
          <w:tcPr>
            <w:tcW w:w="1891" w:type="dxa"/>
            <w:vAlign w:val="bottom"/>
          </w:tcPr>
          <w:p w14:paraId="1F053BC2" w14:textId="21F9CBD1" w:rsidR="003C2ACA" w:rsidRPr="00CA38DC" w:rsidRDefault="003C2ACA" w:rsidP="003C2ACA">
            <w:pPr>
              <w:tabs>
                <w:tab w:val="left" w:pos="1950"/>
              </w:tabs>
              <w:ind w:right="1056"/>
              <w:jc w:val="right"/>
              <w:rPr>
                <w:rFonts w:eastAsia="Times New Roman"/>
                <w:color w:val="000000"/>
                <w:sz w:val="22"/>
                <w:szCs w:val="22"/>
              </w:rPr>
            </w:pPr>
            <w:r w:rsidRPr="00CA38DC">
              <w:rPr>
                <w:rFonts w:eastAsia="Times New Roman"/>
                <w:color w:val="000000"/>
                <w:sz w:val="22"/>
                <w:szCs w:val="22"/>
              </w:rPr>
              <w:t>2</w:t>
            </w:r>
            <w:r>
              <w:rPr>
                <w:rFonts w:eastAsia="Times New Roman"/>
                <w:color w:val="000000"/>
                <w:sz w:val="22"/>
                <w:szCs w:val="22"/>
              </w:rPr>
              <w:t>,</w:t>
            </w:r>
            <w:r w:rsidRPr="00CA38DC">
              <w:rPr>
                <w:rFonts w:eastAsia="Times New Roman"/>
                <w:color w:val="000000"/>
                <w:sz w:val="22"/>
                <w:szCs w:val="22"/>
              </w:rPr>
              <w:t>2</w:t>
            </w:r>
            <w:r>
              <w:rPr>
                <w:rFonts w:eastAsia="Times New Roman"/>
                <w:color w:val="000000"/>
                <w:sz w:val="22"/>
                <w:szCs w:val="22"/>
              </w:rPr>
              <w:t>0</w:t>
            </w:r>
            <w:r w:rsidRPr="00CA38DC">
              <w:rPr>
                <w:rFonts w:eastAsia="Times New Roman"/>
                <w:color w:val="000000"/>
                <w:sz w:val="22"/>
                <w:szCs w:val="22"/>
              </w:rPr>
              <w:t>5</w:t>
            </w:r>
          </w:p>
        </w:tc>
        <w:tc>
          <w:tcPr>
            <w:tcW w:w="2525" w:type="dxa"/>
            <w:vAlign w:val="bottom"/>
          </w:tcPr>
          <w:p w14:paraId="4650C7EA" w14:textId="070CCBD3" w:rsidR="003C2ACA" w:rsidRPr="00CA38DC" w:rsidRDefault="003C2ACA" w:rsidP="008835DF">
            <w:pPr>
              <w:tabs>
                <w:tab w:val="left" w:pos="1950"/>
              </w:tabs>
              <w:ind w:right="1056"/>
              <w:rPr>
                <w:rFonts w:eastAsia="Times New Roman"/>
                <w:color w:val="000000"/>
                <w:sz w:val="22"/>
                <w:szCs w:val="22"/>
              </w:rPr>
            </w:pPr>
            <w:r w:rsidRPr="00CA38DC">
              <w:rPr>
                <w:rFonts w:eastAsia="Times New Roman"/>
                <w:color w:val="000000"/>
                <w:sz w:val="22"/>
                <w:szCs w:val="22"/>
              </w:rPr>
              <w:t>Taiwan</w:t>
            </w:r>
          </w:p>
        </w:tc>
        <w:tc>
          <w:tcPr>
            <w:tcW w:w="2156" w:type="dxa"/>
            <w:vAlign w:val="bottom"/>
          </w:tcPr>
          <w:p w14:paraId="67C8F333" w14:textId="10F4084A" w:rsidR="003C2ACA" w:rsidRPr="00CA38DC" w:rsidRDefault="003C2ACA" w:rsidP="003C2ACA">
            <w:pPr>
              <w:tabs>
                <w:tab w:val="left" w:pos="1950"/>
              </w:tabs>
              <w:ind w:right="1056"/>
              <w:jc w:val="right"/>
              <w:rPr>
                <w:sz w:val="22"/>
                <w:szCs w:val="22"/>
              </w:rPr>
            </w:pPr>
            <w:r w:rsidRPr="00CA38DC">
              <w:rPr>
                <w:rFonts w:eastAsia="Times New Roman"/>
                <w:color w:val="000000"/>
                <w:sz w:val="22"/>
                <w:szCs w:val="22"/>
              </w:rPr>
              <w:t>5</w:t>
            </w:r>
          </w:p>
        </w:tc>
      </w:tr>
      <w:tr w:rsidR="002D04A8" w:rsidRPr="00CA38DC" w14:paraId="71A08E95" w14:textId="77777777" w:rsidTr="002D04A8">
        <w:trPr>
          <w:trHeight w:hRule="exact" w:val="288"/>
          <w:jc w:val="center"/>
        </w:trPr>
        <w:tc>
          <w:tcPr>
            <w:tcW w:w="2426" w:type="dxa"/>
            <w:vAlign w:val="bottom"/>
          </w:tcPr>
          <w:p w14:paraId="23A79F37" w14:textId="3CB27D01" w:rsidR="003C2ACA" w:rsidRPr="00CA38DC" w:rsidRDefault="003C2ACA" w:rsidP="008835DF">
            <w:pPr>
              <w:ind w:right="-104"/>
              <w:rPr>
                <w:sz w:val="22"/>
                <w:szCs w:val="22"/>
              </w:rPr>
            </w:pPr>
            <w:r w:rsidRPr="00CA38DC">
              <w:rPr>
                <w:rFonts w:eastAsia="Times New Roman"/>
                <w:color w:val="000000"/>
                <w:sz w:val="22"/>
                <w:szCs w:val="22"/>
              </w:rPr>
              <w:t>Iceland</w:t>
            </w:r>
          </w:p>
        </w:tc>
        <w:tc>
          <w:tcPr>
            <w:tcW w:w="1891" w:type="dxa"/>
            <w:vAlign w:val="bottom"/>
          </w:tcPr>
          <w:p w14:paraId="6CB8BE9B" w14:textId="21340439" w:rsidR="003C2ACA" w:rsidRPr="00CA38DC" w:rsidRDefault="003C2ACA" w:rsidP="003C2ACA">
            <w:pPr>
              <w:tabs>
                <w:tab w:val="left" w:pos="1950"/>
              </w:tabs>
              <w:ind w:right="1056"/>
              <w:jc w:val="right"/>
              <w:rPr>
                <w:rFonts w:eastAsia="Times New Roman"/>
                <w:color w:val="000000"/>
                <w:sz w:val="22"/>
                <w:szCs w:val="22"/>
              </w:rPr>
            </w:pPr>
            <w:r w:rsidRPr="00CA38DC">
              <w:rPr>
                <w:rFonts w:eastAsia="Times New Roman"/>
                <w:color w:val="000000"/>
                <w:sz w:val="22"/>
                <w:szCs w:val="22"/>
              </w:rPr>
              <w:t>9</w:t>
            </w:r>
          </w:p>
        </w:tc>
        <w:tc>
          <w:tcPr>
            <w:tcW w:w="2525" w:type="dxa"/>
            <w:vAlign w:val="bottom"/>
          </w:tcPr>
          <w:p w14:paraId="69975847" w14:textId="7CEEBFEB" w:rsidR="003C2ACA" w:rsidRPr="00CA38DC" w:rsidRDefault="003C2ACA" w:rsidP="008835DF">
            <w:pPr>
              <w:tabs>
                <w:tab w:val="left" w:pos="1950"/>
              </w:tabs>
              <w:ind w:right="1056"/>
              <w:rPr>
                <w:rFonts w:eastAsia="Times New Roman"/>
                <w:color w:val="000000"/>
                <w:sz w:val="22"/>
                <w:szCs w:val="22"/>
              </w:rPr>
            </w:pPr>
            <w:r>
              <w:rPr>
                <w:rFonts w:eastAsia="Times New Roman"/>
                <w:color w:val="000000"/>
                <w:sz w:val="22"/>
                <w:szCs w:val="22"/>
              </w:rPr>
              <w:t>Turkey</w:t>
            </w:r>
          </w:p>
        </w:tc>
        <w:tc>
          <w:tcPr>
            <w:tcW w:w="2156" w:type="dxa"/>
            <w:vAlign w:val="bottom"/>
          </w:tcPr>
          <w:p w14:paraId="7093D007" w14:textId="6E458DAF" w:rsidR="003C2ACA" w:rsidRPr="00CA38DC" w:rsidRDefault="003C2ACA" w:rsidP="003C2ACA">
            <w:pPr>
              <w:tabs>
                <w:tab w:val="left" w:pos="1950"/>
              </w:tabs>
              <w:ind w:right="1056"/>
              <w:jc w:val="right"/>
              <w:rPr>
                <w:sz w:val="22"/>
                <w:szCs w:val="22"/>
              </w:rPr>
            </w:pPr>
            <w:r>
              <w:rPr>
                <w:rFonts w:eastAsia="Times New Roman"/>
                <w:color w:val="000000"/>
                <w:sz w:val="22"/>
                <w:szCs w:val="22"/>
              </w:rPr>
              <w:t>1</w:t>
            </w:r>
          </w:p>
        </w:tc>
      </w:tr>
      <w:tr w:rsidR="002D04A8" w:rsidRPr="00CA38DC" w14:paraId="1B6B00AA" w14:textId="77777777" w:rsidTr="002D04A8">
        <w:trPr>
          <w:trHeight w:hRule="exact" w:val="288"/>
          <w:jc w:val="center"/>
        </w:trPr>
        <w:tc>
          <w:tcPr>
            <w:tcW w:w="2426" w:type="dxa"/>
            <w:vAlign w:val="bottom"/>
          </w:tcPr>
          <w:p w14:paraId="378AD5A7" w14:textId="0D54CBE9" w:rsidR="003C2ACA" w:rsidRPr="00CA38DC" w:rsidRDefault="003C2ACA" w:rsidP="008835DF">
            <w:pPr>
              <w:ind w:right="-104"/>
              <w:rPr>
                <w:sz w:val="22"/>
                <w:szCs w:val="22"/>
              </w:rPr>
            </w:pPr>
            <w:r w:rsidRPr="00CA38DC">
              <w:rPr>
                <w:rFonts w:eastAsia="Times New Roman"/>
                <w:color w:val="000000"/>
                <w:sz w:val="22"/>
                <w:szCs w:val="22"/>
              </w:rPr>
              <w:t>India</w:t>
            </w:r>
          </w:p>
        </w:tc>
        <w:tc>
          <w:tcPr>
            <w:tcW w:w="1891" w:type="dxa"/>
            <w:vAlign w:val="bottom"/>
          </w:tcPr>
          <w:p w14:paraId="5B47129D" w14:textId="7D596164" w:rsidR="003C2ACA" w:rsidRPr="00CA38DC" w:rsidRDefault="003C2ACA" w:rsidP="003C2ACA">
            <w:pPr>
              <w:tabs>
                <w:tab w:val="left" w:pos="1950"/>
              </w:tabs>
              <w:ind w:right="1056"/>
              <w:jc w:val="right"/>
              <w:rPr>
                <w:rFonts w:eastAsia="Times New Roman"/>
                <w:color w:val="000000"/>
                <w:sz w:val="22"/>
                <w:szCs w:val="22"/>
              </w:rPr>
            </w:pPr>
            <w:r>
              <w:rPr>
                <w:rFonts w:eastAsia="Times New Roman"/>
                <w:color w:val="000000"/>
                <w:sz w:val="22"/>
                <w:szCs w:val="22"/>
              </w:rPr>
              <w:t>203</w:t>
            </w:r>
          </w:p>
        </w:tc>
        <w:tc>
          <w:tcPr>
            <w:tcW w:w="2525" w:type="dxa"/>
            <w:vAlign w:val="bottom"/>
          </w:tcPr>
          <w:p w14:paraId="3EAAEF9F" w14:textId="68FA2C0B" w:rsidR="003C2ACA" w:rsidRPr="00CA38DC" w:rsidRDefault="003C2ACA" w:rsidP="008835DF">
            <w:pPr>
              <w:tabs>
                <w:tab w:val="left" w:pos="1950"/>
              </w:tabs>
              <w:ind w:right="1056"/>
              <w:rPr>
                <w:rFonts w:eastAsia="Times New Roman"/>
                <w:color w:val="000000"/>
                <w:sz w:val="22"/>
                <w:szCs w:val="22"/>
              </w:rPr>
            </w:pPr>
            <w:r w:rsidRPr="00CA38DC">
              <w:rPr>
                <w:rFonts w:eastAsia="Times New Roman"/>
                <w:color w:val="000000"/>
                <w:sz w:val="22"/>
                <w:szCs w:val="22"/>
              </w:rPr>
              <w:t>Ukraine</w:t>
            </w:r>
          </w:p>
        </w:tc>
        <w:tc>
          <w:tcPr>
            <w:tcW w:w="2156" w:type="dxa"/>
            <w:vAlign w:val="bottom"/>
          </w:tcPr>
          <w:p w14:paraId="64333451" w14:textId="60787F6E" w:rsidR="003C2ACA" w:rsidRPr="00CA38DC" w:rsidRDefault="003C2ACA" w:rsidP="003C2ACA">
            <w:pPr>
              <w:tabs>
                <w:tab w:val="left" w:pos="1950"/>
              </w:tabs>
              <w:ind w:right="1056"/>
              <w:jc w:val="right"/>
              <w:rPr>
                <w:sz w:val="22"/>
                <w:szCs w:val="22"/>
              </w:rPr>
            </w:pPr>
            <w:r>
              <w:rPr>
                <w:rFonts w:eastAsia="Times New Roman"/>
                <w:color w:val="000000"/>
                <w:sz w:val="22"/>
                <w:szCs w:val="22"/>
              </w:rPr>
              <w:t>101</w:t>
            </w:r>
          </w:p>
        </w:tc>
      </w:tr>
      <w:tr w:rsidR="002D04A8" w:rsidRPr="00CA38DC" w14:paraId="203406E4" w14:textId="77777777" w:rsidTr="002D04A8">
        <w:trPr>
          <w:trHeight w:hRule="exact" w:val="288"/>
          <w:jc w:val="center"/>
        </w:trPr>
        <w:tc>
          <w:tcPr>
            <w:tcW w:w="2426" w:type="dxa"/>
            <w:vAlign w:val="bottom"/>
          </w:tcPr>
          <w:p w14:paraId="7305292F" w14:textId="169CD966" w:rsidR="003C2ACA" w:rsidRPr="00CA38DC" w:rsidRDefault="003C2ACA" w:rsidP="008835DF">
            <w:pPr>
              <w:ind w:right="-104"/>
              <w:rPr>
                <w:sz w:val="22"/>
                <w:szCs w:val="22"/>
              </w:rPr>
            </w:pPr>
            <w:r w:rsidRPr="00CA38DC">
              <w:rPr>
                <w:rFonts w:eastAsia="Times New Roman"/>
                <w:color w:val="000000"/>
                <w:sz w:val="22"/>
                <w:szCs w:val="22"/>
              </w:rPr>
              <w:t>Ireland</w:t>
            </w:r>
          </w:p>
        </w:tc>
        <w:tc>
          <w:tcPr>
            <w:tcW w:w="1891" w:type="dxa"/>
            <w:vAlign w:val="bottom"/>
          </w:tcPr>
          <w:p w14:paraId="7154672B" w14:textId="09BD8C36" w:rsidR="003C2ACA" w:rsidRPr="00CA38DC" w:rsidRDefault="003C2ACA" w:rsidP="003C2ACA">
            <w:pPr>
              <w:tabs>
                <w:tab w:val="left" w:pos="1950"/>
              </w:tabs>
              <w:ind w:right="1056"/>
              <w:jc w:val="right"/>
              <w:rPr>
                <w:rFonts w:eastAsia="Times New Roman"/>
                <w:color w:val="000000"/>
                <w:sz w:val="22"/>
                <w:szCs w:val="22"/>
              </w:rPr>
            </w:pPr>
            <w:r w:rsidRPr="00CA38DC">
              <w:rPr>
                <w:rFonts w:eastAsia="Times New Roman"/>
                <w:color w:val="000000"/>
                <w:sz w:val="22"/>
                <w:szCs w:val="22"/>
              </w:rPr>
              <w:t>1</w:t>
            </w:r>
            <w:r>
              <w:rPr>
                <w:rFonts w:eastAsia="Times New Roman"/>
                <w:color w:val="000000"/>
                <w:sz w:val="22"/>
                <w:szCs w:val="22"/>
              </w:rPr>
              <w:t>,</w:t>
            </w:r>
            <w:r w:rsidRPr="00CA38DC">
              <w:rPr>
                <w:rFonts w:eastAsia="Times New Roman"/>
                <w:color w:val="000000"/>
                <w:sz w:val="22"/>
                <w:szCs w:val="22"/>
              </w:rPr>
              <w:t>3</w:t>
            </w:r>
            <w:r>
              <w:rPr>
                <w:rFonts w:eastAsia="Times New Roman"/>
                <w:color w:val="000000"/>
                <w:sz w:val="22"/>
                <w:szCs w:val="22"/>
              </w:rPr>
              <w:t>75</w:t>
            </w:r>
          </w:p>
        </w:tc>
        <w:tc>
          <w:tcPr>
            <w:tcW w:w="2525" w:type="dxa"/>
            <w:vAlign w:val="bottom"/>
          </w:tcPr>
          <w:p w14:paraId="21E15934" w14:textId="47B8A0A6" w:rsidR="003C2ACA" w:rsidRPr="00CA38DC" w:rsidRDefault="003C2ACA" w:rsidP="00EF1980">
            <w:pPr>
              <w:rPr>
                <w:rFonts w:eastAsia="Times New Roman"/>
                <w:color w:val="000000"/>
                <w:sz w:val="22"/>
                <w:szCs w:val="22"/>
              </w:rPr>
            </w:pPr>
            <w:r w:rsidRPr="00CA38DC">
              <w:rPr>
                <w:rFonts w:eastAsia="Times New Roman"/>
                <w:color w:val="000000"/>
                <w:sz w:val="22"/>
                <w:szCs w:val="22"/>
              </w:rPr>
              <w:t>United Kingdom</w:t>
            </w:r>
          </w:p>
        </w:tc>
        <w:tc>
          <w:tcPr>
            <w:tcW w:w="2156" w:type="dxa"/>
            <w:vAlign w:val="bottom"/>
          </w:tcPr>
          <w:p w14:paraId="2809EF74" w14:textId="3C784DA2" w:rsidR="003C2ACA" w:rsidRPr="00CA38DC" w:rsidRDefault="003C2ACA" w:rsidP="003C2ACA">
            <w:pPr>
              <w:tabs>
                <w:tab w:val="left" w:pos="1950"/>
              </w:tabs>
              <w:ind w:right="1056"/>
              <w:jc w:val="right"/>
              <w:rPr>
                <w:sz w:val="22"/>
                <w:szCs w:val="22"/>
              </w:rPr>
            </w:pPr>
            <w:r>
              <w:rPr>
                <w:rFonts w:eastAsia="Times New Roman"/>
                <w:color w:val="000000"/>
                <w:sz w:val="22"/>
                <w:szCs w:val="22"/>
              </w:rPr>
              <w:t>21,392</w:t>
            </w:r>
          </w:p>
        </w:tc>
      </w:tr>
      <w:tr w:rsidR="002D04A8" w:rsidRPr="00CA38DC" w14:paraId="5B94C89A" w14:textId="77777777" w:rsidTr="002D04A8">
        <w:trPr>
          <w:trHeight w:hRule="exact" w:val="288"/>
          <w:jc w:val="center"/>
        </w:trPr>
        <w:tc>
          <w:tcPr>
            <w:tcW w:w="2426" w:type="dxa"/>
            <w:vAlign w:val="bottom"/>
          </w:tcPr>
          <w:p w14:paraId="06F912D4" w14:textId="0FECA1A2" w:rsidR="003C2ACA" w:rsidRPr="00CA38DC" w:rsidRDefault="003C2ACA" w:rsidP="008835DF">
            <w:pPr>
              <w:ind w:right="-104"/>
              <w:rPr>
                <w:sz w:val="22"/>
                <w:szCs w:val="22"/>
              </w:rPr>
            </w:pPr>
            <w:r w:rsidRPr="00CA38DC">
              <w:rPr>
                <w:rFonts w:eastAsia="Times New Roman"/>
                <w:color w:val="000000"/>
                <w:sz w:val="22"/>
                <w:szCs w:val="22"/>
              </w:rPr>
              <w:t>Italy</w:t>
            </w:r>
          </w:p>
        </w:tc>
        <w:tc>
          <w:tcPr>
            <w:tcW w:w="1891" w:type="dxa"/>
            <w:vAlign w:val="bottom"/>
          </w:tcPr>
          <w:p w14:paraId="795230D0" w14:textId="6E47078E" w:rsidR="003C2ACA" w:rsidRPr="00CA38DC" w:rsidRDefault="003C2ACA" w:rsidP="003C2ACA">
            <w:pPr>
              <w:tabs>
                <w:tab w:val="left" w:pos="1950"/>
              </w:tabs>
              <w:ind w:right="1056"/>
              <w:jc w:val="right"/>
              <w:rPr>
                <w:rFonts w:eastAsia="Times New Roman"/>
                <w:color w:val="000000"/>
                <w:sz w:val="22"/>
                <w:szCs w:val="22"/>
              </w:rPr>
            </w:pPr>
            <w:r w:rsidRPr="00CA38DC">
              <w:rPr>
                <w:rFonts w:eastAsia="Times New Roman"/>
                <w:color w:val="000000"/>
                <w:sz w:val="22"/>
                <w:szCs w:val="22"/>
              </w:rPr>
              <w:t>11</w:t>
            </w:r>
            <w:r>
              <w:rPr>
                <w:rFonts w:eastAsia="Times New Roman"/>
                <w:color w:val="000000"/>
                <w:sz w:val="22"/>
                <w:szCs w:val="22"/>
              </w:rPr>
              <w:t>,936</w:t>
            </w:r>
          </w:p>
        </w:tc>
        <w:tc>
          <w:tcPr>
            <w:tcW w:w="2525" w:type="dxa"/>
            <w:vAlign w:val="bottom"/>
          </w:tcPr>
          <w:p w14:paraId="5FC72212" w14:textId="33BEBEF7" w:rsidR="003C2ACA" w:rsidRPr="00CA38DC" w:rsidRDefault="003C2ACA" w:rsidP="008835DF">
            <w:pPr>
              <w:tabs>
                <w:tab w:val="left" w:pos="1950"/>
              </w:tabs>
              <w:ind w:right="1056"/>
              <w:rPr>
                <w:rFonts w:eastAsia="Times New Roman"/>
                <w:color w:val="000000"/>
                <w:sz w:val="22"/>
                <w:szCs w:val="22"/>
              </w:rPr>
            </w:pPr>
            <w:r w:rsidRPr="00CA38DC">
              <w:rPr>
                <w:rFonts w:eastAsia="Times New Roman"/>
                <w:color w:val="000000"/>
                <w:sz w:val="22"/>
                <w:szCs w:val="22"/>
              </w:rPr>
              <w:t>Uruguay</w:t>
            </w:r>
          </w:p>
        </w:tc>
        <w:tc>
          <w:tcPr>
            <w:tcW w:w="2156" w:type="dxa"/>
            <w:vAlign w:val="bottom"/>
          </w:tcPr>
          <w:p w14:paraId="1C53F2C2" w14:textId="37B0DD6D" w:rsidR="003C2ACA" w:rsidRPr="00CA38DC" w:rsidRDefault="003C2ACA" w:rsidP="003C2ACA">
            <w:pPr>
              <w:tabs>
                <w:tab w:val="left" w:pos="1950"/>
              </w:tabs>
              <w:ind w:right="1056"/>
              <w:jc w:val="right"/>
              <w:rPr>
                <w:sz w:val="22"/>
                <w:szCs w:val="22"/>
              </w:rPr>
            </w:pPr>
            <w:r w:rsidRPr="00CA38DC">
              <w:rPr>
                <w:rFonts w:eastAsia="Times New Roman"/>
                <w:color w:val="000000"/>
                <w:sz w:val="22"/>
                <w:szCs w:val="22"/>
              </w:rPr>
              <w:t>2</w:t>
            </w:r>
          </w:p>
        </w:tc>
      </w:tr>
      <w:tr w:rsidR="002D04A8" w:rsidRPr="00CA38DC" w14:paraId="6EABCE7D" w14:textId="77777777" w:rsidTr="002D04A8">
        <w:trPr>
          <w:trHeight w:hRule="exact" w:val="288"/>
          <w:jc w:val="center"/>
        </w:trPr>
        <w:tc>
          <w:tcPr>
            <w:tcW w:w="2426" w:type="dxa"/>
            <w:tcBorders>
              <w:top w:val="single" w:sz="4" w:space="0" w:color="auto"/>
            </w:tcBorders>
            <w:vAlign w:val="bottom"/>
          </w:tcPr>
          <w:p w14:paraId="37B8FAA7" w14:textId="63AADEA3" w:rsidR="003C2ACA" w:rsidRPr="00CA38DC" w:rsidRDefault="003C2ACA" w:rsidP="008835DF">
            <w:pPr>
              <w:ind w:right="-104"/>
              <w:rPr>
                <w:sz w:val="22"/>
                <w:szCs w:val="22"/>
              </w:rPr>
            </w:pPr>
            <w:r w:rsidRPr="00CA38DC">
              <w:rPr>
                <w:rFonts w:eastAsia="Times New Roman"/>
                <w:color w:val="000000"/>
                <w:sz w:val="22"/>
                <w:szCs w:val="22"/>
              </w:rPr>
              <w:t>Total</w:t>
            </w:r>
          </w:p>
        </w:tc>
        <w:tc>
          <w:tcPr>
            <w:tcW w:w="1891" w:type="dxa"/>
            <w:tcBorders>
              <w:top w:val="single" w:sz="4" w:space="0" w:color="auto"/>
            </w:tcBorders>
            <w:vAlign w:val="bottom"/>
          </w:tcPr>
          <w:p w14:paraId="6C34ACA0" w14:textId="172B7452" w:rsidR="003C2ACA" w:rsidRPr="00CA38DC" w:rsidRDefault="003C2ACA" w:rsidP="003C2ACA">
            <w:pPr>
              <w:tabs>
                <w:tab w:val="left" w:pos="1950"/>
              </w:tabs>
              <w:jc w:val="center"/>
              <w:rPr>
                <w:rFonts w:eastAsia="Times New Roman"/>
                <w:color w:val="000000"/>
                <w:sz w:val="22"/>
                <w:szCs w:val="22"/>
              </w:rPr>
            </w:pPr>
          </w:p>
        </w:tc>
        <w:tc>
          <w:tcPr>
            <w:tcW w:w="2525" w:type="dxa"/>
            <w:tcBorders>
              <w:top w:val="single" w:sz="4" w:space="0" w:color="auto"/>
            </w:tcBorders>
            <w:vAlign w:val="bottom"/>
          </w:tcPr>
          <w:p w14:paraId="349BFB4E" w14:textId="791A1978" w:rsidR="003C2ACA" w:rsidRPr="00CA38DC" w:rsidRDefault="003C2ACA" w:rsidP="003C2ACA">
            <w:pPr>
              <w:tabs>
                <w:tab w:val="left" w:pos="1950"/>
              </w:tabs>
              <w:ind w:right="1076"/>
              <w:jc w:val="right"/>
              <w:rPr>
                <w:rFonts w:eastAsia="Times New Roman"/>
                <w:color w:val="000000"/>
                <w:sz w:val="22"/>
                <w:szCs w:val="22"/>
              </w:rPr>
            </w:pPr>
          </w:p>
        </w:tc>
        <w:tc>
          <w:tcPr>
            <w:tcW w:w="2156" w:type="dxa"/>
            <w:tcBorders>
              <w:top w:val="single" w:sz="4" w:space="0" w:color="auto"/>
            </w:tcBorders>
            <w:vAlign w:val="bottom"/>
          </w:tcPr>
          <w:p w14:paraId="4E74B760" w14:textId="35F9CC45" w:rsidR="003C2ACA" w:rsidRPr="00CA38DC" w:rsidRDefault="003C2ACA" w:rsidP="003C2ACA">
            <w:pPr>
              <w:tabs>
                <w:tab w:val="left" w:pos="1950"/>
              </w:tabs>
              <w:ind w:right="1030"/>
              <w:jc w:val="right"/>
              <w:rPr>
                <w:sz w:val="22"/>
                <w:szCs w:val="22"/>
              </w:rPr>
            </w:pPr>
            <w:r w:rsidRPr="00CA38DC">
              <w:rPr>
                <w:rFonts w:eastAsia="Times New Roman"/>
                <w:color w:val="000000"/>
                <w:sz w:val="22"/>
                <w:szCs w:val="22"/>
              </w:rPr>
              <w:t>1</w:t>
            </w:r>
            <w:r w:rsidR="00B73B39">
              <w:rPr>
                <w:rFonts w:eastAsia="Times New Roman"/>
                <w:color w:val="000000"/>
                <w:sz w:val="22"/>
                <w:szCs w:val="22"/>
              </w:rPr>
              <w:t>51,083</w:t>
            </w:r>
          </w:p>
        </w:tc>
      </w:tr>
    </w:tbl>
    <w:p w14:paraId="616F213F" w14:textId="77777777" w:rsidR="00C212E4" w:rsidRDefault="00C212E4">
      <w:pPr>
        <w:rPr>
          <w:sz w:val="22"/>
          <w:szCs w:val="22"/>
        </w:rPr>
      </w:pPr>
    </w:p>
    <w:p w14:paraId="11B1DDD8" w14:textId="05AF1E51" w:rsidR="008133A0" w:rsidRDefault="003F625B" w:rsidP="00C20136">
      <w:pPr>
        <w:jc w:val="both"/>
      </w:pPr>
      <w:r>
        <w:rPr>
          <w:sz w:val="22"/>
          <w:szCs w:val="22"/>
        </w:rPr>
        <w:t xml:space="preserve">Table 2 presents descriptive information for the sample used to </w:t>
      </w:r>
      <w:r w:rsidR="00D40129">
        <w:rPr>
          <w:sz w:val="22"/>
          <w:szCs w:val="22"/>
        </w:rPr>
        <w:t xml:space="preserve">estimate equation (1) and </w:t>
      </w:r>
      <w:r w:rsidR="00D40129">
        <w:rPr>
          <w:i/>
          <w:sz w:val="22"/>
          <w:szCs w:val="22"/>
        </w:rPr>
        <w:t>G</w:t>
      </w:r>
      <w:r>
        <w:rPr>
          <w:sz w:val="22"/>
          <w:szCs w:val="22"/>
        </w:rPr>
        <w:t xml:space="preserve">. Panel </w:t>
      </w:r>
      <w:r w:rsidR="00C212E4">
        <w:rPr>
          <w:sz w:val="22"/>
          <w:szCs w:val="22"/>
        </w:rPr>
        <w:t>B</w:t>
      </w:r>
      <w:r>
        <w:rPr>
          <w:sz w:val="22"/>
          <w:szCs w:val="22"/>
        </w:rPr>
        <w:t xml:space="preserve"> </w:t>
      </w:r>
      <w:r w:rsidR="00C212E4">
        <w:rPr>
          <w:sz w:val="22"/>
          <w:szCs w:val="22"/>
        </w:rPr>
        <w:t xml:space="preserve">presents the number of affiliate-year observations used to estimate equation (1) and </w:t>
      </w:r>
      <w:r w:rsidR="00C212E4">
        <w:rPr>
          <w:i/>
          <w:sz w:val="22"/>
          <w:szCs w:val="22"/>
        </w:rPr>
        <w:t xml:space="preserve">G </w:t>
      </w:r>
      <w:r w:rsidR="00C212E4">
        <w:rPr>
          <w:sz w:val="22"/>
          <w:szCs w:val="22"/>
        </w:rPr>
        <w:t>by affiliate country</w:t>
      </w:r>
      <w:r>
        <w:rPr>
          <w:sz w:val="22"/>
          <w:szCs w:val="22"/>
        </w:rPr>
        <w:t xml:space="preserve">. </w:t>
      </w:r>
      <w:r w:rsidR="008A7855" w:rsidRPr="001071B7">
        <w:rPr>
          <w:sz w:val="22"/>
          <w:szCs w:val="22"/>
        </w:rPr>
        <w:t xml:space="preserve">The affiliate-year sample includes </w:t>
      </w:r>
      <w:r w:rsidR="008A7855">
        <w:rPr>
          <w:sz w:val="22"/>
          <w:szCs w:val="22"/>
        </w:rPr>
        <w:t>151,083</w:t>
      </w:r>
      <w:r w:rsidR="008A7855" w:rsidRPr="001071B7">
        <w:rPr>
          <w:sz w:val="22"/>
          <w:szCs w:val="22"/>
        </w:rPr>
        <w:t xml:space="preserve"> affiliate-years from </w:t>
      </w:r>
      <w:proofErr w:type="spellStart"/>
      <w:r w:rsidR="008A7855" w:rsidRPr="001071B7">
        <w:rPr>
          <w:sz w:val="22"/>
          <w:szCs w:val="22"/>
        </w:rPr>
        <w:t>BvD’s</w:t>
      </w:r>
      <w:proofErr w:type="spellEnd"/>
      <w:r w:rsidR="008A7855" w:rsidRPr="001071B7">
        <w:rPr>
          <w:sz w:val="22"/>
          <w:szCs w:val="22"/>
        </w:rPr>
        <w:t xml:space="preserve"> Osiris database </w:t>
      </w:r>
      <w:r w:rsidR="008A7855" w:rsidRPr="00421E02">
        <w:rPr>
          <w:sz w:val="22"/>
          <w:szCs w:val="22"/>
        </w:rPr>
        <w:t xml:space="preserve">with at least two affiliates in different jurisdictions </w:t>
      </w:r>
      <w:r w:rsidR="008A7855" w:rsidRPr="001071B7">
        <w:rPr>
          <w:sz w:val="22"/>
          <w:szCs w:val="22"/>
        </w:rPr>
        <w:t xml:space="preserve">and non-missing EBIT 2002 to 2014, representing </w:t>
      </w:r>
      <w:r w:rsidR="008A7855">
        <w:rPr>
          <w:sz w:val="22"/>
          <w:szCs w:val="22"/>
        </w:rPr>
        <w:t>5,610</w:t>
      </w:r>
      <w:r w:rsidR="008A7855" w:rsidRPr="001071B7">
        <w:rPr>
          <w:sz w:val="22"/>
          <w:szCs w:val="22"/>
        </w:rPr>
        <w:t xml:space="preserve"> unique controlled </w:t>
      </w:r>
      <w:r w:rsidR="008A7855">
        <w:rPr>
          <w:sz w:val="22"/>
          <w:szCs w:val="22"/>
        </w:rPr>
        <w:t>firm</w:t>
      </w:r>
      <w:r w:rsidR="008A7855" w:rsidRPr="001071B7">
        <w:rPr>
          <w:sz w:val="22"/>
          <w:szCs w:val="22"/>
        </w:rPr>
        <w:t xml:space="preserve">s. </w:t>
      </w:r>
      <w:r w:rsidR="008133A0">
        <w:br w:type="page"/>
      </w:r>
    </w:p>
    <w:p w14:paraId="60E55DFB" w14:textId="5FA457FE" w:rsidR="00EB0C49" w:rsidRPr="00330A3C" w:rsidRDefault="00F032C8" w:rsidP="00330A3C">
      <w:pPr>
        <w:outlineLvl w:val="0"/>
        <w:rPr>
          <w:i/>
        </w:rPr>
      </w:pPr>
      <w:r>
        <w:lastRenderedPageBreak/>
        <w:t>Table 3: Results of E</w:t>
      </w:r>
      <w:r w:rsidR="00EB0C49">
        <w:t xml:space="preserve">stimating </w:t>
      </w:r>
      <w:r w:rsidR="00EB0C49">
        <w:rPr>
          <w:i/>
        </w:rPr>
        <w:t>G</w:t>
      </w:r>
    </w:p>
    <w:p w14:paraId="5A534B56" w14:textId="3B0D942F" w:rsidR="00EB0C49" w:rsidRDefault="00EB0C49" w:rsidP="008E2FB5">
      <w:pPr>
        <w:outlineLvl w:val="0"/>
      </w:pPr>
      <w:r>
        <w:t xml:space="preserve">Panel A: Estimation </w:t>
      </w:r>
      <w:r w:rsidR="00F16D8C">
        <w:t>R</w:t>
      </w:r>
      <w:r>
        <w:t xml:space="preserve">esults </w:t>
      </w:r>
    </w:p>
    <w:tbl>
      <w:tblPr>
        <w:tblStyle w:val="TableGrid"/>
        <w:tblW w:w="938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1176"/>
        <w:gridCol w:w="30"/>
        <w:gridCol w:w="1305"/>
        <w:gridCol w:w="30"/>
        <w:gridCol w:w="1294"/>
        <w:gridCol w:w="30"/>
        <w:gridCol w:w="1281"/>
        <w:gridCol w:w="30"/>
        <w:gridCol w:w="1281"/>
        <w:gridCol w:w="30"/>
      </w:tblGrid>
      <w:tr w:rsidR="00531755" w:rsidRPr="009A57CB" w14:paraId="0BAC04B1" w14:textId="77777777" w:rsidTr="00D61E96">
        <w:tc>
          <w:tcPr>
            <w:tcW w:w="2898" w:type="dxa"/>
          </w:tcPr>
          <w:p w14:paraId="4DF51B55" w14:textId="77777777" w:rsidR="00903BAA" w:rsidRPr="009A57CB" w:rsidRDefault="00903BAA" w:rsidP="00B12490">
            <w:pPr>
              <w:rPr>
                <w:sz w:val="22"/>
                <w:szCs w:val="22"/>
              </w:rPr>
            </w:pPr>
          </w:p>
        </w:tc>
        <w:tc>
          <w:tcPr>
            <w:tcW w:w="1206" w:type="dxa"/>
            <w:gridSpan w:val="2"/>
          </w:tcPr>
          <w:p w14:paraId="42638688" w14:textId="77777777" w:rsidR="00903BAA" w:rsidRPr="009A57CB" w:rsidRDefault="00903BAA" w:rsidP="00903BAA">
            <w:pPr>
              <w:jc w:val="center"/>
              <w:rPr>
                <w:sz w:val="22"/>
                <w:szCs w:val="22"/>
              </w:rPr>
            </w:pPr>
          </w:p>
        </w:tc>
        <w:tc>
          <w:tcPr>
            <w:tcW w:w="1335" w:type="dxa"/>
            <w:gridSpan w:val="2"/>
          </w:tcPr>
          <w:p w14:paraId="4F266A23" w14:textId="176C2500" w:rsidR="00903BAA" w:rsidRPr="009A57CB" w:rsidRDefault="00903BAA" w:rsidP="00903BAA">
            <w:pPr>
              <w:jc w:val="center"/>
              <w:rPr>
                <w:sz w:val="22"/>
                <w:szCs w:val="22"/>
              </w:rPr>
            </w:pPr>
            <w:r w:rsidRPr="009A57CB">
              <w:rPr>
                <w:sz w:val="22"/>
                <w:szCs w:val="22"/>
              </w:rPr>
              <w:t>(1)</w:t>
            </w:r>
          </w:p>
        </w:tc>
        <w:tc>
          <w:tcPr>
            <w:tcW w:w="1324" w:type="dxa"/>
            <w:gridSpan w:val="2"/>
          </w:tcPr>
          <w:p w14:paraId="0FC2ADE3" w14:textId="2AD42F91" w:rsidR="00903BAA" w:rsidRPr="009A57CB" w:rsidRDefault="00903BAA" w:rsidP="00903BAA">
            <w:pPr>
              <w:jc w:val="center"/>
              <w:rPr>
                <w:sz w:val="22"/>
                <w:szCs w:val="22"/>
              </w:rPr>
            </w:pPr>
            <w:r w:rsidRPr="009A57CB">
              <w:rPr>
                <w:sz w:val="22"/>
                <w:szCs w:val="22"/>
              </w:rPr>
              <w:t>(2)</w:t>
            </w:r>
          </w:p>
        </w:tc>
        <w:tc>
          <w:tcPr>
            <w:tcW w:w="1311" w:type="dxa"/>
            <w:gridSpan w:val="2"/>
          </w:tcPr>
          <w:p w14:paraId="3A95A9E4" w14:textId="6F0E7A7A" w:rsidR="00903BAA" w:rsidRPr="009A57CB" w:rsidRDefault="00903BAA" w:rsidP="00903BAA">
            <w:pPr>
              <w:jc w:val="center"/>
              <w:rPr>
                <w:sz w:val="22"/>
                <w:szCs w:val="22"/>
              </w:rPr>
            </w:pPr>
            <w:r w:rsidRPr="009A57CB">
              <w:rPr>
                <w:sz w:val="22"/>
                <w:szCs w:val="22"/>
              </w:rPr>
              <w:t>(3)</w:t>
            </w:r>
          </w:p>
        </w:tc>
        <w:tc>
          <w:tcPr>
            <w:tcW w:w="1311" w:type="dxa"/>
            <w:gridSpan w:val="2"/>
          </w:tcPr>
          <w:p w14:paraId="1AA37429" w14:textId="6E96001A" w:rsidR="00903BAA" w:rsidRPr="009A57CB" w:rsidRDefault="00903BAA" w:rsidP="00903BAA">
            <w:pPr>
              <w:jc w:val="center"/>
              <w:rPr>
                <w:sz w:val="22"/>
                <w:szCs w:val="22"/>
              </w:rPr>
            </w:pPr>
            <w:r w:rsidRPr="009A57CB">
              <w:rPr>
                <w:sz w:val="22"/>
                <w:szCs w:val="22"/>
              </w:rPr>
              <w:t>(4)</w:t>
            </w:r>
          </w:p>
        </w:tc>
      </w:tr>
      <w:tr w:rsidR="00531755" w:rsidRPr="009A57CB" w14:paraId="2A4C988F" w14:textId="77777777" w:rsidTr="00681316">
        <w:trPr>
          <w:gridAfter w:val="1"/>
          <w:wAfter w:w="30" w:type="dxa"/>
        </w:trPr>
        <w:tc>
          <w:tcPr>
            <w:tcW w:w="4074" w:type="dxa"/>
            <w:gridSpan w:val="2"/>
            <w:tcBorders>
              <w:top w:val="nil"/>
              <w:bottom w:val="single" w:sz="4" w:space="0" w:color="auto"/>
            </w:tcBorders>
          </w:tcPr>
          <w:p w14:paraId="78FCE78E" w14:textId="18AABD00" w:rsidR="00646D9C" w:rsidRPr="009A57CB" w:rsidRDefault="00D61E96" w:rsidP="00D61E96">
            <w:pPr>
              <w:ind w:right="278"/>
              <w:jc w:val="right"/>
              <w:rPr>
                <w:sz w:val="22"/>
                <w:szCs w:val="22"/>
              </w:rPr>
            </w:pPr>
            <w:r w:rsidRPr="009A57CB">
              <w:rPr>
                <w:sz w:val="22"/>
                <w:szCs w:val="22"/>
              </w:rPr>
              <w:t>Pred</w:t>
            </w:r>
            <w:r>
              <w:rPr>
                <w:sz w:val="22"/>
                <w:szCs w:val="22"/>
              </w:rPr>
              <w:t>.</w:t>
            </w:r>
          </w:p>
        </w:tc>
        <w:tc>
          <w:tcPr>
            <w:tcW w:w="1335" w:type="dxa"/>
            <w:gridSpan w:val="2"/>
            <w:tcBorders>
              <w:top w:val="nil"/>
              <w:bottom w:val="single" w:sz="4" w:space="0" w:color="auto"/>
            </w:tcBorders>
          </w:tcPr>
          <w:p w14:paraId="6F98C053" w14:textId="38FC8F42" w:rsidR="00646D9C" w:rsidRPr="009A57CB" w:rsidRDefault="00646D9C" w:rsidP="00903BAA">
            <w:pPr>
              <w:jc w:val="center"/>
              <w:rPr>
                <w:sz w:val="22"/>
                <w:szCs w:val="22"/>
              </w:rPr>
            </w:pPr>
            <w:r w:rsidRPr="009A57CB">
              <w:rPr>
                <w:sz w:val="22"/>
                <w:szCs w:val="22"/>
              </w:rPr>
              <w:t>ln(</w:t>
            </w:r>
            <w:r w:rsidRPr="009A57CB">
              <w:rPr>
                <w:i/>
                <w:iCs/>
                <w:sz w:val="22"/>
                <w:szCs w:val="22"/>
              </w:rPr>
              <w:t>ROA+1</w:t>
            </w:r>
            <w:r w:rsidRPr="009A57CB">
              <w:rPr>
                <w:sz w:val="22"/>
                <w:szCs w:val="22"/>
              </w:rPr>
              <w:t>)</w:t>
            </w:r>
          </w:p>
        </w:tc>
        <w:tc>
          <w:tcPr>
            <w:tcW w:w="1324" w:type="dxa"/>
            <w:gridSpan w:val="2"/>
            <w:tcBorders>
              <w:top w:val="nil"/>
              <w:bottom w:val="single" w:sz="4" w:space="0" w:color="auto"/>
            </w:tcBorders>
          </w:tcPr>
          <w:p w14:paraId="521727F6" w14:textId="377BB22D" w:rsidR="00646D9C" w:rsidRPr="009A57CB" w:rsidRDefault="00646D9C" w:rsidP="00903BAA">
            <w:pPr>
              <w:jc w:val="center"/>
              <w:rPr>
                <w:sz w:val="22"/>
                <w:szCs w:val="22"/>
              </w:rPr>
            </w:pPr>
            <w:r w:rsidRPr="009A57CB">
              <w:rPr>
                <w:sz w:val="22"/>
                <w:szCs w:val="22"/>
              </w:rPr>
              <w:t>ln(</w:t>
            </w:r>
            <w:r w:rsidRPr="009A57CB">
              <w:rPr>
                <w:i/>
                <w:iCs/>
                <w:sz w:val="22"/>
                <w:szCs w:val="22"/>
              </w:rPr>
              <w:t>ROA+1</w:t>
            </w:r>
            <w:r w:rsidRPr="009A57CB">
              <w:rPr>
                <w:sz w:val="22"/>
                <w:szCs w:val="22"/>
              </w:rPr>
              <w:t>)</w:t>
            </w:r>
          </w:p>
        </w:tc>
        <w:tc>
          <w:tcPr>
            <w:tcW w:w="1311" w:type="dxa"/>
            <w:gridSpan w:val="2"/>
            <w:tcBorders>
              <w:top w:val="nil"/>
              <w:bottom w:val="single" w:sz="4" w:space="0" w:color="auto"/>
            </w:tcBorders>
          </w:tcPr>
          <w:p w14:paraId="5D64F34A" w14:textId="1F6F3AC5" w:rsidR="00646D9C" w:rsidRPr="009A57CB" w:rsidRDefault="00646D9C" w:rsidP="00903BAA">
            <w:pPr>
              <w:jc w:val="center"/>
              <w:rPr>
                <w:sz w:val="22"/>
                <w:szCs w:val="22"/>
              </w:rPr>
            </w:pPr>
            <w:r w:rsidRPr="009A57CB">
              <w:rPr>
                <w:sz w:val="22"/>
                <w:szCs w:val="22"/>
              </w:rPr>
              <w:t>ln(</w:t>
            </w:r>
            <w:r w:rsidRPr="009A57CB">
              <w:rPr>
                <w:i/>
                <w:iCs/>
                <w:sz w:val="22"/>
                <w:szCs w:val="22"/>
              </w:rPr>
              <w:t>ROA+1</w:t>
            </w:r>
            <w:r w:rsidRPr="009A57CB">
              <w:rPr>
                <w:sz w:val="22"/>
                <w:szCs w:val="22"/>
              </w:rPr>
              <w:t>)</w:t>
            </w:r>
          </w:p>
        </w:tc>
        <w:tc>
          <w:tcPr>
            <w:tcW w:w="1311" w:type="dxa"/>
            <w:gridSpan w:val="2"/>
            <w:tcBorders>
              <w:top w:val="nil"/>
              <w:bottom w:val="single" w:sz="4" w:space="0" w:color="auto"/>
            </w:tcBorders>
          </w:tcPr>
          <w:p w14:paraId="04D63F72" w14:textId="092E69EB" w:rsidR="00646D9C" w:rsidRPr="009A57CB" w:rsidRDefault="00646D9C" w:rsidP="00903BAA">
            <w:pPr>
              <w:jc w:val="center"/>
              <w:rPr>
                <w:sz w:val="22"/>
                <w:szCs w:val="22"/>
              </w:rPr>
            </w:pPr>
            <w:r w:rsidRPr="009A57CB">
              <w:rPr>
                <w:sz w:val="22"/>
                <w:szCs w:val="22"/>
              </w:rPr>
              <w:t>ln(</w:t>
            </w:r>
            <w:r w:rsidRPr="009A57CB">
              <w:rPr>
                <w:i/>
                <w:iCs/>
                <w:sz w:val="22"/>
                <w:szCs w:val="22"/>
              </w:rPr>
              <w:t>ROA+1</w:t>
            </w:r>
            <w:r w:rsidRPr="009A57CB">
              <w:rPr>
                <w:sz w:val="22"/>
                <w:szCs w:val="22"/>
              </w:rPr>
              <w:t>)</w:t>
            </w:r>
          </w:p>
        </w:tc>
      </w:tr>
      <w:tr w:rsidR="00531755" w:rsidRPr="009A57CB" w14:paraId="0627A963" w14:textId="77777777" w:rsidTr="00531755">
        <w:tc>
          <w:tcPr>
            <w:tcW w:w="2898" w:type="dxa"/>
          </w:tcPr>
          <w:p w14:paraId="625D91A8" w14:textId="77777777" w:rsidR="00903BAA" w:rsidRPr="009A57CB" w:rsidRDefault="00903BAA" w:rsidP="00B12490">
            <w:pPr>
              <w:rPr>
                <w:sz w:val="22"/>
                <w:szCs w:val="22"/>
              </w:rPr>
            </w:pPr>
          </w:p>
        </w:tc>
        <w:tc>
          <w:tcPr>
            <w:tcW w:w="1206" w:type="dxa"/>
            <w:gridSpan w:val="2"/>
          </w:tcPr>
          <w:p w14:paraId="3AA9CC13" w14:textId="4DC22857" w:rsidR="00903BAA" w:rsidRPr="009A57CB" w:rsidRDefault="00903BAA" w:rsidP="00903BAA">
            <w:pPr>
              <w:jc w:val="center"/>
              <w:rPr>
                <w:sz w:val="22"/>
                <w:szCs w:val="22"/>
              </w:rPr>
            </w:pPr>
          </w:p>
        </w:tc>
        <w:tc>
          <w:tcPr>
            <w:tcW w:w="1335" w:type="dxa"/>
            <w:gridSpan w:val="2"/>
          </w:tcPr>
          <w:p w14:paraId="1F06B9EA" w14:textId="77777777" w:rsidR="00903BAA" w:rsidRPr="009A57CB" w:rsidRDefault="00903BAA" w:rsidP="00903BAA">
            <w:pPr>
              <w:jc w:val="center"/>
              <w:rPr>
                <w:sz w:val="22"/>
                <w:szCs w:val="22"/>
              </w:rPr>
            </w:pPr>
          </w:p>
        </w:tc>
        <w:tc>
          <w:tcPr>
            <w:tcW w:w="1324" w:type="dxa"/>
            <w:gridSpan w:val="2"/>
          </w:tcPr>
          <w:p w14:paraId="601704A5" w14:textId="77777777" w:rsidR="00903BAA" w:rsidRPr="009A57CB" w:rsidRDefault="00903BAA" w:rsidP="00903BAA">
            <w:pPr>
              <w:jc w:val="center"/>
              <w:rPr>
                <w:sz w:val="22"/>
                <w:szCs w:val="22"/>
              </w:rPr>
            </w:pPr>
          </w:p>
        </w:tc>
        <w:tc>
          <w:tcPr>
            <w:tcW w:w="1311" w:type="dxa"/>
            <w:gridSpan w:val="2"/>
          </w:tcPr>
          <w:p w14:paraId="6E1A2872" w14:textId="77777777" w:rsidR="00903BAA" w:rsidRPr="009A57CB" w:rsidRDefault="00903BAA" w:rsidP="00903BAA">
            <w:pPr>
              <w:jc w:val="center"/>
              <w:rPr>
                <w:sz w:val="22"/>
                <w:szCs w:val="22"/>
              </w:rPr>
            </w:pPr>
          </w:p>
        </w:tc>
        <w:tc>
          <w:tcPr>
            <w:tcW w:w="1311" w:type="dxa"/>
            <w:gridSpan w:val="2"/>
          </w:tcPr>
          <w:p w14:paraId="7C8E9CF0" w14:textId="77777777" w:rsidR="00903BAA" w:rsidRPr="009A57CB" w:rsidRDefault="00903BAA" w:rsidP="00903BAA">
            <w:pPr>
              <w:jc w:val="center"/>
              <w:rPr>
                <w:sz w:val="22"/>
                <w:szCs w:val="22"/>
              </w:rPr>
            </w:pPr>
          </w:p>
        </w:tc>
      </w:tr>
      <w:tr w:rsidR="00531755" w:rsidRPr="009A57CB" w14:paraId="0B8369AA" w14:textId="77777777" w:rsidTr="00531755">
        <w:tc>
          <w:tcPr>
            <w:tcW w:w="2898" w:type="dxa"/>
          </w:tcPr>
          <w:p w14:paraId="57857CDD" w14:textId="3AEDBF98" w:rsidR="00903BAA" w:rsidRPr="009A57CB" w:rsidRDefault="00903BAA" w:rsidP="00B12490">
            <w:pPr>
              <w:rPr>
                <w:sz w:val="22"/>
                <w:szCs w:val="22"/>
              </w:rPr>
            </w:pPr>
            <w:r w:rsidRPr="009A57CB">
              <w:rPr>
                <w:sz w:val="22"/>
                <w:szCs w:val="22"/>
              </w:rPr>
              <w:t>ln(</w:t>
            </w:r>
            <w:proofErr w:type="spellStart"/>
            <w:r w:rsidRPr="009A57CB">
              <w:rPr>
                <w:i/>
                <w:iCs/>
                <w:sz w:val="22"/>
                <w:szCs w:val="22"/>
              </w:rPr>
              <w:t>TangibleAssets</w:t>
            </w:r>
            <w:proofErr w:type="spellEnd"/>
            <w:r w:rsidRPr="009A57CB">
              <w:rPr>
                <w:sz w:val="22"/>
                <w:szCs w:val="22"/>
              </w:rPr>
              <w:t>)</w:t>
            </w:r>
          </w:p>
        </w:tc>
        <w:tc>
          <w:tcPr>
            <w:tcW w:w="1206" w:type="dxa"/>
            <w:gridSpan w:val="2"/>
          </w:tcPr>
          <w:p w14:paraId="1B39C1A6" w14:textId="4034A183" w:rsidR="00903BAA" w:rsidRPr="009A57CB" w:rsidRDefault="00903BAA" w:rsidP="00903BAA">
            <w:pPr>
              <w:jc w:val="center"/>
              <w:rPr>
                <w:sz w:val="22"/>
                <w:szCs w:val="22"/>
              </w:rPr>
            </w:pPr>
            <w:r w:rsidRPr="009A57CB">
              <w:rPr>
                <w:sz w:val="22"/>
                <w:szCs w:val="22"/>
              </w:rPr>
              <w:t>-</w:t>
            </w:r>
          </w:p>
        </w:tc>
        <w:tc>
          <w:tcPr>
            <w:tcW w:w="1335" w:type="dxa"/>
            <w:gridSpan w:val="2"/>
            <w:vAlign w:val="bottom"/>
          </w:tcPr>
          <w:p w14:paraId="37141F19" w14:textId="6963027E" w:rsidR="00903BAA" w:rsidRPr="009A57CB" w:rsidRDefault="00903BAA" w:rsidP="00903BAA">
            <w:pPr>
              <w:jc w:val="center"/>
              <w:rPr>
                <w:sz w:val="22"/>
                <w:szCs w:val="22"/>
              </w:rPr>
            </w:pPr>
            <w:r w:rsidRPr="009A57CB">
              <w:rPr>
                <w:rFonts w:eastAsia="Times New Roman"/>
                <w:color w:val="000000"/>
                <w:sz w:val="22"/>
                <w:szCs w:val="22"/>
              </w:rPr>
              <w:t>-0.002</w:t>
            </w:r>
            <w:r w:rsidRPr="009A57CB">
              <w:rPr>
                <w:rFonts w:eastAsia="Times New Roman"/>
                <w:color w:val="000000"/>
                <w:sz w:val="22"/>
                <w:szCs w:val="22"/>
                <w:vertAlign w:val="superscript"/>
              </w:rPr>
              <w:t>***</w:t>
            </w:r>
          </w:p>
        </w:tc>
        <w:tc>
          <w:tcPr>
            <w:tcW w:w="1324" w:type="dxa"/>
            <w:gridSpan w:val="2"/>
            <w:vAlign w:val="bottom"/>
          </w:tcPr>
          <w:p w14:paraId="19F9E2BE" w14:textId="166389FF" w:rsidR="00903BAA" w:rsidRPr="009A57CB" w:rsidRDefault="00903BAA" w:rsidP="00903BAA">
            <w:pPr>
              <w:jc w:val="center"/>
              <w:rPr>
                <w:sz w:val="22"/>
                <w:szCs w:val="22"/>
              </w:rPr>
            </w:pPr>
            <w:r w:rsidRPr="009A57CB">
              <w:rPr>
                <w:rFonts w:eastAsia="Times New Roman"/>
                <w:color w:val="000000"/>
                <w:sz w:val="22"/>
                <w:szCs w:val="22"/>
              </w:rPr>
              <w:t>-0.003</w:t>
            </w:r>
            <w:r w:rsidRPr="009A57CB">
              <w:rPr>
                <w:rFonts w:eastAsia="Times New Roman"/>
                <w:color w:val="000000"/>
                <w:sz w:val="22"/>
                <w:szCs w:val="22"/>
                <w:vertAlign w:val="superscript"/>
              </w:rPr>
              <w:t>***</w:t>
            </w:r>
          </w:p>
        </w:tc>
        <w:tc>
          <w:tcPr>
            <w:tcW w:w="1311" w:type="dxa"/>
            <w:gridSpan w:val="2"/>
            <w:vAlign w:val="bottom"/>
          </w:tcPr>
          <w:p w14:paraId="227C52A4" w14:textId="03B1B689" w:rsidR="00903BAA" w:rsidRPr="009A57CB" w:rsidRDefault="00903BAA" w:rsidP="00903BAA">
            <w:pPr>
              <w:jc w:val="center"/>
              <w:rPr>
                <w:sz w:val="22"/>
                <w:szCs w:val="22"/>
              </w:rPr>
            </w:pPr>
            <w:r w:rsidRPr="009A57CB">
              <w:rPr>
                <w:rFonts w:eastAsia="Times New Roman"/>
                <w:color w:val="000000"/>
                <w:sz w:val="22"/>
                <w:szCs w:val="22"/>
              </w:rPr>
              <w:t>-0.003</w:t>
            </w:r>
            <w:r w:rsidRPr="009A57CB">
              <w:rPr>
                <w:rFonts w:eastAsia="Times New Roman"/>
                <w:color w:val="000000"/>
                <w:sz w:val="22"/>
                <w:szCs w:val="22"/>
                <w:vertAlign w:val="superscript"/>
              </w:rPr>
              <w:t>***</w:t>
            </w:r>
          </w:p>
        </w:tc>
        <w:tc>
          <w:tcPr>
            <w:tcW w:w="1311" w:type="dxa"/>
            <w:gridSpan w:val="2"/>
            <w:vAlign w:val="bottom"/>
          </w:tcPr>
          <w:p w14:paraId="167B1939" w14:textId="0EE388E2" w:rsidR="00903BAA" w:rsidRPr="009A57CB" w:rsidRDefault="00903BAA" w:rsidP="00903BAA">
            <w:pPr>
              <w:jc w:val="center"/>
              <w:rPr>
                <w:sz w:val="22"/>
                <w:szCs w:val="22"/>
              </w:rPr>
            </w:pPr>
            <w:r w:rsidRPr="009A57CB">
              <w:rPr>
                <w:rFonts w:eastAsia="Times New Roman"/>
                <w:color w:val="000000"/>
                <w:sz w:val="22"/>
                <w:szCs w:val="22"/>
              </w:rPr>
              <w:t>-0.002</w:t>
            </w:r>
            <w:r w:rsidR="00547133" w:rsidRPr="009A57CB">
              <w:rPr>
                <w:rFonts w:eastAsia="Times New Roman"/>
                <w:color w:val="000000"/>
                <w:sz w:val="22"/>
                <w:szCs w:val="22"/>
                <w:vertAlign w:val="superscript"/>
              </w:rPr>
              <w:t>***</w:t>
            </w:r>
          </w:p>
        </w:tc>
      </w:tr>
      <w:tr w:rsidR="00531755" w:rsidRPr="009A57CB" w14:paraId="66F8862C" w14:textId="77777777" w:rsidTr="00531755">
        <w:tc>
          <w:tcPr>
            <w:tcW w:w="2898" w:type="dxa"/>
          </w:tcPr>
          <w:p w14:paraId="4B795CF3" w14:textId="0158A24E" w:rsidR="00903BAA" w:rsidRPr="009A57CB" w:rsidRDefault="00903BAA" w:rsidP="00B12490">
            <w:pPr>
              <w:rPr>
                <w:sz w:val="22"/>
                <w:szCs w:val="22"/>
              </w:rPr>
            </w:pPr>
          </w:p>
        </w:tc>
        <w:tc>
          <w:tcPr>
            <w:tcW w:w="1206" w:type="dxa"/>
            <w:gridSpan w:val="2"/>
          </w:tcPr>
          <w:p w14:paraId="11EB32A1" w14:textId="77777777" w:rsidR="00903BAA" w:rsidRPr="009A57CB" w:rsidRDefault="00903BAA" w:rsidP="00903BAA">
            <w:pPr>
              <w:jc w:val="center"/>
              <w:rPr>
                <w:sz w:val="22"/>
                <w:szCs w:val="22"/>
              </w:rPr>
            </w:pPr>
          </w:p>
        </w:tc>
        <w:tc>
          <w:tcPr>
            <w:tcW w:w="1335" w:type="dxa"/>
            <w:gridSpan w:val="2"/>
            <w:vAlign w:val="bottom"/>
          </w:tcPr>
          <w:p w14:paraId="09EFA6FB" w14:textId="3BFD86CF" w:rsidR="00903BAA" w:rsidRPr="009A57CB" w:rsidRDefault="00903BAA" w:rsidP="004459AE">
            <w:pPr>
              <w:jc w:val="center"/>
              <w:rPr>
                <w:sz w:val="22"/>
                <w:szCs w:val="22"/>
              </w:rPr>
            </w:pPr>
            <w:r w:rsidRPr="009A57CB">
              <w:rPr>
                <w:rFonts w:eastAsia="Times New Roman"/>
                <w:color w:val="000000"/>
                <w:sz w:val="22"/>
                <w:szCs w:val="22"/>
              </w:rPr>
              <w:t>(</w:t>
            </w:r>
            <w:r w:rsidR="004459AE">
              <w:rPr>
                <w:rFonts w:eastAsia="Times New Roman"/>
                <w:color w:val="000000"/>
                <w:sz w:val="22"/>
                <w:szCs w:val="22"/>
              </w:rPr>
              <w:t>5</w:t>
            </w:r>
            <w:r w:rsidR="007B0845">
              <w:rPr>
                <w:rFonts w:eastAsia="Times New Roman"/>
                <w:color w:val="000000"/>
                <w:sz w:val="22"/>
                <w:szCs w:val="22"/>
              </w:rPr>
              <w:t>.</w:t>
            </w:r>
            <w:r w:rsidR="00FA0508">
              <w:rPr>
                <w:rFonts w:eastAsia="Times New Roman"/>
                <w:color w:val="000000"/>
                <w:sz w:val="22"/>
                <w:szCs w:val="22"/>
              </w:rPr>
              <w:t>83</w:t>
            </w:r>
            <w:r w:rsidRPr="009A57CB">
              <w:rPr>
                <w:rFonts w:eastAsia="Times New Roman"/>
                <w:color w:val="000000"/>
                <w:sz w:val="22"/>
                <w:szCs w:val="22"/>
              </w:rPr>
              <w:t>)</w:t>
            </w:r>
          </w:p>
        </w:tc>
        <w:tc>
          <w:tcPr>
            <w:tcW w:w="1324" w:type="dxa"/>
            <w:gridSpan w:val="2"/>
            <w:vAlign w:val="bottom"/>
          </w:tcPr>
          <w:p w14:paraId="49E59059" w14:textId="4651159E" w:rsidR="00903BAA" w:rsidRPr="009A57CB" w:rsidRDefault="00903BAA" w:rsidP="00CA082E">
            <w:pPr>
              <w:jc w:val="center"/>
              <w:rPr>
                <w:sz w:val="22"/>
                <w:szCs w:val="22"/>
              </w:rPr>
            </w:pPr>
            <w:r w:rsidRPr="009A57CB">
              <w:rPr>
                <w:rFonts w:eastAsia="Times New Roman"/>
                <w:color w:val="000000"/>
                <w:sz w:val="22"/>
                <w:szCs w:val="22"/>
              </w:rPr>
              <w:t>(</w:t>
            </w:r>
            <w:r w:rsidR="00FA0508">
              <w:rPr>
                <w:rFonts w:eastAsia="Times New Roman"/>
                <w:color w:val="000000"/>
                <w:sz w:val="22"/>
                <w:szCs w:val="22"/>
              </w:rPr>
              <w:t>9.78</w:t>
            </w:r>
            <w:r w:rsidRPr="009A57CB">
              <w:rPr>
                <w:rFonts w:eastAsia="Times New Roman"/>
                <w:color w:val="000000"/>
                <w:sz w:val="22"/>
                <w:szCs w:val="22"/>
              </w:rPr>
              <w:t>)</w:t>
            </w:r>
          </w:p>
        </w:tc>
        <w:tc>
          <w:tcPr>
            <w:tcW w:w="1311" w:type="dxa"/>
            <w:gridSpan w:val="2"/>
            <w:vAlign w:val="bottom"/>
          </w:tcPr>
          <w:p w14:paraId="06DF83C5" w14:textId="1E99222C" w:rsidR="00903BAA" w:rsidRPr="009A57CB" w:rsidRDefault="00903BAA" w:rsidP="007D66DD">
            <w:pPr>
              <w:jc w:val="center"/>
              <w:rPr>
                <w:sz w:val="22"/>
                <w:szCs w:val="22"/>
              </w:rPr>
            </w:pPr>
            <w:r w:rsidRPr="009A57CB">
              <w:rPr>
                <w:rFonts w:eastAsia="Times New Roman"/>
                <w:color w:val="000000"/>
                <w:sz w:val="22"/>
                <w:szCs w:val="22"/>
              </w:rPr>
              <w:t>(</w:t>
            </w:r>
            <w:r w:rsidR="00FA0508">
              <w:rPr>
                <w:rFonts w:eastAsia="Times New Roman"/>
                <w:color w:val="000000"/>
                <w:sz w:val="22"/>
                <w:szCs w:val="22"/>
              </w:rPr>
              <w:t>9.76</w:t>
            </w:r>
            <w:r w:rsidRPr="009A57CB">
              <w:rPr>
                <w:rFonts w:eastAsia="Times New Roman"/>
                <w:color w:val="000000"/>
                <w:sz w:val="22"/>
                <w:szCs w:val="22"/>
              </w:rPr>
              <w:t>)</w:t>
            </w:r>
          </w:p>
        </w:tc>
        <w:tc>
          <w:tcPr>
            <w:tcW w:w="1311" w:type="dxa"/>
            <w:gridSpan w:val="2"/>
            <w:vAlign w:val="bottom"/>
          </w:tcPr>
          <w:p w14:paraId="47CEE373" w14:textId="73C0AE60" w:rsidR="00903BAA" w:rsidRPr="009A57CB" w:rsidRDefault="00903BAA" w:rsidP="007D66DD">
            <w:pPr>
              <w:jc w:val="center"/>
              <w:rPr>
                <w:sz w:val="22"/>
                <w:szCs w:val="22"/>
              </w:rPr>
            </w:pPr>
            <w:r w:rsidRPr="009A57CB">
              <w:rPr>
                <w:rFonts w:eastAsia="Times New Roman"/>
                <w:color w:val="000000"/>
                <w:sz w:val="22"/>
                <w:szCs w:val="22"/>
              </w:rPr>
              <w:t>(</w:t>
            </w:r>
            <w:r w:rsidR="007D66DD">
              <w:rPr>
                <w:rFonts w:eastAsia="Times New Roman"/>
                <w:color w:val="000000"/>
                <w:sz w:val="22"/>
                <w:szCs w:val="22"/>
              </w:rPr>
              <w:t>12</w:t>
            </w:r>
            <w:r w:rsidRPr="009A57CB">
              <w:rPr>
                <w:rFonts w:eastAsia="Times New Roman"/>
                <w:color w:val="000000"/>
                <w:sz w:val="22"/>
                <w:szCs w:val="22"/>
              </w:rPr>
              <w:t>.</w:t>
            </w:r>
            <w:r w:rsidR="00B043CA">
              <w:rPr>
                <w:rFonts w:eastAsia="Times New Roman"/>
                <w:color w:val="000000"/>
                <w:sz w:val="22"/>
                <w:szCs w:val="22"/>
              </w:rPr>
              <w:t>32</w:t>
            </w:r>
            <w:r w:rsidRPr="009A57CB">
              <w:rPr>
                <w:rFonts w:eastAsia="Times New Roman"/>
                <w:color w:val="000000"/>
                <w:sz w:val="22"/>
                <w:szCs w:val="22"/>
              </w:rPr>
              <w:t>)</w:t>
            </w:r>
          </w:p>
        </w:tc>
      </w:tr>
      <w:tr w:rsidR="00531755" w:rsidRPr="009A57CB" w14:paraId="49769664" w14:textId="77777777" w:rsidTr="00531755">
        <w:tc>
          <w:tcPr>
            <w:tcW w:w="2898" w:type="dxa"/>
          </w:tcPr>
          <w:p w14:paraId="67402631" w14:textId="13EFA5C3" w:rsidR="00903BAA" w:rsidRPr="009A57CB" w:rsidRDefault="00903BAA" w:rsidP="00B12490">
            <w:pPr>
              <w:rPr>
                <w:i/>
                <w:iCs/>
                <w:sz w:val="22"/>
                <w:szCs w:val="22"/>
              </w:rPr>
            </w:pPr>
            <w:r w:rsidRPr="009A57CB">
              <w:rPr>
                <w:sz w:val="22"/>
                <w:szCs w:val="22"/>
              </w:rPr>
              <w:t>ln(</w:t>
            </w:r>
            <w:proofErr w:type="spellStart"/>
            <w:r w:rsidRPr="009A57CB">
              <w:rPr>
                <w:i/>
                <w:iCs/>
                <w:sz w:val="22"/>
                <w:szCs w:val="22"/>
              </w:rPr>
              <w:t>CompExpense</w:t>
            </w:r>
            <w:proofErr w:type="spellEnd"/>
            <w:r w:rsidRPr="009A57CB">
              <w:rPr>
                <w:sz w:val="22"/>
                <w:szCs w:val="22"/>
              </w:rPr>
              <w:t>)</w:t>
            </w:r>
          </w:p>
        </w:tc>
        <w:tc>
          <w:tcPr>
            <w:tcW w:w="1206" w:type="dxa"/>
            <w:gridSpan w:val="2"/>
          </w:tcPr>
          <w:p w14:paraId="72871DC1" w14:textId="3E2506AA" w:rsidR="00903BAA" w:rsidRPr="009A57CB" w:rsidRDefault="00903BAA" w:rsidP="00903BAA">
            <w:pPr>
              <w:jc w:val="center"/>
              <w:rPr>
                <w:sz w:val="22"/>
                <w:szCs w:val="22"/>
              </w:rPr>
            </w:pPr>
            <w:r w:rsidRPr="009A57CB">
              <w:rPr>
                <w:sz w:val="22"/>
                <w:szCs w:val="22"/>
              </w:rPr>
              <w:t>+</w:t>
            </w:r>
          </w:p>
        </w:tc>
        <w:tc>
          <w:tcPr>
            <w:tcW w:w="1335" w:type="dxa"/>
            <w:gridSpan w:val="2"/>
            <w:vAlign w:val="bottom"/>
          </w:tcPr>
          <w:p w14:paraId="23060855" w14:textId="41EE8226" w:rsidR="00903BAA" w:rsidRPr="009A57CB" w:rsidRDefault="00903BAA" w:rsidP="00903BAA">
            <w:pPr>
              <w:jc w:val="center"/>
              <w:rPr>
                <w:sz w:val="22"/>
                <w:szCs w:val="22"/>
              </w:rPr>
            </w:pPr>
            <w:r w:rsidRPr="009A57CB">
              <w:rPr>
                <w:rFonts w:eastAsia="Times New Roman"/>
                <w:color w:val="000000"/>
                <w:sz w:val="22"/>
                <w:szCs w:val="22"/>
              </w:rPr>
              <w:t>0.00</w:t>
            </w:r>
            <w:r w:rsidR="00FA0508">
              <w:rPr>
                <w:rFonts w:eastAsia="Times New Roman"/>
                <w:color w:val="000000"/>
                <w:sz w:val="22"/>
                <w:szCs w:val="22"/>
              </w:rPr>
              <w:t>7</w:t>
            </w:r>
            <w:r w:rsidRPr="009A57CB">
              <w:rPr>
                <w:rFonts w:eastAsia="Times New Roman"/>
                <w:color w:val="000000"/>
                <w:sz w:val="22"/>
                <w:szCs w:val="22"/>
                <w:vertAlign w:val="superscript"/>
              </w:rPr>
              <w:t>***</w:t>
            </w:r>
          </w:p>
        </w:tc>
        <w:tc>
          <w:tcPr>
            <w:tcW w:w="1324" w:type="dxa"/>
            <w:gridSpan w:val="2"/>
            <w:vAlign w:val="bottom"/>
          </w:tcPr>
          <w:p w14:paraId="397A7940" w14:textId="7603CD95" w:rsidR="00903BAA" w:rsidRPr="009A57CB" w:rsidRDefault="00903BAA" w:rsidP="00903BAA">
            <w:pPr>
              <w:jc w:val="center"/>
              <w:rPr>
                <w:sz w:val="22"/>
                <w:szCs w:val="22"/>
              </w:rPr>
            </w:pPr>
            <w:r w:rsidRPr="009A57CB">
              <w:rPr>
                <w:rFonts w:eastAsia="Times New Roman"/>
                <w:color w:val="000000"/>
                <w:sz w:val="22"/>
                <w:szCs w:val="22"/>
              </w:rPr>
              <w:t>0.00</w:t>
            </w:r>
            <w:r w:rsidR="00FA0508">
              <w:rPr>
                <w:rFonts w:eastAsia="Times New Roman"/>
                <w:color w:val="000000"/>
                <w:sz w:val="22"/>
                <w:szCs w:val="22"/>
              </w:rPr>
              <w:t>2</w:t>
            </w:r>
            <w:r w:rsidRPr="009A57CB">
              <w:rPr>
                <w:rFonts w:eastAsia="Times New Roman"/>
                <w:color w:val="000000"/>
                <w:sz w:val="22"/>
                <w:szCs w:val="22"/>
                <w:vertAlign w:val="superscript"/>
              </w:rPr>
              <w:t>***</w:t>
            </w:r>
          </w:p>
        </w:tc>
        <w:tc>
          <w:tcPr>
            <w:tcW w:w="1311" w:type="dxa"/>
            <w:gridSpan w:val="2"/>
            <w:vAlign w:val="bottom"/>
          </w:tcPr>
          <w:p w14:paraId="2A8A53F5" w14:textId="0AF2CEE9" w:rsidR="00903BAA" w:rsidRPr="009A57CB" w:rsidRDefault="00903BAA" w:rsidP="00903BAA">
            <w:pPr>
              <w:jc w:val="center"/>
              <w:rPr>
                <w:sz w:val="22"/>
                <w:szCs w:val="22"/>
              </w:rPr>
            </w:pPr>
            <w:r w:rsidRPr="009A57CB">
              <w:rPr>
                <w:rFonts w:eastAsia="Times New Roman"/>
                <w:color w:val="000000"/>
                <w:sz w:val="22"/>
                <w:szCs w:val="22"/>
              </w:rPr>
              <w:t>0.00</w:t>
            </w:r>
            <w:r w:rsidR="00FA0508">
              <w:rPr>
                <w:rFonts w:eastAsia="Times New Roman"/>
                <w:color w:val="000000"/>
                <w:sz w:val="22"/>
                <w:szCs w:val="22"/>
              </w:rPr>
              <w:t>2</w:t>
            </w:r>
            <w:r w:rsidRPr="009A57CB">
              <w:rPr>
                <w:rFonts w:eastAsia="Times New Roman"/>
                <w:color w:val="000000"/>
                <w:sz w:val="22"/>
                <w:szCs w:val="22"/>
                <w:vertAlign w:val="superscript"/>
              </w:rPr>
              <w:t>***</w:t>
            </w:r>
          </w:p>
        </w:tc>
        <w:tc>
          <w:tcPr>
            <w:tcW w:w="1311" w:type="dxa"/>
            <w:gridSpan w:val="2"/>
            <w:vAlign w:val="bottom"/>
          </w:tcPr>
          <w:p w14:paraId="17C3B154" w14:textId="77D2EC27" w:rsidR="00903BAA" w:rsidRPr="009A57CB" w:rsidRDefault="00903BAA" w:rsidP="00903BAA">
            <w:pPr>
              <w:jc w:val="center"/>
              <w:rPr>
                <w:sz w:val="22"/>
                <w:szCs w:val="22"/>
              </w:rPr>
            </w:pPr>
            <w:r w:rsidRPr="009A57CB">
              <w:rPr>
                <w:rFonts w:eastAsia="Times New Roman"/>
                <w:color w:val="000000"/>
                <w:sz w:val="22"/>
                <w:szCs w:val="22"/>
              </w:rPr>
              <w:t>0.002</w:t>
            </w:r>
            <w:r w:rsidR="00547133" w:rsidRPr="009A57CB">
              <w:rPr>
                <w:rFonts w:eastAsia="Times New Roman"/>
                <w:color w:val="000000"/>
                <w:sz w:val="22"/>
                <w:szCs w:val="22"/>
                <w:vertAlign w:val="superscript"/>
              </w:rPr>
              <w:t>***</w:t>
            </w:r>
          </w:p>
        </w:tc>
      </w:tr>
      <w:tr w:rsidR="00531755" w:rsidRPr="009A57CB" w14:paraId="346625D1" w14:textId="77777777" w:rsidTr="00531755">
        <w:tc>
          <w:tcPr>
            <w:tcW w:w="2898" w:type="dxa"/>
          </w:tcPr>
          <w:p w14:paraId="657460FA" w14:textId="3A36BCB3" w:rsidR="00903BAA" w:rsidRPr="009A57CB" w:rsidRDefault="00903BAA" w:rsidP="00B12490">
            <w:pPr>
              <w:rPr>
                <w:i/>
                <w:iCs/>
                <w:sz w:val="22"/>
                <w:szCs w:val="22"/>
              </w:rPr>
            </w:pPr>
          </w:p>
        </w:tc>
        <w:tc>
          <w:tcPr>
            <w:tcW w:w="1206" w:type="dxa"/>
            <w:gridSpan w:val="2"/>
          </w:tcPr>
          <w:p w14:paraId="7EB2BA96" w14:textId="77777777" w:rsidR="00903BAA" w:rsidRPr="009A57CB" w:rsidRDefault="00903BAA" w:rsidP="00903BAA">
            <w:pPr>
              <w:jc w:val="center"/>
              <w:rPr>
                <w:sz w:val="22"/>
                <w:szCs w:val="22"/>
              </w:rPr>
            </w:pPr>
          </w:p>
        </w:tc>
        <w:tc>
          <w:tcPr>
            <w:tcW w:w="1335" w:type="dxa"/>
            <w:gridSpan w:val="2"/>
            <w:vAlign w:val="bottom"/>
          </w:tcPr>
          <w:p w14:paraId="3CB9512E" w14:textId="010CA96F" w:rsidR="00903BAA" w:rsidRPr="009A57CB" w:rsidRDefault="00903BAA" w:rsidP="004459AE">
            <w:pPr>
              <w:jc w:val="center"/>
              <w:rPr>
                <w:sz w:val="22"/>
                <w:szCs w:val="22"/>
              </w:rPr>
            </w:pPr>
            <w:r w:rsidRPr="009A57CB">
              <w:rPr>
                <w:rFonts w:eastAsia="Times New Roman"/>
                <w:color w:val="000000"/>
                <w:sz w:val="22"/>
                <w:szCs w:val="22"/>
              </w:rPr>
              <w:t>(</w:t>
            </w:r>
            <w:r w:rsidR="004459AE">
              <w:rPr>
                <w:rFonts w:eastAsia="Times New Roman"/>
                <w:color w:val="000000"/>
                <w:sz w:val="22"/>
                <w:szCs w:val="22"/>
              </w:rPr>
              <w:t>10</w:t>
            </w:r>
            <w:r w:rsidRPr="009A57CB">
              <w:rPr>
                <w:rFonts w:eastAsia="Times New Roman"/>
                <w:color w:val="000000"/>
                <w:sz w:val="22"/>
                <w:szCs w:val="22"/>
              </w:rPr>
              <w:t>.</w:t>
            </w:r>
            <w:r w:rsidR="004459AE">
              <w:rPr>
                <w:rFonts w:eastAsia="Times New Roman"/>
                <w:color w:val="000000"/>
                <w:sz w:val="22"/>
                <w:szCs w:val="22"/>
              </w:rPr>
              <w:t>2</w:t>
            </w:r>
            <w:r w:rsidR="00FA0508">
              <w:rPr>
                <w:rFonts w:eastAsia="Times New Roman"/>
                <w:color w:val="000000"/>
                <w:sz w:val="22"/>
                <w:szCs w:val="22"/>
              </w:rPr>
              <w:t>5</w:t>
            </w:r>
            <w:r w:rsidRPr="009A57CB">
              <w:rPr>
                <w:rFonts w:eastAsia="Times New Roman"/>
                <w:color w:val="000000"/>
                <w:sz w:val="22"/>
                <w:szCs w:val="22"/>
              </w:rPr>
              <w:t>)</w:t>
            </w:r>
          </w:p>
        </w:tc>
        <w:tc>
          <w:tcPr>
            <w:tcW w:w="1324" w:type="dxa"/>
            <w:gridSpan w:val="2"/>
            <w:vAlign w:val="bottom"/>
          </w:tcPr>
          <w:p w14:paraId="2C6C1CF1" w14:textId="1FF864D6" w:rsidR="00903BAA" w:rsidRPr="009A57CB" w:rsidRDefault="00903BAA" w:rsidP="007D66DD">
            <w:pPr>
              <w:jc w:val="center"/>
              <w:rPr>
                <w:sz w:val="22"/>
                <w:szCs w:val="22"/>
              </w:rPr>
            </w:pPr>
            <w:r w:rsidRPr="009A57CB">
              <w:rPr>
                <w:rFonts w:eastAsia="Times New Roman"/>
                <w:color w:val="000000"/>
                <w:sz w:val="22"/>
                <w:szCs w:val="22"/>
              </w:rPr>
              <w:t>(</w:t>
            </w:r>
            <w:r w:rsidR="007D66DD">
              <w:rPr>
                <w:rFonts w:eastAsia="Times New Roman"/>
                <w:color w:val="000000"/>
                <w:sz w:val="22"/>
                <w:szCs w:val="22"/>
              </w:rPr>
              <w:t>5.</w:t>
            </w:r>
            <w:r w:rsidR="00FA0508">
              <w:rPr>
                <w:rFonts w:eastAsia="Times New Roman"/>
                <w:color w:val="000000"/>
                <w:sz w:val="22"/>
                <w:szCs w:val="22"/>
              </w:rPr>
              <w:t>03</w:t>
            </w:r>
            <w:r w:rsidRPr="009A57CB">
              <w:rPr>
                <w:rFonts w:eastAsia="Times New Roman"/>
                <w:color w:val="000000"/>
                <w:sz w:val="22"/>
                <w:szCs w:val="22"/>
              </w:rPr>
              <w:t>)</w:t>
            </w:r>
          </w:p>
        </w:tc>
        <w:tc>
          <w:tcPr>
            <w:tcW w:w="1311" w:type="dxa"/>
            <w:gridSpan w:val="2"/>
            <w:vAlign w:val="bottom"/>
          </w:tcPr>
          <w:p w14:paraId="4A9F0B1D" w14:textId="17413552" w:rsidR="00903BAA" w:rsidRPr="009A57CB" w:rsidRDefault="007D66DD" w:rsidP="00903BAA">
            <w:pPr>
              <w:jc w:val="center"/>
              <w:rPr>
                <w:sz w:val="22"/>
                <w:szCs w:val="22"/>
              </w:rPr>
            </w:pPr>
            <w:r>
              <w:rPr>
                <w:rFonts w:eastAsia="Times New Roman"/>
                <w:color w:val="000000"/>
                <w:sz w:val="22"/>
                <w:szCs w:val="22"/>
              </w:rPr>
              <w:t>(5.</w:t>
            </w:r>
            <w:r w:rsidR="00FA0508">
              <w:rPr>
                <w:rFonts w:eastAsia="Times New Roman"/>
                <w:color w:val="000000"/>
                <w:sz w:val="22"/>
                <w:szCs w:val="22"/>
              </w:rPr>
              <w:t>02</w:t>
            </w:r>
            <w:r w:rsidR="00903BAA" w:rsidRPr="009A57CB">
              <w:rPr>
                <w:rFonts w:eastAsia="Times New Roman"/>
                <w:color w:val="000000"/>
                <w:sz w:val="22"/>
                <w:szCs w:val="22"/>
              </w:rPr>
              <w:t>)</w:t>
            </w:r>
          </w:p>
        </w:tc>
        <w:tc>
          <w:tcPr>
            <w:tcW w:w="1311" w:type="dxa"/>
            <w:gridSpan w:val="2"/>
            <w:vAlign w:val="bottom"/>
          </w:tcPr>
          <w:p w14:paraId="527A2EE7" w14:textId="3BA73A85" w:rsidR="00903BAA" w:rsidRPr="009A57CB" w:rsidRDefault="00903BAA" w:rsidP="007D66DD">
            <w:pPr>
              <w:jc w:val="center"/>
              <w:rPr>
                <w:sz w:val="22"/>
                <w:szCs w:val="22"/>
              </w:rPr>
            </w:pPr>
            <w:r w:rsidRPr="009A57CB">
              <w:rPr>
                <w:rFonts w:eastAsia="Times New Roman"/>
                <w:color w:val="000000"/>
                <w:sz w:val="22"/>
                <w:szCs w:val="22"/>
              </w:rPr>
              <w:t>(</w:t>
            </w:r>
            <w:r w:rsidR="007D66DD">
              <w:rPr>
                <w:rFonts w:eastAsia="Times New Roman"/>
                <w:color w:val="000000"/>
                <w:sz w:val="22"/>
                <w:szCs w:val="22"/>
              </w:rPr>
              <w:t>7</w:t>
            </w:r>
            <w:r w:rsidRPr="009A57CB">
              <w:rPr>
                <w:rFonts w:eastAsia="Times New Roman"/>
                <w:color w:val="000000"/>
                <w:sz w:val="22"/>
                <w:szCs w:val="22"/>
              </w:rPr>
              <w:t>.</w:t>
            </w:r>
            <w:r w:rsidR="00B043CA">
              <w:rPr>
                <w:rFonts w:eastAsia="Times New Roman"/>
                <w:color w:val="000000"/>
                <w:sz w:val="22"/>
                <w:szCs w:val="22"/>
              </w:rPr>
              <w:t>08</w:t>
            </w:r>
            <w:r w:rsidRPr="009A57CB">
              <w:rPr>
                <w:rFonts w:eastAsia="Times New Roman"/>
                <w:color w:val="000000"/>
                <w:sz w:val="22"/>
                <w:szCs w:val="22"/>
              </w:rPr>
              <w:t>)</w:t>
            </w:r>
          </w:p>
        </w:tc>
      </w:tr>
      <w:tr w:rsidR="00531755" w:rsidRPr="009A57CB" w14:paraId="362D8FD2" w14:textId="77777777" w:rsidTr="00531755">
        <w:tc>
          <w:tcPr>
            <w:tcW w:w="2898" w:type="dxa"/>
          </w:tcPr>
          <w:p w14:paraId="4DC58ADB" w14:textId="0E9DEAFA" w:rsidR="00903BAA" w:rsidRPr="009A57CB" w:rsidRDefault="00903BAA" w:rsidP="00B12490">
            <w:pPr>
              <w:rPr>
                <w:sz w:val="22"/>
                <w:szCs w:val="22"/>
              </w:rPr>
            </w:pPr>
            <w:proofErr w:type="spellStart"/>
            <w:r w:rsidRPr="009A57CB">
              <w:rPr>
                <w:i/>
                <w:iCs/>
                <w:sz w:val="22"/>
                <w:szCs w:val="22"/>
              </w:rPr>
              <w:t>IndustryROA</w:t>
            </w:r>
            <w:proofErr w:type="spellEnd"/>
          </w:p>
        </w:tc>
        <w:tc>
          <w:tcPr>
            <w:tcW w:w="1206" w:type="dxa"/>
            <w:gridSpan w:val="2"/>
          </w:tcPr>
          <w:p w14:paraId="6C239922" w14:textId="2D7D8D10" w:rsidR="00903BAA" w:rsidRPr="009A57CB" w:rsidRDefault="00903BAA" w:rsidP="00903BAA">
            <w:pPr>
              <w:jc w:val="center"/>
              <w:rPr>
                <w:sz w:val="22"/>
                <w:szCs w:val="22"/>
              </w:rPr>
            </w:pPr>
            <w:r w:rsidRPr="009A57CB">
              <w:rPr>
                <w:sz w:val="22"/>
                <w:szCs w:val="22"/>
              </w:rPr>
              <w:t>+</w:t>
            </w:r>
          </w:p>
        </w:tc>
        <w:tc>
          <w:tcPr>
            <w:tcW w:w="1335" w:type="dxa"/>
            <w:gridSpan w:val="2"/>
            <w:vAlign w:val="bottom"/>
          </w:tcPr>
          <w:p w14:paraId="2E6CDBC9" w14:textId="197CCED8" w:rsidR="00903BAA" w:rsidRPr="009A57CB" w:rsidRDefault="00903BAA" w:rsidP="00903BAA">
            <w:pPr>
              <w:jc w:val="center"/>
              <w:rPr>
                <w:sz w:val="22"/>
                <w:szCs w:val="22"/>
              </w:rPr>
            </w:pPr>
            <w:r w:rsidRPr="009A57CB">
              <w:rPr>
                <w:rFonts w:eastAsia="Times New Roman"/>
                <w:color w:val="000000"/>
                <w:sz w:val="22"/>
                <w:szCs w:val="22"/>
              </w:rPr>
              <w:t>0.8</w:t>
            </w:r>
            <w:r w:rsidR="00FA0508">
              <w:rPr>
                <w:rFonts w:eastAsia="Times New Roman"/>
                <w:color w:val="000000"/>
                <w:sz w:val="22"/>
                <w:szCs w:val="22"/>
              </w:rPr>
              <w:t>83</w:t>
            </w:r>
            <w:r w:rsidRPr="009A57CB">
              <w:rPr>
                <w:rFonts w:eastAsia="Times New Roman"/>
                <w:color w:val="000000"/>
                <w:sz w:val="22"/>
                <w:szCs w:val="22"/>
                <w:vertAlign w:val="superscript"/>
              </w:rPr>
              <w:t>***</w:t>
            </w:r>
          </w:p>
        </w:tc>
        <w:tc>
          <w:tcPr>
            <w:tcW w:w="1324" w:type="dxa"/>
            <w:gridSpan w:val="2"/>
            <w:vAlign w:val="bottom"/>
          </w:tcPr>
          <w:p w14:paraId="21387AE6" w14:textId="0E308E85" w:rsidR="00903BAA" w:rsidRPr="009A57CB" w:rsidRDefault="00903BAA" w:rsidP="00903BAA">
            <w:pPr>
              <w:jc w:val="center"/>
              <w:rPr>
                <w:sz w:val="22"/>
                <w:szCs w:val="22"/>
              </w:rPr>
            </w:pPr>
            <w:r w:rsidRPr="009A57CB">
              <w:rPr>
                <w:rFonts w:eastAsia="Times New Roman"/>
                <w:color w:val="000000"/>
                <w:sz w:val="22"/>
                <w:szCs w:val="22"/>
              </w:rPr>
              <w:t>0.373</w:t>
            </w:r>
            <w:r w:rsidRPr="009A57CB">
              <w:rPr>
                <w:rFonts w:eastAsia="Times New Roman"/>
                <w:color w:val="000000"/>
                <w:sz w:val="22"/>
                <w:szCs w:val="22"/>
                <w:vertAlign w:val="superscript"/>
              </w:rPr>
              <w:t>***</w:t>
            </w:r>
          </w:p>
        </w:tc>
        <w:tc>
          <w:tcPr>
            <w:tcW w:w="1311" w:type="dxa"/>
            <w:gridSpan w:val="2"/>
            <w:vAlign w:val="bottom"/>
          </w:tcPr>
          <w:p w14:paraId="0ECF8AF8" w14:textId="77D83ED5" w:rsidR="00903BAA" w:rsidRPr="009A57CB" w:rsidRDefault="00903BAA" w:rsidP="00903BAA">
            <w:pPr>
              <w:jc w:val="center"/>
              <w:rPr>
                <w:sz w:val="22"/>
                <w:szCs w:val="22"/>
              </w:rPr>
            </w:pPr>
            <w:r w:rsidRPr="009A57CB">
              <w:rPr>
                <w:rFonts w:eastAsia="Times New Roman"/>
                <w:color w:val="000000"/>
                <w:sz w:val="22"/>
                <w:szCs w:val="22"/>
              </w:rPr>
              <w:t>0.369</w:t>
            </w:r>
            <w:r w:rsidRPr="009A57CB">
              <w:rPr>
                <w:rFonts w:eastAsia="Times New Roman"/>
                <w:color w:val="000000"/>
                <w:sz w:val="22"/>
                <w:szCs w:val="22"/>
                <w:vertAlign w:val="superscript"/>
              </w:rPr>
              <w:t>***</w:t>
            </w:r>
          </w:p>
        </w:tc>
        <w:tc>
          <w:tcPr>
            <w:tcW w:w="1311" w:type="dxa"/>
            <w:gridSpan w:val="2"/>
            <w:vAlign w:val="bottom"/>
          </w:tcPr>
          <w:p w14:paraId="4B131586" w14:textId="6417F5BB" w:rsidR="00903BAA" w:rsidRPr="009A57CB" w:rsidRDefault="00903BAA" w:rsidP="00903BAA">
            <w:pPr>
              <w:jc w:val="center"/>
              <w:rPr>
                <w:sz w:val="22"/>
                <w:szCs w:val="22"/>
              </w:rPr>
            </w:pPr>
            <w:r w:rsidRPr="009A57CB">
              <w:rPr>
                <w:rFonts w:eastAsia="Times New Roman"/>
                <w:color w:val="000000"/>
                <w:sz w:val="22"/>
                <w:szCs w:val="22"/>
              </w:rPr>
              <w:t>0.3</w:t>
            </w:r>
            <w:r w:rsidR="00B043CA">
              <w:rPr>
                <w:rFonts w:eastAsia="Times New Roman"/>
                <w:color w:val="000000"/>
                <w:sz w:val="22"/>
                <w:szCs w:val="22"/>
              </w:rPr>
              <w:t>25</w:t>
            </w:r>
            <w:r w:rsidR="00547133" w:rsidRPr="009A57CB">
              <w:rPr>
                <w:rFonts w:eastAsia="Times New Roman"/>
                <w:color w:val="000000"/>
                <w:sz w:val="22"/>
                <w:szCs w:val="22"/>
                <w:vertAlign w:val="superscript"/>
              </w:rPr>
              <w:t>***</w:t>
            </w:r>
          </w:p>
        </w:tc>
      </w:tr>
      <w:tr w:rsidR="00531755" w:rsidRPr="009A57CB" w14:paraId="734E1D00" w14:textId="77777777" w:rsidTr="00531755">
        <w:tc>
          <w:tcPr>
            <w:tcW w:w="2898" w:type="dxa"/>
          </w:tcPr>
          <w:p w14:paraId="0CF33279" w14:textId="36DD1FE5" w:rsidR="00903BAA" w:rsidRPr="009A57CB" w:rsidRDefault="00903BAA" w:rsidP="00B12490">
            <w:pPr>
              <w:rPr>
                <w:sz w:val="22"/>
                <w:szCs w:val="22"/>
              </w:rPr>
            </w:pPr>
          </w:p>
        </w:tc>
        <w:tc>
          <w:tcPr>
            <w:tcW w:w="1206" w:type="dxa"/>
            <w:gridSpan w:val="2"/>
          </w:tcPr>
          <w:p w14:paraId="76161EF3" w14:textId="77777777" w:rsidR="00903BAA" w:rsidRPr="009A57CB" w:rsidRDefault="00903BAA" w:rsidP="00903BAA">
            <w:pPr>
              <w:jc w:val="center"/>
              <w:rPr>
                <w:sz w:val="22"/>
                <w:szCs w:val="22"/>
              </w:rPr>
            </w:pPr>
          </w:p>
        </w:tc>
        <w:tc>
          <w:tcPr>
            <w:tcW w:w="1335" w:type="dxa"/>
            <w:gridSpan w:val="2"/>
            <w:vAlign w:val="bottom"/>
          </w:tcPr>
          <w:p w14:paraId="68E414DC" w14:textId="063AE8CB" w:rsidR="00903BAA" w:rsidRPr="009A57CB" w:rsidRDefault="00903BAA" w:rsidP="004459AE">
            <w:pPr>
              <w:jc w:val="center"/>
              <w:rPr>
                <w:sz w:val="22"/>
                <w:szCs w:val="22"/>
              </w:rPr>
            </w:pPr>
            <w:r w:rsidRPr="009A57CB">
              <w:rPr>
                <w:rFonts w:eastAsia="Times New Roman"/>
                <w:color w:val="000000"/>
                <w:sz w:val="22"/>
                <w:szCs w:val="22"/>
              </w:rPr>
              <w:t>(</w:t>
            </w:r>
            <w:r w:rsidR="004459AE">
              <w:rPr>
                <w:rFonts w:eastAsia="Times New Roman"/>
                <w:color w:val="000000"/>
                <w:sz w:val="22"/>
                <w:szCs w:val="22"/>
              </w:rPr>
              <w:t>3</w:t>
            </w:r>
            <w:r w:rsidR="00FA0508">
              <w:rPr>
                <w:rFonts w:eastAsia="Times New Roman"/>
                <w:color w:val="000000"/>
                <w:sz w:val="22"/>
                <w:szCs w:val="22"/>
              </w:rPr>
              <w:t>8.68</w:t>
            </w:r>
            <w:r w:rsidRPr="009A57CB">
              <w:rPr>
                <w:rFonts w:eastAsia="Times New Roman"/>
                <w:color w:val="000000"/>
                <w:sz w:val="22"/>
                <w:szCs w:val="22"/>
              </w:rPr>
              <w:t>)</w:t>
            </w:r>
          </w:p>
        </w:tc>
        <w:tc>
          <w:tcPr>
            <w:tcW w:w="1324" w:type="dxa"/>
            <w:gridSpan w:val="2"/>
            <w:vAlign w:val="bottom"/>
          </w:tcPr>
          <w:p w14:paraId="11013203" w14:textId="1D016FC4" w:rsidR="00903BAA" w:rsidRPr="009A57CB" w:rsidRDefault="00903BAA" w:rsidP="007D66DD">
            <w:pPr>
              <w:jc w:val="center"/>
              <w:rPr>
                <w:sz w:val="22"/>
                <w:szCs w:val="22"/>
              </w:rPr>
            </w:pPr>
            <w:r w:rsidRPr="009A57CB">
              <w:rPr>
                <w:rFonts w:eastAsia="Times New Roman"/>
                <w:color w:val="000000"/>
                <w:sz w:val="22"/>
                <w:szCs w:val="22"/>
              </w:rPr>
              <w:t>(</w:t>
            </w:r>
            <w:r w:rsidR="007D66DD">
              <w:rPr>
                <w:rFonts w:eastAsia="Times New Roman"/>
                <w:color w:val="000000"/>
                <w:sz w:val="22"/>
                <w:szCs w:val="22"/>
              </w:rPr>
              <w:t>17.</w:t>
            </w:r>
            <w:r w:rsidR="00FA0508">
              <w:rPr>
                <w:rFonts w:eastAsia="Times New Roman"/>
                <w:color w:val="000000"/>
                <w:sz w:val="22"/>
                <w:szCs w:val="22"/>
              </w:rPr>
              <w:t>66</w:t>
            </w:r>
            <w:r w:rsidRPr="009A57CB">
              <w:rPr>
                <w:rFonts w:eastAsia="Times New Roman"/>
                <w:color w:val="000000"/>
                <w:sz w:val="22"/>
                <w:szCs w:val="22"/>
              </w:rPr>
              <w:t>)</w:t>
            </w:r>
          </w:p>
        </w:tc>
        <w:tc>
          <w:tcPr>
            <w:tcW w:w="1311" w:type="dxa"/>
            <w:gridSpan w:val="2"/>
            <w:vAlign w:val="bottom"/>
          </w:tcPr>
          <w:p w14:paraId="75E85AC1" w14:textId="5B2978A2" w:rsidR="00903BAA" w:rsidRPr="009A57CB" w:rsidRDefault="00903BAA" w:rsidP="007D66DD">
            <w:pPr>
              <w:jc w:val="center"/>
              <w:rPr>
                <w:sz w:val="22"/>
                <w:szCs w:val="22"/>
              </w:rPr>
            </w:pPr>
            <w:r w:rsidRPr="009A57CB">
              <w:rPr>
                <w:rFonts w:eastAsia="Times New Roman"/>
                <w:color w:val="000000"/>
                <w:sz w:val="22"/>
                <w:szCs w:val="22"/>
              </w:rPr>
              <w:t>(</w:t>
            </w:r>
            <w:r w:rsidR="007D66DD">
              <w:rPr>
                <w:rFonts w:eastAsia="Times New Roman"/>
                <w:color w:val="000000"/>
                <w:sz w:val="22"/>
                <w:szCs w:val="22"/>
              </w:rPr>
              <w:t>1</w:t>
            </w:r>
            <w:r w:rsidR="00FA0508">
              <w:rPr>
                <w:rFonts w:eastAsia="Times New Roman"/>
                <w:color w:val="000000"/>
                <w:sz w:val="22"/>
                <w:szCs w:val="22"/>
              </w:rPr>
              <w:t>6.12</w:t>
            </w:r>
            <w:r w:rsidRPr="009A57CB">
              <w:rPr>
                <w:rFonts w:eastAsia="Times New Roman"/>
                <w:color w:val="000000"/>
                <w:sz w:val="22"/>
                <w:szCs w:val="22"/>
              </w:rPr>
              <w:t>)</w:t>
            </w:r>
          </w:p>
        </w:tc>
        <w:tc>
          <w:tcPr>
            <w:tcW w:w="1311" w:type="dxa"/>
            <w:gridSpan w:val="2"/>
            <w:vAlign w:val="bottom"/>
          </w:tcPr>
          <w:p w14:paraId="6DEE8AC2" w14:textId="6105D529" w:rsidR="00903BAA" w:rsidRPr="009A57CB" w:rsidRDefault="00903BAA" w:rsidP="007D66DD">
            <w:pPr>
              <w:jc w:val="center"/>
              <w:rPr>
                <w:sz w:val="22"/>
                <w:szCs w:val="22"/>
              </w:rPr>
            </w:pPr>
            <w:r w:rsidRPr="009A57CB">
              <w:rPr>
                <w:rFonts w:eastAsia="Times New Roman"/>
                <w:color w:val="000000"/>
                <w:sz w:val="22"/>
                <w:szCs w:val="22"/>
              </w:rPr>
              <w:t>(</w:t>
            </w:r>
            <w:r w:rsidR="007D66DD">
              <w:rPr>
                <w:rFonts w:eastAsia="Times New Roman"/>
                <w:color w:val="000000"/>
                <w:sz w:val="22"/>
                <w:szCs w:val="22"/>
              </w:rPr>
              <w:t>3</w:t>
            </w:r>
            <w:r w:rsidR="00B043CA">
              <w:rPr>
                <w:rFonts w:eastAsia="Times New Roman"/>
                <w:color w:val="000000"/>
                <w:sz w:val="22"/>
                <w:szCs w:val="22"/>
              </w:rPr>
              <w:t>0.91</w:t>
            </w:r>
            <w:r w:rsidRPr="009A57CB">
              <w:rPr>
                <w:rFonts w:eastAsia="Times New Roman"/>
                <w:color w:val="000000"/>
                <w:sz w:val="22"/>
                <w:szCs w:val="22"/>
              </w:rPr>
              <w:t>)</w:t>
            </w:r>
          </w:p>
        </w:tc>
      </w:tr>
      <w:tr w:rsidR="00531755" w:rsidRPr="009A57CB" w14:paraId="611376B4" w14:textId="77777777" w:rsidTr="00531755">
        <w:tc>
          <w:tcPr>
            <w:tcW w:w="2898" w:type="dxa"/>
          </w:tcPr>
          <w:p w14:paraId="16BB71D4" w14:textId="69525D45" w:rsidR="00903BAA" w:rsidRPr="009A57CB" w:rsidRDefault="00903BAA" w:rsidP="00B12490">
            <w:pPr>
              <w:rPr>
                <w:i/>
                <w:iCs/>
                <w:sz w:val="22"/>
                <w:szCs w:val="22"/>
              </w:rPr>
            </w:pPr>
            <w:r w:rsidRPr="009A57CB">
              <w:rPr>
                <w:i/>
                <w:iCs/>
                <w:sz w:val="22"/>
                <w:szCs w:val="22"/>
              </w:rPr>
              <w:t>Age</w:t>
            </w:r>
          </w:p>
        </w:tc>
        <w:tc>
          <w:tcPr>
            <w:tcW w:w="1206" w:type="dxa"/>
            <w:gridSpan w:val="2"/>
          </w:tcPr>
          <w:p w14:paraId="3E01FFA3" w14:textId="77DF31AA" w:rsidR="00903BAA" w:rsidRPr="009A57CB" w:rsidRDefault="00D710C5" w:rsidP="00903BAA">
            <w:pPr>
              <w:jc w:val="center"/>
              <w:rPr>
                <w:sz w:val="22"/>
                <w:szCs w:val="22"/>
              </w:rPr>
            </w:pPr>
            <w:r w:rsidRPr="009A57CB">
              <w:rPr>
                <w:sz w:val="22"/>
                <w:szCs w:val="22"/>
              </w:rPr>
              <w:t>+</w:t>
            </w:r>
          </w:p>
        </w:tc>
        <w:tc>
          <w:tcPr>
            <w:tcW w:w="1335" w:type="dxa"/>
            <w:gridSpan w:val="2"/>
            <w:vAlign w:val="bottom"/>
          </w:tcPr>
          <w:p w14:paraId="300A89FD" w14:textId="37CF7ED4" w:rsidR="00903BAA" w:rsidRPr="009A57CB" w:rsidRDefault="00903BAA" w:rsidP="00903BAA">
            <w:pPr>
              <w:jc w:val="center"/>
              <w:rPr>
                <w:sz w:val="22"/>
                <w:szCs w:val="22"/>
              </w:rPr>
            </w:pPr>
            <w:r w:rsidRPr="009A57CB">
              <w:rPr>
                <w:rFonts w:eastAsia="Times New Roman"/>
                <w:color w:val="000000"/>
                <w:sz w:val="22"/>
                <w:szCs w:val="22"/>
              </w:rPr>
              <w:t>0.00</w:t>
            </w:r>
            <w:r w:rsidR="00FA0508">
              <w:rPr>
                <w:rFonts w:eastAsia="Times New Roman"/>
                <w:color w:val="000000"/>
                <w:sz w:val="22"/>
                <w:szCs w:val="22"/>
              </w:rPr>
              <w:t>5</w:t>
            </w:r>
            <w:r w:rsidRPr="009A57CB">
              <w:rPr>
                <w:rFonts w:eastAsia="Times New Roman"/>
                <w:color w:val="000000"/>
                <w:sz w:val="22"/>
                <w:szCs w:val="22"/>
                <w:vertAlign w:val="superscript"/>
              </w:rPr>
              <w:t>***</w:t>
            </w:r>
          </w:p>
        </w:tc>
        <w:tc>
          <w:tcPr>
            <w:tcW w:w="1324" w:type="dxa"/>
            <w:gridSpan w:val="2"/>
            <w:vAlign w:val="bottom"/>
          </w:tcPr>
          <w:p w14:paraId="1F5C7CB0" w14:textId="50286A40" w:rsidR="00903BAA" w:rsidRPr="009A57CB" w:rsidRDefault="00903BAA" w:rsidP="00903BAA">
            <w:pPr>
              <w:jc w:val="center"/>
              <w:rPr>
                <w:sz w:val="22"/>
                <w:szCs w:val="22"/>
              </w:rPr>
            </w:pPr>
            <w:r w:rsidRPr="009A57CB">
              <w:rPr>
                <w:rFonts w:eastAsia="Times New Roman"/>
                <w:color w:val="000000"/>
                <w:sz w:val="22"/>
                <w:szCs w:val="22"/>
              </w:rPr>
              <w:t>0.001</w:t>
            </w:r>
            <w:r w:rsidRPr="009A57CB">
              <w:rPr>
                <w:rFonts w:eastAsia="Times New Roman"/>
                <w:color w:val="000000"/>
                <w:sz w:val="22"/>
                <w:szCs w:val="22"/>
                <w:vertAlign w:val="superscript"/>
              </w:rPr>
              <w:t>*</w:t>
            </w:r>
            <w:r w:rsidR="00DB5F1B" w:rsidRPr="009A57CB">
              <w:rPr>
                <w:rFonts w:eastAsia="Times New Roman"/>
                <w:color w:val="000000"/>
                <w:sz w:val="22"/>
                <w:szCs w:val="22"/>
                <w:vertAlign w:val="superscript"/>
              </w:rPr>
              <w:t>*</w:t>
            </w:r>
          </w:p>
        </w:tc>
        <w:tc>
          <w:tcPr>
            <w:tcW w:w="1311" w:type="dxa"/>
            <w:gridSpan w:val="2"/>
            <w:vAlign w:val="bottom"/>
          </w:tcPr>
          <w:p w14:paraId="3A28343E" w14:textId="0506B169" w:rsidR="00903BAA" w:rsidRPr="009A57CB" w:rsidRDefault="00903BAA" w:rsidP="00903BAA">
            <w:pPr>
              <w:jc w:val="center"/>
              <w:rPr>
                <w:sz w:val="22"/>
                <w:szCs w:val="22"/>
              </w:rPr>
            </w:pPr>
            <w:r w:rsidRPr="009A57CB">
              <w:rPr>
                <w:rFonts w:eastAsia="Times New Roman"/>
                <w:color w:val="000000"/>
                <w:sz w:val="22"/>
                <w:szCs w:val="22"/>
              </w:rPr>
              <w:t>0.001</w:t>
            </w:r>
            <w:r w:rsidRPr="009A57CB">
              <w:rPr>
                <w:rFonts w:eastAsia="Times New Roman"/>
                <w:color w:val="000000"/>
                <w:sz w:val="22"/>
                <w:szCs w:val="22"/>
                <w:vertAlign w:val="superscript"/>
              </w:rPr>
              <w:t>*</w:t>
            </w:r>
            <w:r w:rsidR="00DB5F1B" w:rsidRPr="009A57CB">
              <w:rPr>
                <w:rFonts w:eastAsia="Times New Roman"/>
                <w:color w:val="000000"/>
                <w:sz w:val="22"/>
                <w:szCs w:val="22"/>
                <w:vertAlign w:val="superscript"/>
              </w:rPr>
              <w:t>*</w:t>
            </w:r>
          </w:p>
        </w:tc>
        <w:tc>
          <w:tcPr>
            <w:tcW w:w="1311" w:type="dxa"/>
            <w:gridSpan w:val="2"/>
            <w:vAlign w:val="bottom"/>
          </w:tcPr>
          <w:p w14:paraId="3369133A" w14:textId="2F85EF3A" w:rsidR="00903BAA" w:rsidRPr="009A57CB" w:rsidRDefault="00903BAA" w:rsidP="00903BAA">
            <w:pPr>
              <w:jc w:val="center"/>
              <w:rPr>
                <w:sz w:val="22"/>
                <w:szCs w:val="22"/>
              </w:rPr>
            </w:pPr>
            <w:r w:rsidRPr="009A57CB">
              <w:rPr>
                <w:rFonts w:eastAsia="Times New Roman"/>
                <w:color w:val="000000"/>
                <w:sz w:val="22"/>
                <w:szCs w:val="22"/>
              </w:rPr>
              <w:t>0.000</w:t>
            </w:r>
          </w:p>
        </w:tc>
      </w:tr>
      <w:tr w:rsidR="00531755" w:rsidRPr="009A57CB" w14:paraId="128381E3" w14:textId="77777777" w:rsidTr="00531755">
        <w:tc>
          <w:tcPr>
            <w:tcW w:w="2898" w:type="dxa"/>
          </w:tcPr>
          <w:p w14:paraId="42BDC10A" w14:textId="02810398" w:rsidR="00903BAA" w:rsidRPr="009A57CB" w:rsidRDefault="00903BAA" w:rsidP="00B12490">
            <w:pPr>
              <w:rPr>
                <w:sz w:val="22"/>
                <w:szCs w:val="22"/>
              </w:rPr>
            </w:pPr>
          </w:p>
        </w:tc>
        <w:tc>
          <w:tcPr>
            <w:tcW w:w="1206" w:type="dxa"/>
            <w:gridSpan w:val="2"/>
          </w:tcPr>
          <w:p w14:paraId="6982120F" w14:textId="77777777" w:rsidR="00903BAA" w:rsidRPr="009A57CB" w:rsidRDefault="00903BAA" w:rsidP="00903BAA">
            <w:pPr>
              <w:jc w:val="center"/>
              <w:rPr>
                <w:sz w:val="22"/>
                <w:szCs w:val="22"/>
              </w:rPr>
            </w:pPr>
          </w:p>
        </w:tc>
        <w:tc>
          <w:tcPr>
            <w:tcW w:w="1335" w:type="dxa"/>
            <w:gridSpan w:val="2"/>
            <w:vAlign w:val="bottom"/>
          </w:tcPr>
          <w:p w14:paraId="04A37AD2" w14:textId="00AEFE6D" w:rsidR="00903BAA" w:rsidRPr="009A57CB" w:rsidRDefault="00903BAA" w:rsidP="004459AE">
            <w:pPr>
              <w:jc w:val="center"/>
              <w:rPr>
                <w:sz w:val="22"/>
                <w:szCs w:val="22"/>
              </w:rPr>
            </w:pPr>
            <w:r w:rsidRPr="009A57CB">
              <w:rPr>
                <w:rFonts w:eastAsia="Times New Roman"/>
                <w:color w:val="000000"/>
                <w:sz w:val="22"/>
                <w:szCs w:val="22"/>
              </w:rPr>
              <w:t>(</w:t>
            </w:r>
            <w:r w:rsidR="00FA0508">
              <w:rPr>
                <w:rFonts w:eastAsia="Times New Roman"/>
                <w:color w:val="000000"/>
                <w:sz w:val="22"/>
                <w:szCs w:val="22"/>
              </w:rPr>
              <w:t>5.32</w:t>
            </w:r>
            <w:r w:rsidRPr="009A57CB">
              <w:rPr>
                <w:rFonts w:eastAsia="Times New Roman"/>
                <w:color w:val="000000"/>
                <w:sz w:val="22"/>
                <w:szCs w:val="22"/>
              </w:rPr>
              <w:t>)</w:t>
            </w:r>
          </w:p>
        </w:tc>
        <w:tc>
          <w:tcPr>
            <w:tcW w:w="1324" w:type="dxa"/>
            <w:gridSpan w:val="2"/>
            <w:vAlign w:val="bottom"/>
          </w:tcPr>
          <w:p w14:paraId="0EAB8A22" w14:textId="54633D51" w:rsidR="00903BAA" w:rsidRPr="009A57CB" w:rsidRDefault="00903BAA" w:rsidP="007D66DD">
            <w:pPr>
              <w:jc w:val="center"/>
              <w:rPr>
                <w:sz w:val="22"/>
                <w:szCs w:val="22"/>
              </w:rPr>
            </w:pPr>
            <w:r w:rsidRPr="009A57CB">
              <w:rPr>
                <w:rFonts w:eastAsia="Times New Roman"/>
                <w:color w:val="000000"/>
                <w:sz w:val="22"/>
                <w:szCs w:val="22"/>
              </w:rPr>
              <w:t>(</w:t>
            </w:r>
            <w:r w:rsidR="00FA0508">
              <w:rPr>
                <w:rFonts w:eastAsia="Times New Roman"/>
                <w:color w:val="000000"/>
                <w:sz w:val="22"/>
                <w:szCs w:val="22"/>
              </w:rPr>
              <w:t>2.23</w:t>
            </w:r>
            <w:r w:rsidRPr="009A57CB">
              <w:rPr>
                <w:rFonts w:eastAsia="Times New Roman"/>
                <w:color w:val="000000"/>
                <w:sz w:val="22"/>
                <w:szCs w:val="22"/>
              </w:rPr>
              <w:t>)</w:t>
            </w:r>
          </w:p>
        </w:tc>
        <w:tc>
          <w:tcPr>
            <w:tcW w:w="1311" w:type="dxa"/>
            <w:gridSpan w:val="2"/>
            <w:vAlign w:val="bottom"/>
          </w:tcPr>
          <w:p w14:paraId="65DEE489" w14:textId="169F2B35" w:rsidR="00903BAA" w:rsidRPr="009A57CB" w:rsidRDefault="00903BAA" w:rsidP="007D66DD">
            <w:pPr>
              <w:jc w:val="center"/>
              <w:rPr>
                <w:sz w:val="22"/>
                <w:szCs w:val="22"/>
              </w:rPr>
            </w:pPr>
            <w:r w:rsidRPr="009A57CB">
              <w:rPr>
                <w:rFonts w:eastAsia="Times New Roman"/>
                <w:color w:val="000000"/>
                <w:sz w:val="22"/>
                <w:szCs w:val="22"/>
              </w:rPr>
              <w:t>(</w:t>
            </w:r>
            <w:r w:rsidR="00FA0508">
              <w:rPr>
                <w:rFonts w:eastAsia="Times New Roman"/>
                <w:color w:val="000000"/>
                <w:sz w:val="22"/>
                <w:szCs w:val="22"/>
              </w:rPr>
              <w:t>2.19</w:t>
            </w:r>
            <w:r w:rsidRPr="009A57CB">
              <w:rPr>
                <w:rFonts w:eastAsia="Times New Roman"/>
                <w:color w:val="000000"/>
                <w:sz w:val="22"/>
                <w:szCs w:val="22"/>
              </w:rPr>
              <w:t>)</w:t>
            </w:r>
          </w:p>
        </w:tc>
        <w:tc>
          <w:tcPr>
            <w:tcW w:w="1311" w:type="dxa"/>
            <w:gridSpan w:val="2"/>
            <w:vAlign w:val="bottom"/>
          </w:tcPr>
          <w:p w14:paraId="32F23FBA" w14:textId="734948E6" w:rsidR="00903BAA" w:rsidRPr="009A57CB" w:rsidRDefault="00903BAA" w:rsidP="007D66DD">
            <w:pPr>
              <w:jc w:val="center"/>
              <w:rPr>
                <w:sz w:val="22"/>
                <w:szCs w:val="22"/>
              </w:rPr>
            </w:pPr>
            <w:r w:rsidRPr="009A57CB">
              <w:rPr>
                <w:rFonts w:eastAsia="Times New Roman"/>
                <w:color w:val="000000"/>
                <w:sz w:val="22"/>
                <w:szCs w:val="22"/>
              </w:rPr>
              <w:t>(0.</w:t>
            </w:r>
            <w:r w:rsidR="00B043CA">
              <w:rPr>
                <w:rFonts w:eastAsia="Times New Roman"/>
                <w:color w:val="000000"/>
                <w:sz w:val="22"/>
                <w:szCs w:val="22"/>
              </w:rPr>
              <w:t>04</w:t>
            </w:r>
            <w:r w:rsidRPr="009A57CB">
              <w:rPr>
                <w:rFonts w:eastAsia="Times New Roman"/>
                <w:color w:val="000000"/>
                <w:sz w:val="22"/>
                <w:szCs w:val="22"/>
              </w:rPr>
              <w:t>)</w:t>
            </w:r>
          </w:p>
        </w:tc>
      </w:tr>
      <w:tr w:rsidR="00531755" w:rsidRPr="009A57CB" w14:paraId="259DE7D3" w14:textId="77777777" w:rsidTr="00531755">
        <w:tc>
          <w:tcPr>
            <w:tcW w:w="2898" w:type="dxa"/>
          </w:tcPr>
          <w:p w14:paraId="5A1AA799" w14:textId="15B091BF" w:rsidR="00903BAA" w:rsidRPr="009A57CB" w:rsidRDefault="00903BAA" w:rsidP="00B12490">
            <w:pPr>
              <w:rPr>
                <w:sz w:val="22"/>
                <w:szCs w:val="22"/>
              </w:rPr>
            </w:pPr>
            <w:r w:rsidRPr="009A57CB">
              <w:rPr>
                <w:i/>
                <w:sz w:val="22"/>
                <w:szCs w:val="22"/>
              </w:rPr>
              <w:t>∆GDP</w:t>
            </w:r>
          </w:p>
        </w:tc>
        <w:tc>
          <w:tcPr>
            <w:tcW w:w="1206" w:type="dxa"/>
            <w:gridSpan w:val="2"/>
          </w:tcPr>
          <w:p w14:paraId="7BF8C56D" w14:textId="48813AD2" w:rsidR="00903BAA" w:rsidRPr="009A57CB" w:rsidRDefault="00D710C5" w:rsidP="00903BAA">
            <w:pPr>
              <w:jc w:val="center"/>
              <w:rPr>
                <w:sz w:val="22"/>
                <w:szCs w:val="22"/>
              </w:rPr>
            </w:pPr>
            <w:r w:rsidRPr="009A57CB">
              <w:rPr>
                <w:sz w:val="22"/>
                <w:szCs w:val="22"/>
              </w:rPr>
              <w:t>+</w:t>
            </w:r>
          </w:p>
        </w:tc>
        <w:tc>
          <w:tcPr>
            <w:tcW w:w="1335" w:type="dxa"/>
            <w:gridSpan w:val="2"/>
            <w:vAlign w:val="bottom"/>
          </w:tcPr>
          <w:p w14:paraId="4B9C7305" w14:textId="5D7E85AE" w:rsidR="00903BAA" w:rsidRPr="009A57CB" w:rsidRDefault="00903BAA" w:rsidP="00903BAA">
            <w:pPr>
              <w:jc w:val="center"/>
              <w:rPr>
                <w:sz w:val="22"/>
                <w:szCs w:val="22"/>
              </w:rPr>
            </w:pPr>
            <w:r w:rsidRPr="009A57CB">
              <w:rPr>
                <w:rFonts w:eastAsia="Times New Roman"/>
                <w:color w:val="000000"/>
                <w:sz w:val="22"/>
                <w:szCs w:val="22"/>
              </w:rPr>
              <w:t>0.03</w:t>
            </w:r>
            <w:r w:rsidR="00FA0508">
              <w:rPr>
                <w:rFonts w:eastAsia="Times New Roman"/>
                <w:color w:val="000000"/>
                <w:sz w:val="22"/>
                <w:szCs w:val="22"/>
              </w:rPr>
              <w:t>5</w:t>
            </w:r>
            <w:r w:rsidRPr="009A57CB">
              <w:rPr>
                <w:rFonts w:eastAsia="Times New Roman"/>
                <w:color w:val="000000"/>
                <w:sz w:val="22"/>
                <w:szCs w:val="22"/>
                <w:vertAlign w:val="superscript"/>
              </w:rPr>
              <w:t>***</w:t>
            </w:r>
          </w:p>
        </w:tc>
        <w:tc>
          <w:tcPr>
            <w:tcW w:w="1324" w:type="dxa"/>
            <w:gridSpan w:val="2"/>
            <w:vAlign w:val="bottom"/>
          </w:tcPr>
          <w:p w14:paraId="4BF569DF" w14:textId="59DB543A" w:rsidR="00903BAA" w:rsidRPr="009A57CB" w:rsidRDefault="00903BAA" w:rsidP="00903BAA">
            <w:pPr>
              <w:jc w:val="center"/>
              <w:rPr>
                <w:sz w:val="22"/>
                <w:szCs w:val="22"/>
              </w:rPr>
            </w:pPr>
            <w:r w:rsidRPr="009A57CB">
              <w:rPr>
                <w:rFonts w:eastAsia="Times New Roman"/>
                <w:color w:val="000000"/>
                <w:sz w:val="22"/>
                <w:szCs w:val="22"/>
              </w:rPr>
              <w:t>0.02</w:t>
            </w:r>
            <w:r w:rsidR="00FA0508">
              <w:rPr>
                <w:rFonts w:eastAsia="Times New Roman"/>
                <w:color w:val="000000"/>
                <w:sz w:val="22"/>
                <w:szCs w:val="22"/>
              </w:rPr>
              <w:t>3</w:t>
            </w:r>
            <w:r w:rsidRPr="009A57CB">
              <w:rPr>
                <w:rFonts w:eastAsia="Times New Roman"/>
                <w:color w:val="000000"/>
                <w:sz w:val="22"/>
                <w:szCs w:val="22"/>
                <w:vertAlign w:val="superscript"/>
              </w:rPr>
              <w:t>***</w:t>
            </w:r>
          </w:p>
        </w:tc>
        <w:tc>
          <w:tcPr>
            <w:tcW w:w="1311" w:type="dxa"/>
            <w:gridSpan w:val="2"/>
            <w:vAlign w:val="bottom"/>
          </w:tcPr>
          <w:p w14:paraId="20EB6ECC" w14:textId="4E3B241D" w:rsidR="00903BAA" w:rsidRPr="009A57CB" w:rsidRDefault="00903BAA" w:rsidP="00903BAA">
            <w:pPr>
              <w:jc w:val="center"/>
              <w:rPr>
                <w:sz w:val="22"/>
                <w:szCs w:val="22"/>
              </w:rPr>
            </w:pPr>
            <w:r w:rsidRPr="009A57CB">
              <w:rPr>
                <w:rFonts w:eastAsia="Times New Roman"/>
                <w:color w:val="000000"/>
                <w:sz w:val="22"/>
                <w:szCs w:val="22"/>
              </w:rPr>
              <w:t>0.02</w:t>
            </w:r>
            <w:r w:rsidR="00FA0508">
              <w:rPr>
                <w:rFonts w:eastAsia="Times New Roman"/>
                <w:color w:val="000000"/>
                <w:sz w:val="22"/>
                <w:szCs w:val="22"/>
              </w:rPr>
              <w:t>3</w:t>
            </w:r>
            <w:r w:rsidRPr="009A57CB">
              <w:rPr>
                <w:rFonts w:eastAsia="Times New Roman"/>
                <w:color w:val="000000"/>
                <w:sz w:val="22"/>
                <w:szCs w:val="22"/>
                <w:vertAlign w:val="superscript"/>
              </w:rPr>
              <w:t>***</w:t>
            </w:r>
          </w:p>
        </w:tc>
        <w:tc>
          <w:tcPr>
            <w:tcW w:w="1311" w:type="dxa"/>
            <w:gridSpan w:val="2"/>
            <w:vAlign w:val="bottom"/>
          </w:tcPr>
          <w:p w14:paraId="03065956" w14:textId="4DE54DB7" w:rsidR="00903BAA" w:rsidRPr="009A57CB" w:rsidRDefault="00903BAA" w:rsidP="00903BAA">
            <w:pPr>
              <w:jc w:val="center"/>
              <w:rPr>
                <w:sz w:val="22"/>
                <w:szCs w:val="22"/>
              </w:rPr>
            </w:pPr>
            <w:r w:rsidRPr="009A57CB">
              <w:rPr>
                <w:rFonts w:eastAsia="Times New Roman"/>
                <w:color w:val="000000"/>
                <w:sz w:val="22"/>
                <w:szCs w:val="22"/>
              </w:rPr>
              <w:t>0.03</w:t>
            </w:r>
            <w:r w:rsidR="00B043CA">
              <w:rPr>
                <w:rFonts w:eastAsia="Times New Roman"/>
                <w:color w:val="000000"/>
                <w:sz w:val="22"/>
                <w:szCs w:val="22"/>
              </w:rPr>
              <w:t>0</w:t>
            </w:r>
            <w:r w:rsidR="00547133" w:rsidRPr="009A57CB">
              <w:rPr>
                <w:rFonts w:eastAsia="Times New Roman"/>
                <w:color w:val="000000"/>
                <w:sz w:val="22"/>
                <w:szCs w:val="22"/>
                <w:vertAlign w:val="superscript"/>
              </w:rPr>
              <w:t>***</w:t>
            </w:r>
          </w:p>
        </w:tc>
      </w:tr>
      <w:tr w:rsidR="00531755" w:rsidRPr="009A57CB" w14:paraId="3107CB77" w14:textId="77777777" w:rsidTr="00531755">
        <w:tc>
          <w:tcPr>
            <w:tcW w:w="2898" w:type="dxa"/>
          </w:tcPr>
          <w:p w14:paraId="35D34A3E" w14:textId="6C46159E" w:rsidR="00903BAA" w:rsidRPr="009A57CB" w:rsidRDefault="00903BAA" w:rsidP="00B12490">
            <w:pPr>
              <w:rPr>
                <w:sz w:val="22"/>
                <w:szCs w:val="22"/>
              </w:rPr>
            </w:pPr>
          </w:p>
        </w:tc>
        <w:tc>
          <w:tcPr>
            <w:tcW w:w="1206" w:type="dxa"/>
            <w:gridSpan w:val="2"/>
          </w:tcPr>
          <w:p w14:paraId="4BDE8514" w14:textId="77777777" w:rsidR="00903BAA" w:rsidRPr="009A57CB" w:rsidRDefault="00903BAA" w:rsidP="00903BAA">
            <w:pPr>
              <w:jc w:val="center"/>
              <w:rPr>
                <w:sz w:val="22"/>
                <w:szCs w:val="22"/>
              </w:rPr>
            </w:pPr>
          </w:p>
        </w:tc>
        <w:tc>
          <w:tcPr>
            <w:tcW w:w="1335" w:type="dxa"/>
            <w:gridSpan w:val="2"/>
            <w:vAlign w:val="bottom"/>
          </w:tcPr>
          <w:p w14:paraId="05D40D09" w14:textId="3EF94F6C" w:rsidR="00903BAA" w:rsidRPr="009A57CB" w:rsidRDefault="00903BAA" w:rsidP="004459AE">
            <w:pPr>
              <w:jc w:val="center"/>
              <w:rPr>
                <w:sz w:val="22"/>
                <w:szCs w:val="22"/>
              </w:rPr>
            </w:pPr>
            <w:r w:rsidRPr="009A57CB">
              <w:rPr>
                <w:rFonts w:eastAsia="Times New Roman"/>
                <w:color w:val="000000"/>
                <w:sz w:val="22"/>
                <w:szCs w:val="22"/>
              </w:rPr>
              <w:t>(</w:t>
            </w:r>
            <w:r w:rsidR="00FA0508">
              <w:rPr>
                <w:rFonts w:eastAsia="Times New Roman"/>
                <w:color w:val="000000"/>
                <w:sz w:val="22"/>
                <w:szCs w:val="22"/>
              </w:rPr>
              <w:t>4.94</w:t>
            </w:r>
            <w:r w:rsidRPr="009A57CB">
              <w:rPr>
                <w:rFonts w:eastAsia="Times New Roman"/>
                <w:color w:val="000000"/>
                <w:sz w:val="22"/>
                <w:szCs w:val="22"/>
              </w:rPr>
              <w:t>)</w:t>
            </w:r>
          </w:p>
        </w:tc>
        <w:tc>
          <w:tcPr>
            <w:tcW w:w="1324" w:type="dxa"/>
            <w:gridSpan w:val="2"/>
            <w:vAlign w:val="bottom"/>
          </w:tcPr>
          <w:p w14:paraId="3304C3F3" w14:textId="4182C709" w:rsidR="00903BAA" w:rsidRPr="009A57CB" w:rsidRDefault="00903BAA" w:rsidP="007D66DD">
            <w:pPr>
              <w:jc w:val="center"/>
              <w:rPr>
                <w:sz w:val="22"/>
                <w:szCs w:val="22"/>
              </w:rPr>
            </w:pPr>
            <w:r w:rsidRPr="009A57CB">
              <w:rPr>
                <w:rFonts w:eastAsia="Times New Roman"/>
                <w:color w:val="000000"/>
                <w:sz w:val="22"/>
                <w:szCs w:val="22"/>
              </w:rPr>
              <w:t>(</w:t>
            </w:r>
            <w:r w:rsidR="00FA0508">
              <w:rPr>
                <w:rFonts w:eastAsia="Times New Roman"/>
                <w:color w:val="000000"/>
                <w:sz w:val="22"/>
                <w:szCs w:val="22"/>
              </w:rPr>
              <w:t>5.142</w:t>
            </w:r>
            <w:r w:rsidRPr="009A57CB">
              <w:rPr>
                <w:rFonts w:eastAsia="Times New Roman"/>
                <w:color w:val="000000"/>
                <w:sz w:val="22"/>
                <w:szCs w:val="22"/>
              </w:rPr>
              <w:t>)</w:t>
            </w:r>
          </w:p>
        </w:tc>
        <w:tc>
          <w:tcPr>
            <w:tcW w:w="1311" w:type="dxa"/>
            <w:gridSpan w:val="2"/>
            <w:vAlign w:val="bottom"/>
          </w:tcPr>
          <w:p w14:paraId="58DE0529" w14:textId="3F800880" w:rsidR="00903BAA" w:rsidRPr="009A57CB" w:rsidRDefault="00903BAA" w:rsidP="007D66DD">
            <w:pPr>
              <w:jc w:val="center"/>
              <w:rPr>
                <w:sz w:val="22"/>
                <w:szCs w:val="22"/>
              </w:rPr>
            </w:pPr>
            <w:r w:rsidRPr="009A57CB">
              <w:rPr>
                <w:rFonts w:eastAsia="Times New Roman"/>
                <w:color w:val="000000"/>
                <w:sz w:val="22"/>
                <w:szCs w:val="22"/>
              </w:rPr>
              <w:t>(</w:t>
            </w:r>
            <w:r w:rsidR="00FA0508">
              <w:rPr>
                <w:rFonts w:eastAsia="Times New Roman"/>
                <w:color w:val="000000"/>
                <w:sz w:val="22"/>
                <w:szCs w:val="22"/>
              </w:rPr>
              <w:t>5.09</w:t>
            </w:r>
            <w:r w:rsidRPr="009A57CB">
              <w:rPr>
                <w:rFonts w:eastAsia="Times New Roman"/>
                <w:color w:val="000000"/>
                <w:sz w:val="22"/>
                <w:szCs w:val="22"/>
              </w:rPr>
              <w:t>)</w:t>
            </w:r>
          </w:p>
        </w:tc>
        <w:tc>
          <w:tcPr>
            <w:tcW w:w="1311" w:type="dxa"/>
            <w:gridSpan w:val="2"/>
            <w:vAlign w:val="bottom"/>
          </w:tcPr>
          <w:p w14:paraId="5878E576" w14:textId="0DC5F769" w:rsidR="00903BAA" w:rsidRPr="009A57CB" w:rsidRDefault="00903BAA" w:rsidP="007D66DD">
            <w:pPr>
              <w:jc w:val="center"/>
              <w:rPr>
                <w:sz w:val="22"/>
                <w:szCs w:val="22"/>
              </w:rPr>
            </w:pPr>
            <w:r w:rsidRPr="009A57CB">
              <w:rPr>
                <w:rFonts w:eastAsia="Times New Roman"/>
                <w:color w:val="000000"/>
                <w:sz w:val="22"/>
                <w:szCs w:val="22"/>
              </w:rPr>
              <w:t>(</w:t>
            </w:r>
            <w:r w:rsidR="007D66DD">
              <w:rPr>
                <w:rFonts w:eastAsia="Times New Roman"/>
                <w:color w:val="000000"/>
                <w:sz w:val="22"/>
                <w:szCs w:val="22"/>
              </w:rPr>
              <w:t>8</w:t>
            </w:r>
            <w:r w:rsidRPr="009A57CB">
              <w:rPr>
                <w:rFonts w:eastAsia="Times New Roman"/>
                <w:color w:val="000000"/>
                <w:sz w:val="22"/>
                <w:szCs w:val="22"/>
              </w:rPr>
              <w:t>.</w:t>
            </w:r>
            <w:r w:rsidR="00B043CA">
              <w:rPr>
                <w:rFonts w:eastAsia="Times New Roman"/>
                <w:color w:val="000000"/>
                <w:sz w:val="22"/>
                <w:szCs w:val="22"/>
              </w:rPr>
              <w:t>02</w:t>
            </w:r>
            <w:r w:rsidRPr="009A57CB">
              <w:rPr>
                <w:rFonts w:eastAsia="Times New Roman"/>
                <w:color w:val="000000"/>
                <w:sz w:val="22"/>
                <w:szCs w:val="22"/>
              </w:rPr>
              <w:t>)</w:t>
            </w:r>
          </w:p>
        </w:tc>
      </w:tr>
      <w:tr w:rsidR="00531755" w:rsidRPr="009A57CB" w14:paraId="65B61F9A" w14:textId="77777777" w:rsidTr="00531755">
        <w:tc>
          <w:tcPr>
            <w:tcW w:w="2898" w:type="dxa"/>
          </w:tcPr>
          <w:p w14:paraId="131567C7" w14:textId="52EDAF57" w:rsidR="00903BAA" w:rsidRPr="009A57CB" w:rsidRDefault="00903BAA" w:rsidP="00B12490">
            <w:pPr>
              <w:rPr>
                <w:sz w:val="22"/>
                <w:szCs w:val="22"/>
              </w:rPr>
            </w:pPr>
            <w:r w:rsidRPr="009A57CB">
              <w:rPr>
                <w:i/>
                <w:sz w:val="22"/>
                <w:szCs w:val="22"/>
              </w:rPr>
              <w:t>∆</w:t>
            </w:r>
            <w:proofErr w:type="spellStart"/>
            <w:r w:rsidRPr="009A57CB">
              <w:rPr>
                <w:i/>
                <w:sz w:val="22"/>
                <w:szCs w:val="22"/>
              </w:rPr>
              <w:t>MarketSize</w:t>
            </w:r>
            <w:proofErr w:type="spellEnd"/>
          </w:p>
        </w:tc>
        <w:tc>
          <w:tcPr>
            <w:tcW w:w="1206" w:type="dxa"/>
            <w:gridSpan w:val="2"/>
          </w:tcPr>
          <w:p w14:paraId="607FAD81" w14:textId="20BA7211" w:rsidR="00903BAA" w:rsidRPr="009A57CB" w:rsidRDefault="00D710C5" w:rsidP="00903BAA">
            <w:pPr>
              <w:jc w:val="center"/>
              <w:rPr>
                <w:sz w:val="22"/>
                <w:szCs w:val="22"/>
              </w:rPr>
            </w:pPr>
            <w:r w:rsidRPr="009A57CB">
              <w:rPr>
                <w:sz w:val="22"/>
                <w:szCs w:val="22"/>
              </w:rPr>
              <w:t>+</w:t>
            </w:r>
          </w:p>
        </w:tc>
        <w:tc>
          <w:tcPr>
            <w:tcW w:w="1335" w:type="dxa"/>
            <w:gridSpan w:val="2"/>
            <w:vAlign w:val="bottom"/>
          </w:tcPr>
          <w:p w14:paraId="373B0513" w14:textId="7941F93E" w:rsidR="00903BAA" w:rsidRPr="009A57CB" w:rsidRDefault="00903BAA" w:rsidP="00903BAA">
            <w:pPr>
              <w:jc w:val="center"/>
              <w:rPr>
                <w:sz w:val="22"/>
                <w:szCs w:val="22"/>
              </w:rPr>
            </w:pPr>
            <w:r w:rsidRPr="009A57CB">
              <w:rPr>
                <w:rFonts w:eastAsia="Times New Roman"/>
                <w:color w:val="000000"/>
                <w:sz w:val="22"/>
                <w:szCs w:val="22"/>
              </w:rPr>
              <w:t>0.000</w:t>
            </w:r>
            <w:r w:rsidRPr="009A57CB">
              <w:rPr>
                <w:rFonts w:eastAsia="Times New Roman"/>
                <w:color w:val="000000"/>
                <w:sz w:val="22"/>
                <w:szCs w:val="22"/>
                <w:vertAlign w:val="superscript"/>
              </w:rPr>
              <w:t>***</w:t>
            </w:r>
          </w:p>
        </w:tc>
        <w:tc>
          <w:tcPr>
            <w:tcW w:w="1324" w:type="dxa"/>
            <w:gridSpan w:val="2"/>
            <w:vAlign w:val="bottom"/>
          </w:tcPr>
          <w:p w14:paraId="6E3E8430" w14:textId="7EB1407F" w:rsidR="00903BAA" w:rsidRPr="009A57CB" w:rsidRDefault="00903BAA" w:rsidP="00903BAA">
            <w:pPr>
              <w:jc w:val="center"/>
              <w:rPr>
                <w:sz w:val="22"/>
                <w:szCs w:val="22"/>
              </w:rPr>
            </w:pPr>
            <w:r w:rsidRPr="009A57CB">
              <w:rPr>
                <w:rFonts w:eastAsia="Times New Roman"/>
                <w:color w:val="000000"/>
                <w:sz w:val="22"/>
                <w:szCs w:val="22"/>
              </w:rPr>
              <w:t>0.000</w:t>
            </w:r>
            <w:r w:rsidRPr="009A57CB">
              <w:rPr>
                <w:rFonts w:eastAsia="Times New Roman"/>
                <w:color w:val="000000"/>
                <w:sz w:val="22"/>
                <w:szCs w:val="22"/>
                <w:vertAlign w:val="superscript"/>
              </w:rPr>
              <w:t>*</w:t>
            </w:r>
          </w:p>
        </w:tc>
        <w:tc>
          <w:tcPr>
            <w:tcW w:w="1311" w:type="dxa"/>
            <w:gridSpan w:val="2"/>
            <w:vAlign w:val="bottom"/>
          </w:tcPr>
          <w:p w14:paraId="6F6220EB" w14:textId="710441AB" w:rsidR="00903BAA" w:rsidRPr="009A57CB" w:rsidRDefault="00903BAA" w:rsidP="00903BAA">
            <w:pPr>
              <w:jc w:val="center"/>
              <w:rPr>
                <w:sz w:val="22"/>
                <w:szCs w:val="22"/>
              </w:rPr>
            </w:pPr>
            <w:r w:rsidRPr="009A57CB">
              <w:rPr>
                <w:rFonts w:eastAsia="Times New Roman"/>
                <w:color w:val="000000"/>
                <w:sz w:val="22"/>
                <w:szCs w:val="22"/>
              </w:rPr>
              <w:t>0.000</w:t>
            </w:r>
            <w:r w:rsidRPr="009A57CB">
              <w:rPr>
                <w:rFonts w:eastAsia="Times New Roman"/>
                <w:color w:val="000000"/>
                <w:sz w:val="22"/>
                <w:szCs w:val="22"/>
                <w:vertAlign w:val="superscript"/>
              </w:rPr>
              <w:t>*</w:t>
            </w:r>
          </w:p>
        </w:tc>
        <w:tc>
          <w:tcPr>
            <w:tcW w:w="1311" w:type="dxa"/>
            <w:gridSpan w:val="2"/>
            <w:vAlign w:val="bottom"/>
          </w:tcPr>
          <w:p w14:paraId="2295BE66" w14:textId="02733BD1" w:rsidR="00903BAA" w:rsidRPr="009A57CB" w:rsidRDefault="00903BAA" w:rsidP="00903BAA">
            <w:pPr>
              <w:jc w:val="center"/>
              <w:rPr>
                <w:sz w:val="22"/>
                <w:szCs w:val="22"/>
              </w:rPr>
            </w:pPr>
            <w:r w:rsidRPr="009A57CB">
              <w:rPr>
                <w:rFonts w:eastAsia="Times New Roman"/>
                <w:color w:val="000000"/>
                <w:sz w:val="22"/>
                <w:szCs w:val="22"/>
              </w:rPr>
              <w:t>0.000</w:t>
            </w:r>
            <w:r w:rsidR="00B043CA">
              <w:rPr>
                <w:rFonts w:eastAsia="Times New Roman"/>
                <w:color w:val="000000"/>
                <w:sz w:val="22"/>
                <w:szCs w:val="22"/>
                <w:vertAlign w:val="superscript"/>
              </w:rPr>
              <w:t>*</w:t>
            </w:r>
          </w:p>
        </w:tc>
      </w:tr>
      <w:tr w:rsidR="00531755" w:rsidRPr="009A57CB" w14:paraId="38C5E354" w14:textId="77777777" w:rsidTr="00531755">
        <w:tc>
          <w:tcPr>
            <w:tcW w:w="2898" w:type="dxa"/>
          </w:tcPr>
          <w:p w14:paraId="16E73AE7" w14:textId="20C42046" w:rsidR="00903BAA" w:rsidRPr="009A57CB" w:rsidRDefault="00903BAA" w:rsidP="00B12490">
            <w:pPr>
              <w:rPr>
                <w:sz w:val="22"/>
                <w:szCs w:val="22"/>
              </w:rPr>
            </w:pPr>
          </w:p>
        </w:tc>
        <w:tc>
          <w:tcPr>
            <w:tcW w:w="1206" w:type="dxa"/>
            <w:gridSpan w:val="2"/>
          </w:tcPr>
          <w:p w14:paraId="56F7B250" w14:textId="77777777" w:rsidR="00903BAA" w:rsidRPr="009A57CB" w:rsidRDefault="00903BAA" w:rsidP="00903BAA">
            <w:pPr>
              <w:jc w:val="center"/>
              <w:rPr>
                <w:sz w:val="22"/>
                <w:szCs w:val="22"/>
              </w:rPr>
            </w:pPr>
          </w:p>
        </w:tc>
        <w:tc>
          <w:tcPr>
            <w:tcW w:w="1335" w:type="dxa"/>
            <w:gridSpan w:val="2"/>
            <w:vAlign w:val="bottom"/>
          </w:tcPr>
          <w:p w14:paraId="3FCB6F3C" w14:textId="4B582EF0" w:rsidR="00903BAA" w:rsidRPr="009A57CB" w:rsidRDefault="00903BAA" w:rsidP="004459AE">
            <w:pPr>
              <w:jc w:val="center"/>
              <w:rPr>
                <w:sz w:val="22"/>
                <w:szCs w:val="22"/>
              </w:rPr>
            </w:pPr>
            <w:r w:rsidRPr="009A57CB">
              <w:rPr>
                <w:rFonts w:eastAsia="Times New Roman"/>
                <w:color w:val="000000"/>
                <w:sz w:val="22"/>
                <w:szCs w:val="22"/>
              </w:rPr>
              <w:t>(</w:t>
            </w:r>
            <w:r w:rsidR="004459AE">
              <w:rPr>
                <w:rFonts w:eastAsia="Times New Roman"/>
                <w:color w:val="000000"/>
                <w:sz w:val="22"/>
                <w:szCs w:val="22"/>
              </w:rPr>
              <w:t>2</w:t>
            </w:r>
            <w:r w:rsidRPr="009A57CB">
              <w:rPr>
                <w:rFonts w:eastAsia="Times New Roman"/>
                <w:color w:val="000000"/>
                <w:sz w:val="22"/>
                <w:szCs w:val="22"/>
              </w:rPr>
              <w:t>.</w:t>
            </w:r>
            <w:r w:rsidR="00FA0508">
              <w:rPr>
                <w:rFonts w:eastAsia="Times New Roman"/>
                <w:color w:val="000000"/>
                <w:sz w:val="22"/>
                <w:szCs w:val="22"/>
              </w:rPr>
              <w:t>63</w:t>
            </w:r>
            <w:r w:rsidRPr="009A57CB">
              <w:rPr>
                <w:rFonts w:eastAsia="Times New Roman"/>
                <w:color w:val="000000"/>
                <w:sz w:val="22"/>
                <w:szCs w:val="22"/>
              </w:rPr>
              <w:t>)</w:t>
            </w:r>
          </w:p>
        </w:tc>
        <w:tc>
          <w:tcPr>
            <w:tcW w:w="1324" w:type="dxa"/>
            <w:gridSpan w:val="2"/>
            <w:vAlign w:val="bottom"/>
          </w:tcPr>
          <w:p w14:paraId="7A7716ED" w14:textId="4E836EE8" w:rsidR="00903BAA" w:rsidRPr="009A57CB" w:rsidRDefault="00903BAA" w:rsidP="007D66DD">
            <w:pPr>
              <w:jc w:val="center"/>
              <w:rPr>
                <w:sz w:val="22"/>
                <w:szCs w:val="22"/>
              </w:rPr>
            </w:pPr>
            <w:r w:rsidRPr="009A57CB">
              <w:rPr>
                <w:rFonts w:eastAsia="Times New Roman"/>
                <w:color w:val="000000"/>
                <w:sz w:val="22"/>
                <w:szCs w:val="22"/>
              </w:rPr>
              <w:t>(</w:t>
            </w:r>
            <w:r w:rsidR="007D66DD">
              <w:rPr>
                <w:rFonts w:eastAsia="Times New Roman"/>
                <w:color w:val="000000"/>
                <w:sz w:val="22"/>
                <w:szCs w:val="22"/>
              </w:rPr>
              <w:t>1</w:t>
            </w:r>
            <w:r w:rsidRPr="009A57CB">
              <w:rPr>
                <w:rFonts w:eastAsia="Times New Roman"/>
                <w:color w:val="000000"/>
                <w:sz w:val="22"/>
                <w:szCs w:val="22"/>
              </w:rPr>
              <w:t>.</w:t>
            </w:r>
            <w:r w:rsidR="00FA0508">
              <w:rPr>
                <w:rFonts w:eastAsia="Times New Roman"/>
                <w:color w:val="000000"/>
                <w:sz w:val="22"/>
                <w:szCs w:val="22"/>
              </w:rPr>
              <w:t>46</w:t>
            </w:r>
            <w:r w:rsidRPr="009A57CB">
              <w:rPr>
                <w:rFonts w:eastAsia="Times New Roman"/>
                <w:color w:val="000000"/>
                <w:sz w:val="22"/>
                <w:szCs w:val="22"/>
              </w:rPr>
              <w:t>)</w:t>
            </w:r>
          </w:p>
        </w:tc>
        <w:tc>
          <w:tcPr>
            <w:tcW w:w="1311" w:type="dxa"/>
            <w:gridSpan w:val="2"/>
            <w:vAlign w:val="bottom"/>
          </w:tcPr>
          <w:p w14:paraId="45B782E6" w14:textId="2342892F" w:rsidR="00903BAA" w:rsidRPr="009A57CB" w:rsidRDefault="007D66DD" w:rsidP="007D66DD">
            <w:pPr>
              <w:jc w:val="center"/>
              <w:rPr>
                <w:sz w:val="22"/>
                <w:szCs w:val="22"/>
              </w:rPr>
            </w:pPr>
            <w:r>
              <w:rPr>
                <w:rFonts w:eastAsia="Times New Roman"/>
                <w:color w:val="000000"/>
                <w:sz w:val="22"/>
                <w:szCs w:val="22"/>
              </w:rPr>
              <w:t>(1.</w:t>
            </w:r>
            <w:r w:rsidR="00FA0508">
              <w:rPr>
                <w:rFonts w:eastAsia="Times New Roman"/>
                <w:color w:val="000000"/>
                <w:sz w:val="22"/>
                <w:szCs w:val="22"/>
              </w:rPr>
              <w:t>38</w:t>
            </w:r>
            <w:r w:rsidR="00903BAA" w:rsidRPr="009A57CB">
              <w:rPr>
                <w:rFonts w:eastAsia="Times New Roman"/>
                <w:color w:val="000000"/>
                <w:sz w:val="22"/>
                <w:szCs w:val="22"/>
              </w:rPr>
              <w:t>)</w:t>
            </w:r>
          </w:p>
        </w:tc>
        <w:tc>
          <w:tcPr>
            <w:tcW w:w="1311" w:type="dxa"/>
            <w:gridSpan w:val="2"/>
            <w:vAlign w:val="bottom"/>
          </w:tcPr>
          <w:p w14:paraId="2C2594B0" w14:textId="4A958DD1" w:rsidR="00903BAA" w:rsidRPr="009A57CB" w:rsidRDefault="00903BAA" w:rsidP="007D66DD">
            <w:pPr>
              <w:jc w:val="center"/>
              <w:rPr>
                <w:sz w:val="22"/>
                <w:szCs w:val="22"/>
              </w:rPr>
            </w:pPr>
            <w:r w:rsidRPr="009A57CB">
              <w:rPr>
                <w:rFonts w:eastAsia="Times New Roman"/>
                <w:color w:val="000000"/>
                <w:sz w:val="22"/>
                <w:szCs w:val="22"/>
              </w:rPr>
              <w:t>(</w:t>
            </w:r>
            <w:r w:rsidR="007D66DD">
              <w:rPr>
                <w:rFonts w:eastAsia="Times New Roman"/>
                <w:color w:val="000000"/>
                <w:sz w:val="22"/>
                <w:szCs w:val="22"/>
              </w:rPr>
              <w:t>1</w:t>
            </w:r>
            <w:r w:rsidRPr="009A57CB">
              <w:rPr>
                <w:rFonts w:eastAsia="Times New Roman"/>
                <w:color w:val="000000"/>
                <w:sz w:val="22"/>
                <w:szCs w:val="22"/>
              </w:rPr>
              <w:t>.</w:t>
            </w:r>
            <w:r w:rsidR="007D66DD">
              <w:rPr>
                <w:rFonts w:eastAsia="Times New Roman"/>
                <w:color w:val="000000"/>
                <w:sz w:val="22"/>
                <w:szCs w:val="22"/>
              </w:rPr>
              <w:t>5</w:t>
            </w:r>
            <w:r w:rsidR="00B043CA">
              <w:rPr>
                <w:rFonts w:eastAsia="Times New Roman"/>
                <w:color w:val="000000"/>
                <w:sz w:val="22"/>
                <w:szCs w:val="22"/>
              </w:rPr>
              <w:t>1</w:t>
            </w:r>
            <w:r w:rsidRPr="009A57CB">
              <w:rPr>
                <w:rFonts w:eastAsia="Times New Roman"/>
                <w:color w:val="000000"/>
                <w:sz w:val="22"/>
                <w:szCs w:val="22"/>
              </w:rPr>
              <w:t>)</w:t>
            </w:r>
          </w:p>
        </w:tc>
      </w:tr>
      <w:tr w:rsidR="00531755" w:rsidRPr="009A57CB" w14:paraId="4A208A28" w14:textId="77777777" w:rsidTr="00531755">
        <w:tc>
          <w:tcPr>
            <w:tcW w:w="2898" w:type="dxa"/>
          </w:tcPr>
          <w:p w14:paraId="1AAEDA9F" w14:textId="1F16EC2F" w:rsidR="00903BAA" w:rsidRPr="009A57CB" w:rsidRDefault="00903BAA" w:rsidP="00B12490">
            <w:pPr>
              <w:rPr>
                <w:sz w:val="22"/>
                <w:szCs w:val="22"/>
              </w:rPr>
            </w:pPr>
            <w:r w:rsidRPr="009A57CB">
              <w:rPr>
                <w:i/>
                <w:iCs/>
                <w:sz w:val="22"/>
                <w:szCs w:val="22"/>
              </w:rPr>
              <w:t>C</w:t>
            </w:r>
          </w:p>
        </w:tc>
        <w:tc>
          <w:tcPr>
            <w:tcW w:w="1206" w:type="dxa"/>
            <w:gridSpan w:val="2"/>
          </w:tcPr>
          <w:p w14:paraId="17231800" w14:textId="44996878" w:rsidR="00903BAA" w:rsidRPr="009A57CB" w:rsidRDefault="00903BAA" w:rsidP="00903BAA">
            <w:pPr>
              <w:jc w:val="center"/>
              <w:rPr>
                <w:sz w:val="22"/>
                <w:szCs w:val="22"/>
              </w:rPr>
            </w:pPr>
            <w:r w:rsidRPr="009A57CB">
              <w:rPr>
                <w:sz w:val="22"/>
                <w:szCs w:val="22"/>
              </w:rPr>
              <w:t>-</w:t>
            </w:r>
          </w:p>
        </w:tc>
        <w:tc>
          <w:tcPr>
            <w:tcW w:w="1335" w:type="dxa"/>
            <w:gridSpan w:val="2"/>
            <w:vAlign w:val="bottom"/>
          </w:tcPr>
          <w:p w14:paraId="4105B5B7" w14:textId="666E582D" w:rsidR="00903BAA" w:rsidRPr="009A57CB" w:rsidRDefault="00903BAA" w:rsidP="00903BAA">
            <w:pPr>
              <w:jc w:val="center"/>
              <w:rPr>
                <w:sz w:val="22"/>
                <w:szCs w:val="22"/>
              </w:rPr>
            </w:pPr>
            <w:r w:rsidRPr="009A57CB">
              <w:rPr>
                <w:rFonts w:eastAsia="Times New Roman"/>
                <w:color w:val="000000"/>
                <w:sz w:val="22"/>
                <w:szCs w:val="22"/>
              </w:rPr>
              <w:t>-0.0</w:t>
            </w:r>
            <w:r w:rsidR="00FA0508">
              <w:rPr>
                <w:rFonts w:eastAsia="Times New Roman"/>
                <w:color w:val="000000"/>
                <w:sz w:val="22"/>
                <w:szCs w:val="22"/>
              </w:rPr>
              <w:t>35</w:t>
            </w:r>
            <w:r w:rsidR="00FA0508">
              <w:rPr>
                <w:rFonts w:eastAsia="Times New Roman"/>
                <w:color w:val="000000"/>
                <w:sz w:val="22"/>
                <w:szCs w:val="22"/>
                <w:vertAlign w:val="superscript"/>
              </w:rPr>
              <w:t>**</w:t>
            </w:r>
          </w:p>
        </w:tc>
        <w:tc>
          <w:tcPr>
            <w:tcW w:w="1324" w:type="dxa"/>
            <w:gridSpan w:val="2"/>
            <w:vAlign w:val="bottom"/>
          </w:tcPr>
          <w:p w14:paraId="131910EA" w14:textId="32399A9A" w:rsidR="00903BAA" w:rsidRPr="009A57CB" w:rsidRDefault="00903BAA" w:rsidP="00903BAA">
            <w:pPr>
              <w:jc w:val="center"/>
              <w:rPr>
                <w:sz w:val="22"/>
                <w:szCs w:val="22"/>
              </w:rPr>
            </w:pPr>
            <w:r w:rsidRPr="009A57CB">
              <w:rPr>
                <w:rFonts w:eastAsia="Times New Roman"/>
                <w:color w:val="000000"/>
                <w:sz w:val="22"/>
                <w:szCs w:val="22"/>
              </w:rPr>
              <w:t>-0.03</w:t>
            </w:r>
            <w:r w:rsidR="00FA0508">
              <w:rPr>
                <w:rFonts w:eastAsia="Times New Roman"/>
                <w:color w:val="000000"/>
                <w:sz w:val="22"/>
                <w:szCs w:val="22"/>
              </w:rPr>
              <w:t>7</w:t>
            </w:r>
            <w:r w:rsidRPr="009A57CB">
              <w:rPr>
                <w:rFonts w:eastAsia="Times New Roman"/>
                <w:color w:val="000000"/>
                <w:sz w:val="22"/>
                <w:szCs w:val="22"/>
                <w:vertAlign w:val="superscript"/>
              </w:rPr>
              <w:t>***</w:t>
            </w:r>
          </w:p>
        </w:tc>
        <w:tc>
          <w:tcPr>
            <w:tcW w:w="1311" w:type="dxa"/>
            <w:gridSpan w:val="2"/>
            <w:vAlign w:val="bottom"/>
          </w:tcPr>
          <w:p w14:paraId="43AA95E8" w14:textId="66ECE122" w:rsidR="00903BAA" w:rsidRPr="009A57CB" w:rsidRDefault="00903BAA" w:rsidP="00903BAA">
            <w:pPr>
              <w:jc w:val="center"/>
              <w:rPr>
                <w:sz w:val="22"/>
                <w:szCs w:val="22"/>
              </w:rPr>
            </w:pPr>
            <w:r w:rsidRPr="009A57CB">
              <w:rPr>
                <w:rFonts w:eastAsia="Times New Roman"/>
                <w:color w:val="000000"/>
                <w:sz w:val="22"/>
                <w:szCs w:val="22"/>
              </w:rPr>
              <w:t>-0.0</w:t>
            </w:r>
            <w:r w:rsidR="00B043CA">
              <w:rPr>
                <w:rFonts w:eastAsia="Times New Roman"/>
                <w:color w:val="000000"/>
                <w:sz w:val="22"/>
                <w:szCs w:val="22"/>
              </w:rPr>
              <w:t>9</w:t>
            </w:r>
            <w:r w:rsidRPr="009A57CB">
              <w:rPr>
                <w:rFonts w:eastAsia="Times New Roman"/>
                <w:color w:val="000000"/>
                <w:sz w:val="22"/>
                <w:szCs w:val="22"/>
              </w:rPr>
              <w:t>6</w:t>
            </w:r>
            <w:r w:rsidRPr="009A57CB">
              <w:rPr>
                <w:rFonts w:eastAsia="Times New Roman"/>
                <w:color w:val="000000"/>
                <w:sz w:val="22"/>
                <w:szCs w:val="22"/>
                <w:vertAlign w:val="superscript"/>
              </w:rPr>
              <w:t>***</w:t>
            </w:r>
          </w:p>
        </w:tc>
        <w:tc>
          <w:tcPr>
            <w:tcW w:w="1311" w:type="dxa"/>
            <w:gridSpan w:val="2"/>
            <w:vAlign w:val="bottom"/>
          </w:tcPr>
          <w:p w14:paraId="0245C844" w14:textId="2885B15E" w:rsidR="00903BAA" w:rsidRPr="009A57CB" w:rsidRDefault="00903BAA" w:rsidP="00903BAA">
            <w:pPr>
              <w:jc w:val="center"/>
              <w:rPr>
                <w:sz w:val="22"/>
                <w:szCs w:val="22"/>
              </w:rPr>
            </w:pPr>
            <w:r w:rsidRPr="009A57CB">
              <w:rPr>
                <w:rFonts w:eastAsia="Times New Roman"/>
                <w:color w:val="000000"/>
                <w:sz w:val="22"/>
                <w:szCs w:val="22"/>
              </w:rPr>
              <w:t>-0.0</w:t>
            </w:r>
            <w:r w:rsidR="00B043CA">
              <w:rPr>
                <w:rFonts w:eastAsia="Times New Roman"/>
                <w:color w:val="000000"/>
                <w:sz w:val="22"/>
                <w:szCs w:val="22"/>
              </w:rPr>
              <w:t>72</w:t>
            </w:r>
            <w:r w:rsidR="00547133" w:rsidRPr="009A57CB">
              <w:rPr>
                <w:rFonts w:eastAsia="Times New Roman"/>
                <w:color w:val="000000"/>
                <w:sz w:val="22"/>
                <w:szCs w:val="22"/>
                <w:vertAlign w:val="superscript"/>
              </w:rPr>
              <w:t>*</w:t>
            </w:r>
            <w:r w:rsidR="00B043CA">
              <w:rPr>
                <w:rFonts w:eastAsia="Times New Roman"/>
                <w:color w:val="000000"/>
                <w:sz w:val="22"/>
                <w:szCs w:val="22"/>
                <w:vertAlign w:val="superscript"/>
              </w:rPr>
              <w:t>*</w:t>
            </w:r>
            <w:r w:rsidR="00DB5F1B" w:rsidRPr="009A57CB">
              <w:rPr>
                <w:rFonts w:eastAsia="Times New Roman"/>
                <w:color w:val="000000"/>
                <w:sz w:val="22"/>
                <w:szCs w:val="22"/>
                <w:vertAlign w:val="superscript"/>
              </w:rPr>
              <w:t>*</w:t>
            </w:r>
          </w:p>
        </w:tc>
      </w:tr>
      <w:tr w:rsidR="00531755" w:rsidRPr="009A57CB" w14:paraId="4E7E1AD9" w14:textId="77777777" w:rsidTr="00531755">
        <w:tc>
          <w:tcPr>
            <w:tcW w:w="2898" w:type="dxa"/>
          </w:tcPr>
          <w:p w14:paraId="5D60F5E0" w14:textId="77777777" w:rsidR="00903BAA" w:rsidRPr="009A57CB" w:rsidRDefault="00903BAA" w:rsidP="00B12490">
            <w:pPr>
              <w:rPr>
                <w:sz w:val="22"/>
                <w:szCs w:val="22"/>
              </w:rPr>
            </w:pPr>
          </w:p>
        </w:tc>
        <w:tc>
          <w:tcPr>
            <w:tcW w:w="1206" w:type="dxa"/>
            <w:gridSpan w:val="2"/>
          </w:tcPr>
          <w:p w14:paraId="4C6BBACD" w14:textId="77777777" w:rsidR="00903BAA" w:rsidRPr="009A57CB" w:rsidRDefault="00903BAA" w:rsidP="00903BAA">
            <w:pPr>
              <w:jc w:val="center"/>
              <w:rPr>
                <w:sz w:val="22"/>
                <w:szCs w:val="22"/>
              </w:rPr>
            </w:pPr>
          </w:p>
        </w:tc>
        <w:tc>
          <w:tcPr>
            <w:tcW w:w="1335" w:type="dxa"/>
            <w:gridSpan w:val="2"/>
            <w:vAlign w:val="bottom"/>
          </w:tcPr>
          <w:p w14:paraId="6BC57EF2" w14:textId="22B00571" w:rsidR="00903BAA" w:rsidRPr="009A57CB" w:rsidRDefault="00903BAA" w:rsidP="004459AE">
            <w:pPr>
              <w:jc w:val="center"/>
              <w:rPr>
                <w:sz w:val="22"/>
                <w:szCs w:val="22"/>
              </w:rPr>
            </w:pPr>
            <w:r w:rsidRPr="009A57CB">
              <w:rPr>
                <w:rFonts w:eastAsia="Times New Roman"/>
                <w:color w:val="000000"/>
                <w:sz w:val="22"/>
                <w:szCs w:val="22"/>
              </w:rPr>
              <w:t>(</w:t>
            </w:r>
            <w:r w:rsidR="00FA0508">
              <w:rPr>
                <w:rFonts w:eastAsia="Times New Roman"/>
                <w:color w:val="000000"/>
                <w:sz w:val="22"/>
                <w:szCs w:val="22"/>
              </w:rPr>
              <w:t>2.13</w:t>
            </w:r>
            <w:r w:rsidRPr="009A57CB">
              <w:rPr>
                <w:rFonts w:eastAsia="Times New Roman"/>
                <w:color w:val="000000"/>
                <w:sz w:val="22"/>
                <w:szCs w:val="22"/>
              </w:rPr>
              <w:t>)</w:t>
            </w:r>
          </w:p>
        </w:tc>
        <w:tc>
          <w:tcPr>
            <w:tcW w:w="1324" w:type="dxa"/>
            <w:gridSpan w:val="2"/>
            <w:vAlign w:val="bottom"/>
          </w:tcPr>
          <w:p w14:paraId="12A3EB53" w14:textId="55CD7267" w:rsidR="00903BAA" w:rsidRPr="009A57CB" w:rsidRDefault="00903BAA" w:rsidP="007D66DD">
            <w:pPr>
              <w:jc w:val="center"/>
              <w:rPr>
                <w:sz w:val="22"/>
                <w:szCs w:val="22"/>
              </w:rPr>
            </w:pPr>
            <w:r w:rsidRPr="009A57CB">
              <w:rPr>
                <w:rFonts w:eastAsia="Times New Roman"/>
                <w:color w:val="000000"/>
                <w:sz w:val="22"/>
                <w:szCs w:val="22"/>
              </w:rPr>
              <w:t>(</w:t>
            </w:r>
            <w:r w:rsidR="00FA0508">
              <w:rPr>
                <w:rFonts w:eastAsia="Times New Roman"/>
                <w:color w:val="000000"/>
                <w:sz w:val="22"/>
                <w:szCs w:val="22"/>
              </w:rPr>
              <w:t>3.20</w:t>
            </w:r>
            <w:r w:rsidRPr="009A57CB">
              <w:rPr>
                <w:rFonts w:eastAsia="Times New Roman"/>
                <w:color w:val="000000"/>
                <w:sz w:val="22"/>
                <w:szCs w:val="22"/>
              </w:rPr>
              <w:t>)</w:t>
            </w:r>
          </w:p>
        </w:tc>
        <w:tc>
          <w:tcPr>
            <w:tcW w:w="1311" w:type="dxa"/>
            <w:gridSpan w:val="2"/>
            <w:vAlign w:val="bottom"/>
          </w:tcPr>
          <w:p w14:paraId="358787B9" w14:textId="45AACCA8" w:rsidR="00903BAA" w:rsidRPr="009A57CB" w:rsidRDefault="00903BAA" w:rsidP="007D66DD">
            <w:pPr>
              <w:jc w:val="center"/>
              <w:rPr>
                <w:sz w:val="22"/>
                <w:szCs w:val="22"/>
              </w:rPr>
            </w:pPr>
            <w:r w:rsidRPr="009A57CB">
              <w:rPr>
                <w:rFonts w:eastAsia="Times New Roman"/>
                <w:color w:val="000000"/>
                <w:sz w:val="22"/>
                <w:szCs w:val="22"/>
              </w:rPr>
              <w:t>(</w:t>
            </w:r>
            <w:r w:rsidR="00B043CA">
              <w:rPr>
                <w:rFonts w:eastAsia="Times New Roman"/>
                <w:color w:val="000000"/>
                <w:sz w:val="22"/>
                <w:szCs w:val="22"/>
              </w:rPr>
              <w:t>6.30</w:t>
            </w:r>
            <w:r w:rsidRPr="009A57CB">
              <w:rPr>
                <w:rFonts w:eastAsia="Times New Roman"/>
                <w:color w:val="000000"/>
                <w:sz w:val="22"/>
                <w:szCs w:val="22"/>
              </w:rPr>
              <w:t>)</w:t>
            </w:r>
          </w:p>
        </w:tc>
        <w:tc>
          <w:tcPr>
            <w:tcW w:w="1311" w:type="dxa"/>
            <w:gridSpan w:val="2"/>
            <w:vAlign w:val="bottom"/>
          </w:tcPr>
          <w:p w14:paraId="2B6EA35E" w14:textId="447A30CF" w:rsidR="00903BAA" w:rsidRPr="009A57CB" w:rsidRDefault="00903BAA" w:rsidP="007D66DD">
            <w:pPr>
              <w:jc w:val="center"/>
              <w:rPr>
                <w:sz w:val="22"/>
                <w:szCs w:val="22"/>
              </w:rPr>
            </w:pPr>
            <w:r w:rsidRPr="009A57CB">
              <w:rPr>
                <w:rFonts w:eastAsia="Times New Roman"/>
                <w:color w:val="000000"/>
                <w:sz w:val="22"/>
                <w:szCs w:val="22"/>
              </w:rPr>
              <w:t>(</w:t>
            </w:r>
            <w:r w:rsidR="007D66DD">
              <w:rPr>
                <w:rFonts w:eastAsia="Times New Roman"/>
                <w:color w:val="000000"/>
                <w:sz w:val="22"/>
                <w:szCs w:val="22"/>
              </w:rPr>
              <w:t>2.</w:t>
            </w:r>
            <w:r w:rsidR="00B043CA">
              <w:rPr>
                <w:rFonts w:eastAsia="Times New Roman"/>
                <w:color w:val="000000"/>
                <w:sz w:val="22"/>
                <w:szCs w:val="22"/>
              </w:rPr>
              <w:t>48</w:t>
            </w:r>
            <w:r w:rsidRPr="009A57CB">
              <w:rPr>
                <w:rFonts w:eastAsia="Times New Roman"/>
                <w:color w:val="000000"/>
                <w:sz w:val="22"/>
                <w:szCs w:val="22"/>
              </w:rPr>
              <w:t>)</w:t>
            </w:r>
          </w:p>
        </w:tc>
      </w:tr>
      <w:tr w:rsidR="00531755" w:rsidRPr="009A57CB" w14:paraId="5021CDEE" w14:textId="77777777" w:rsidTr="00531755">
        <w:tc>
          <w:tcPr>
            <w:tcW w:w="2898" w:type="dxa"/>
          </w:tcPr>
          <w:p w14:paraId="56D8DE88" w14:textId="48306B3B" w:rsidR="00903BAA" w:rsidRPr="009A57CB" w:rsidRDefault="00903BAA" w:rsidP="00B12490">
            <w:pPr>
              <w:rPr>
                <w:i/>
                <w:sz w:val="22"/>
                <w:szCs w:val="22"/>
              </w:rPr>
            </w:pPr>
            <w:r w:rsidRPr="009A57CB">
              <w:rPr>
                <w:i/>
                <w:sz w:val="22"/>
                <w:szCs w:val="22"/>
              </w:rPr>
              <w:t>Loss</w:t>
            </w:r>
          </w:p>
        </w:tc>
        <w:tc>
          <w:tcPr>
            <w:tcW w:w="1206" w:type="dxa"/>
            <w:gridSpan w:val="2"/>
          </w:tcPr>
          <w:p w14:paraId="43544225" w14:textId="4C498C46" w:rsidR="00903BAA" w:rsidRPr="009A57CB" w:rsidRDefault="00903BAA" w:rsidP="00903BAA">
            <w:pPr>
              <w:jc w:val="center"/>
              <w:rPr>
                <w:sz w:val="22"/>
                <w:szCs w:val="22"/>
              </w:rPr>
            </w:pPr>
            <w:r w:rsidRPr="009A57CB">
              <w:rPr>
                <w:sz w:val="22"/>
                <w:szCs w:val="22"/>
              </w:rPr>
              <w:t>-</w:t>
            </w:r>
          </w:p>
        </w:tc>
        <w:tc>
          <w:tcPr>
            <w:tcW w:w="1335" w:type="dxa"/>
            <w:gridSpan w:val="2"/>
            <w:vAlign w:val="bottom"/>
          </w:tcPr>
          <w:p w14:paraId="58DDF03B" w14:textId="5BEA3731" w:rsidR="00903BAA" w:rsidRPr="009A57CB" w:rsidRDefault="00903BAA" w:rsidP="00903BAA">
            <w:pPr>
              <w:jc w:val="center"/>
              <w:rPr>
                <w:sz w:val="22"/>
                <w:szCs w:val="22"/>
              </w:rPr>
            </w:pPr>
          </w:p>
        </w:tc>
        <w:tc>
          <w:tcPr>
            <w:tcW w:w="1324" w:type="dxa"/>
            <w:gridSpan w:val="2"/>
            <w:vAlign w:val="bottom"/>
          </w:tcPr>
          <w:p w14:paraId="5555E5B1" w14:textId="1EAF3EA2" w:rsidR="00903BAA" w:rsidRPr="009A57CB" w:rsidRDefault="00903BAA" w:rsidP="00903BAA">
            <w:pPr>
              <w:jc w:val="center"/>
              <w:rPr>
                <w:sz w:val="22"/>
                <w:szCs w:val="22"/>
              </w:rPr>
            </w:pPr>
            <w:r w:rsidRPr="009A57CB">
              <w:rPr>
                <w:rFonts w:eastAsia="Times New Roman"/>
                <w:color w:val="000000"/>
                <w:sz w:val="22"/>
                <w:szCs w:val="22"/>
              </w:rPr>
              <w:t>-0.24</w:t>
            </w:r>
            <w:r w:rsidR="00FA0508">
              <w:rPr>
                <w:rFonts w:eastAsia="Times New Roman"/>
                <w:color w:val="000000"/>
                <w:sz w:val="22"/>
                <w:szCs w:val="22"/>
              </w:rPr>
              <w:t>9</w:t>
            </w:r>
            <w:r w:rsidRPr="009A57CB">
              <w:rPr>
                <w:rFonts w:eastAsia="Times New Roman"/>
                <w:color w:val="000000"/>
                <w:sz w:val="22"/>
                <w:szCs w:val="22"/>
                <w:vertAlign w:val="superscript"/>
              </w:rPr>
              <w:t>***</w:t>
            </w:r>
          </w:p>
        </w:tc>
        <w:tc>
          <w:tcPr>
            <w:tcW w:w="1311" w:type="dxa"/>
            <w:gridSpan w:val="2"/>
            <w:vAlign w:val="bottom"/>
          </w:tcPr>
          <w:p w14:paraId="5B59A478" w14:textId="440280A1" w:rsidR="00903BAA" w:rsidRPr="009A57CB" w:rsidRDefault="00903BAA" w:rsidP="00903BAA">
            <w:pPr>
              <w:jc w:val="center"/>
              <w:rPr>
                <w:sz w:val="22"/>
                <w:szCs w:val="22"/>
              </w:rPr>
            </w:pPr>
            <w:r w:rsidRPr="009A57CB">
              <w:rPr>
                <w:rFonts w:eastAsia="Times New Roman"/>
                <w:color w:val="000000"/>
                <w:sz w:val="22"/>
                <w:szCs w:val="22"/>
              </w:rPr>
              <w:t>-0.2</w:t>
            </w:r>
            <w:r w:rsidR="00B043CA">
              <w:rPr>
                <w:rFonts w:eastAsia="Times New Roman"/>
                <w:color w:val="000000"/>
                <w:sz w:val="22"/>
                <w:szCs w:val="22"/>
              </w:rPr>
              <w:t>50</w:t>
            </w:r>
            <w:r w:rsidRPr="009A57CB">
              <w:rPr>
                <w:rFonts w:eastAsia="Times New Roman"/>
                <w:color w:val="000000"/>
                <w:sz w:val="22"/>
                <w:szCs w:val="22"/>
                <w:vertAlign w:val="superscript"/>
              </w:rPr>
              <w:t>***</w:t>
            </w:r>
          </w:p>
        </w:tc>
        <w:tc>
          <w:tcPr>
            <w:tcW w:w="1311" w:type="dxa"/>
            <w:gridSpan w:val="2"/>
            <w:vAlign w:val="bottom"/>
          </w:tcPr>
          <w:p w14:paraId="19078263" w14:textId="2F0D67AC" w:rsidR="00903BAA" w:rsidRPr="009A57CB" w:rsidRDefault="00903BAA" w:rsidP="00903BAA">
            <w:pPr>
              <w:jc w:val="center"/>
              <w:rPr>
                <w:sz w:val="22"/>
                <w:szCs w:val="22"/>
              </w:rPr>
            </w:pPr>
            <w:r w:rsidRPr="009A57CB">
              <w:rPr>
                <w:rFonts w:eastAsia="Times New Roman"/>
                <w:color w:val="000000"/>
                <w:sz w:val="22"/>
                <w:szCs w:val="22"/>
              </w:rPr>
              <w:t>-0.2</w:t>
            </w:r>
            <w:r w:rsidR="00B043CA">
              <w:rPr>
                <w:rFonts w:eastAsia="Times New Roman"/>
                <w:color w:val="000000"/>
                <w:sz w:val="22"/>
                <w:szCs w:val="22"/>
              </w:rPr>
              <w:t>63</w:t>
            </w:r>
            <w:r w:rsidR="00547133" w:rsidRPr="009A57CB">
              <w:rPr>
                <w:rFonts w:eastAsia="Times New Roman"/>
                <w:color w:val="000000"/>
                <w:sz w:val="22"/>
                <w:szCs w:val="22"/>
                <w:vertAlign w:val="superscript"/>
              </w:rPr>
              <w:t>***</w:t>
            </w:r>
          </w:p>
        </w:tc>
      </w:tr>
      <w:tr w:rsidR="00531755" w:rsidRPr="009A57CB" w14:paraId="566B7C34" w14:textId="77777777" w:rsidTr="00531755">
        <w:tc>
          <w:tcPr>
            <w:tcW w:w="2898" w:type="dxa"/>
          </w:tcPr>
          <w:p w14:paraId="3BE6059E" w14:textId="77777777" w:rsidR="00903BAA" w:rsidRPr="009A57CB" w:rsidRDefault="00903BAA" w:rsidP="00B12490">
            <w:pPr>
              <w:rPr>
                <w:sz w:val="22"/>
                <w:szCs w:val="22"/>
              </w:rPr>
            </w:pPr>
          </w:p>
        </w:tc>
        <w:tc>
          <w:tcPr>
            <w:tcW w:w="1206" w:type="dxa"/>
            <w:gridSpan w:val="2"/>
          </w:tcPr>
          <w:p w14:paraId="7B2D6442" w14:textId="77777777" w:rsidR="00903BAA" w:rsidRPr="009A57CB" w:rsidRDefault="00903BAA" w:rsidP="00903BAA">
            <w:pPr>
              <w:jc w:val="center"/>
              <w:rPr>
                <w:sz w:val="22"/>
                <w:szCs w:val="22"/>
              </w:rPr>
            </w:pPr>
          </w:p>
        </w:tc>
        <w:tc>
          <w:tcPr>
            <w:tcW w:w="1335" w:type="dxa"/>
            <w:gridSpan w:val="2"/>
            <w:vAlign w:val="bottom"/>
          </w:tcPr>
          <w:p w14:paraId="0272564B" w14:textId="127A5C23" w:rsidR="00903BAA" w:rsidRPr="009A57CB" w:rsidRDefault="00903BAA" w:rsidP="00903BAA">
            <w:pPr>
              <w:jc w:val="center"/>
              <w:rPr>
                <w:sz w:val="22"/>
                <w:szCs w:val="22"/>
              </w:rPr>
            </w:pPr>
          </w:p>
        </w:tc>
        <w:tc>
          <w:tcPr>
            <w:tcW w:w="1324" w:type="dxa"/>
            <w:gridSpan w:val="2"/>
            <w:vAlign w:val="bottom"/>
          </w:tcPr>
          <w:p w14:paraId="77653131" w14:textId="304EFA64" w:rsidR="00903BAA" w:rsidRPr="009A57CB" w:rsidRDefault="00903BAA" w:rsidP="007D66DD">
            <w:pPr>
              <w:jc w:val="center"/>
              <w:rPr>
                <w:sz w:val="22"/>
                <w:szCs w:val="22"/>
              </w:rPr>
            </w:pPr>
            <w:r w:rsidRPr="009A57CB">
              <w:rPr>
                <w:rFonts w:eastAsia="Times New Roman"/>
                <w:color w:val="000000"/>
                <w:sz w:val="22"/>
                <w:szCs w:val="22"/>
              </w:rPr>
              <w:t>(</w:t>
            </w:r>
            <w:r w:rsidR="00FA0508">
              <w:rPr>
                <w:rFonts w:eastAsia="Times New Roman"/>
                <w:color w:val="000000"/>
                <w:sz w:val="22"/>
                <w:szCs w:val="22"/>
              </w:rPr>
              <w:t>90.58</w:t>
            </w:r>
            <w:r w:rsidRPr="009A57CB">
              <w:rPr>
                <w:rFonts w:eastAsia="Times New Roman"/>
                <w:color w:val="000000"/>
                <w:sz w:val="22"/>
                <w:szCs w:val="22"/>
              </w:rPr>
              <w:t>)</w:t>
            </w:r>
          </w:p>
        </w:tc>
        <w:tc>
          <w:tcPr>
            <w:tcW w:w="1311" w:type="dxa"/>
            <w:gridSpan w:val="2"/>
            <w:vAlign w:val="bottom"/>
          </w:tcPr>
          <w:p w14:paraId="001D1C9E" w14:textId="60E89E0D" w:rsidR="00903BAA" w:rsidRPr="009A57CB" w:rsidRDefault="00903BAA" w:rsidP="007D66DD">
            <w:pPr>
              <w:jc w:val="center"/>
              <w:rPr>
                <w:sz w:val="22"/>
                <w:szCs w:val="22"/>
              </w:rPr>
            </w:pPr>
            <w:r w:rsidRPr="009A57CB">
              <w:rPr>
                <w:rFonts w:eastAsia="Times New Roman"/>
                <w:color w:val="000000"/>
                <w:sz w:val="22"/>
                <w:szCs w:val="22"/>
              </w:rPr>
              <w:t>(</w:t>
            </w:r>
            <w:r w:rsidR="00B043CA">
              <w:rPr>
                <w:rFonts w:eastAsia="Times New Roman"/>
                <w:color w:val="000000"/>
                <w:sz w:val="22"/>
                <w:szCs w:val="22"/>
              </w:rPr>
              <w:t>91.69</w:t>
            </w:r>
            <w:r w:rsidRPr="009A57CB">
              <w:rPr>
                <w:rFonts w:eastAsia="Times New Roman"/>
                <w:color w:val="000000"/>
                <w:sz w:val="22"/>
                <w:szCs w:val="22"/>
              </w:rPr>
              <w:t>)</w:t>
            </w:r>
          </w:p>
        </w:tc>
        <w:tc>
          <w:tcPr>
            <w:tcW w:w="1311" w:type="dxa"/>
            <w:gridSpan w:val="2"/>
            <w:vAlign w:val="bottom"/>
          </w:tcPr>
          <w:p w14:paraId="77DF8E85" w14:textId="57043CC0" w:rsidR="00903BAA" w:rsidRPr="009A57CB" w:rsidRDefault="00903BAA" w:rsidP="007D66DD">
            <w:pPr>
              <w:jc w:val="center"/>
              <w:rPr>
                <w:sz w:val="22"/>
                <w:szCs w:val="22"/>
              </w:rPr>
            </w:pPr>
            <w:r w:rsidRPr="009A57CB">
              <w:rPr>
                <w:rFonts w:eastAsia="Times New Roman"/>
                <w:color w:val="000000"/>
                <w:sz w:val="22"/>
                <w:szCs w:val="22"/>
              </w:rPr>
              <w:t>(</w:t>
            </w:r>
            <w:r w:rsidR="007D66DD">
              <w:rPr>
                <w:rFonts w:eastAsia="Times New Roman"/>
                <w:color w:val="000000"/>
                <w:sz w:val="22"/>
                <w:szCs w:val="22"/>
              </w:rPr>
              <w:t>9</w:t>
            </w:r>
            <w:r w:rsidR="00B043CA">
              <w:rPr>
                <w:rFonts w:eastAsia="Times New Roman"/>
                <w:color w:val="000000"/>
                <w:sz w:val="22"/>
                <w:szCs w:val="22"/>
              </w:rPr>
              <w:t>7.26</w:t>
            </w:r>
            <w:r w:rsidRPr="009A57CB">
              <w:rPr>
                <w:rFonts w:eastAsia="Times New Roman"/>
                <w:color w:val="000000"/>
                <w:sz w:val="22"/>
                <w:szCs w:val="22"/>
              </w:rPr>
              <w:t>)</w:t>
            </w:r>
          </w:p>
        </w:tc>
      </w:tr>
      <w:tr w:rsidR="00531755" w:rsidRPr="009A57CB" w14:paraId="21DD7441" w14:textId="77777777" w:rsidTr="00531755">
        <w:tc>
          <w:tcPr>
            <w:tcW w:w="2898" w:type="dxa"/>
          </w:tcPr>
          <w:p w14:paraId="3B63736A" w14:textId="6CA3356F" w:rsidR="00903BAA" w:rsidRPr="009A57CB" w:rsidRDefault="00903BAA" w:rsidP="00B12490">
            <w:pPr>
              <w:rPr>
                <w:i/>
                <w:iCs/>
                <w:sz w:val="22"/>
                <w:szCs w:val="22"/>
              </w:rPr>
            </w:pPr>
            <w:r w:rsidRPr="009A57CB">
              <w:rPr>
                <w:i/>
                <w:iCs/>
                <w:sz w:val="22"/>
                <w:szCs w:val="22"/>
              </w:rPr>
              <w:t>C</w:t>
            </w:r>
            <w:r w:rsidRPr="009A57CB">
              <w:rPr>
                <w:sz w:val="22"/>
                <w:szCs w:val="22"/>
              </w:rPr>
              <w:t>*</w:t>
            </w:r>
            <w:r w:rsidRPr="009A57CB">
              <w:rPr>
                <w:i/>
                <w:iCs/>
                <w:sz w:val="22"/>
                <w:szCs w:val="22"/>
              </w:rPr>
              <w:t>Loss</w:t>
            </w:r>
          </w:p>
        </w:tc>
        <w:tc>
          <w:tcPr>
            <w:tcW w:w="1206" w:type="dxa"/>
            <w:gridSpan w:val="2"/>
          </w:tcPr>
          <w:p w14:paraId="714F6EF7" w14:textId="3C973A9D" w:rsidR="00903BAA" w:rsidRPr="009A57CB" w:rsidRDefault="00903BAA" w:rsidP="00903BAA">
            <w:pPr>
              <w:jc w:val="center"/>
              <w:rPr>
                <w:sz w:val="22"/>
                <w:szCs w:val="22"/>
              </w:rPr>
            </w:pPr>
            <w:r w:rsidRPr="009A57CB">
              <w:rPr>
                <w:sz w:val="22"/>
                <w:szCs w:val="22"/>
              </w:rPr>
              <w:t>+</w:t>
            </w:r>
          </w:p>
        </w:tc>
        <w:tc>
          <w:tcPr>
            <w:tcW w:w="1335" w:type="dxa"/>
            <w:gridSpan w:val="2"/>
            <w:vAlign w:val="bottom"/>
          </w:tcPr>
          <w:p w14:paraId="0F60E22F" w14:textId="77777777" w:rsidR="00903BAA" w:rsidRPr="009A57CB" w:rsidRDefault="00903BAA" w:rsidP="00903BAA">
            <w:pPr>
              <w:jc w:val="center"/>
              <w:rPr>
                <w:sz w:val="22"/>
                <w:szCs w:val="22"/>
              </w:rPr>
            </w:pPr>
          </w:p>
        </w:tc>
        <w:tc>
          <w:tcPr>
            <w:tcW w:w="1324" w:type="dxa"/>
            <w:gridSpan w:val="2"/>
            <w:vAlign w:val="bottom"/>
          </w:tcPr>
          <w:p w14:paraId="12D1E0A5" w14:textId="77777777" w:rsidR="00903BAA" w:rsidRPr="009A57CB" w:rsidRDefault="00903BAA" w:rsidP="00903BAA">
            <w:pPr>
              <w:jc w:val="center"/>
              <w:rPr>
                <w:sz w:val="22"/>
                <w:szCs w:val="22"/>
              </w:rPr>
            </w:pPr>
          </w:p>
        </w:tc>
        <w:tc>
          <w:tcPr>
            <w:tcW w:w="1311" w:type="dxa"/>
            <w:gridSpan w:val="2"/>
            <w:vAlign w:val="bottom"/>
          </w:tcPr>
          <w:p w14:paraId="18A3DCEE" w14:textId="589B7E65" w:rsidR="00903BAA" w:rsidRPr="009A57CB" w:rsidRDefault="00903BAA" w:rsidP="00903BAA">
            <w:pPr>
              <w:jc w:val="center"/>
              <w:rPr>
                <w:sz w:val="22"/>
                <w:szCs w:val="22"/>
              </w:rPr>
            </w:pPr>
            <w:r w:rsidRPr="009A57CB">
              <w:rPr>
                <w:rFonts w:eastAsia="Times New Roman"/>
                <w:color w:val="000000"/>
                <w:sz w:val="22"/>
                <w:szCs w:val="22"/>
              </w:rPr>
              <w:t>0.2</w:t>
            </w:r>
            <w:r w:rsidR="00B043CA">
              <w:rPr>
                <w:rFonts w:eastAsia="Times New Roman"/>
                <w:color w:val="000000"/>
                <w:sz w:val="22"/>
                <w:szCs w:val="22"/>
              </w:rPr>
              <w:t>75</w:t>
            </w:r>
            <w:r w:rsidRPr="009A57CB">
              <w:rPr>
                <w:rFonts w:eastAsia="Times New Roman"/>
                <w:color w:val="000000"/>
                <w:sz w:val="22"/>
                <w:szCs w:val="22"/>
                <w:vertAlign w:val="superscript"/>
              </w:rPr>
              <w:t>***</w:t>
            </w:r>
          </w:p>
        </w:tc>
        <w:tc>
          <w:tcPr>
            <w:tcW w:w="1311" w:type="dxa"/>
            <w:gridSpan w:val="2"/>
            <w:vAlign w:val="bottom"/>
          </w:tcPr>
          <w:p w14:paraId="615F58C5" w14:textId="604CD111" w:rsidR="00903BAA" w:rsidRPr="009A57CB" w:rsidRDefault="00903BAA" w:rsidP="00903BAA">
            <w:pPr>
              <w:jc w:val="center"/>
              <w:rPr>
                <w:sz w:val="22"/>
                <w:szCs w:val="22"/>
              </w:rPr>
            </w:pPr>
            <w:r w:rsidRPr="009A57CB">
              <w:rPr>
                <w:rFonts w:eastAsia="Times New Roman"/>
                <w:color w:val="000000"/>
                <w:sz w:val="22"/>
                <w:szCs w:val="22"/>
              </w:rPr>
              <w:t>0.1</w:t>
            </w:r>
            <w:r w:rsidR="00B043CA">
              <w:rPr>
                <w:rFonts w:eastAsia="Times New Roman"/>
                <w:color w:val="000000"/>
                <w:sz w:val="22"/>
                <w:szCs w:val="22"/>
              </w:rPr>
              <w:t>53</w:t>
            </w:r>
            <w:r w:rsidR="00547133" w:rsidRPr="009A57CB">
              <w:rPr>
                <w:rFonts w:eastAsia="Times New Roman"/>
                <w:color w:val="000000"/>
                <w:sz w:val="22"/>
                <w:szCs w:val="22"/>
                <w:vertAlign w:val="superscript"/>
              </w:rPr>
              <w:t>*</w:t>
            </w:r>
            <w:r w:rsidR="00B043CA">
              <w:rPr>
                <w:rFonts w:eastAsia="Times New Roman"/>
                <w:color w:val="000000"/>
                <w:sz w:val="22"/>
                <w:szCs w:val="22"/>
                <w:vertAlign w:val="superscript"/>
              </w:rPr>
              <w:t>*</w:t>
            </w:r>
            <w:r w:rsidR="00DB5F1B" w:rsidRPr="009A57CB">
              <w:rPr>
                <w:rFonts w:eastAsia="Times New Roman"/>
                <w:color w:val="000000"/>
                <w:sz w:val="22"/>
                <w:szCs w:val="22"/>
                <w:vertAlign w:val="superscript"/>
              </w:rPr>
              <w:t>*</w:t>
            </w:r>
          </w:p>
        </w:tc>
      </w:tr>
      <w:tr w:rsidR="00531755" w:rsidRPr="009A57CB" w14:paraId="03D2C063" w14:textId="77777777" w:rsidTr="00681316">
        <w:tc>
          <w:tcPr>
            <w:tcW w:w="2898" w:type="dxa"/>
            <w:tcBorders>
              <w:bottom w:val="single" w:sz="4" w:space="0" w:color="auto"/>
            </w:tcBorders>
          </w:tcPr>
          <w:p w14:paraId="3ECAF24A" w14:textId="77777777" w:rsidR="00903BAA" w:rsidRPr="009A57CB" w:rsidRDefault="00903BAA" w:rsidP="00B12490">
            <w:pPr>
              <w:rPr>
                <w:i/>
                <w:iCs/>
                <w:sz w:val="22"/>
                <w:szCs w:val="22"/>
              </w:rPr>
            </w:pPr>
          </w:p>
        </w:tc>
        <w:tc>
          <w:tcPr>
            <w:tcW w:w="1206" w:type="dxa"/>
            <w:gridSpan w:val="2"/>
            <w:tcBorders>
              <w:bottom w:val="single" w:sz="4" w:space="0" w:color="auto"/>
            </w:tcBorders>
          </w:tcPr>
          <w:p w14:paraId="0ABDC838" w14:textId="77777777" w:rsidR="00903BAA" w:rsidRPr="009A57CB" w:rsidRDefault="00903BAA" w:rsidP="00903BAA">
            <w:pPr>
              <w:jc w:val="center"/>
              <w:rPr>
                <w:sz w:val="22"/>
                <w:szCs w:val="22"/>
              </w:rPr>
            </w:pPr>
          </w:p>
        </w:tc>
        <w:tc>
          <w:tcPr>
            <w:tcW w:w="1335" w:type="dxa"/>
            <w:gridSpan w:val="2"/>
            <w:tcBorders>
              <w:bottom w:val="single" w:sz="4" w:space="0" w:color="auto"/>
            </w:tcBorders>
            <w:vAlign w:val="bottom"/>
          </w:tcPr>
          <w:p w14:paraId="2DB6BCD3" w14:textId="77777777" w:rsidR="00903BAA" w:rsidRPr="009A57CB" w:rsidRDefault="00903BAA" w:rsidP="00903BAA">
            <w:pPr>
              <w:jc w:val="center"/>
              <w:rPr>
                <w:sz w:val="22"/>
                <w:szCs w:val="22"/>
              </w:rPr>
            </w:pPr>
          </w:p>
        </w:tc>
        <w:tc>
          <w:tcPr>
            <w:tcW w:w="1324" w:type="dxa"/>
            <w:gridSpan w:val="2"/>
            <w:tcBorders>
              <w:bottom w:val="single" w:sz="4" w:space="0" w:color="auto"/>
            </w:tcBorders>
            <w:vAlign w:val="bottom"/>
          </w:tcPr>
          <w:p w14:paraId="5676B222" w14:textId="77777777" w:rsidR="00903BAA" w:rsidRPr="009A57CB" w:rsidRDefault="00903BAA" w:rsidP="00903BAA">
            <w:pPr>
              <w:jc w:val="center"/>
              <w:rPr>
                <w:sz w:val="22"/>
                <w:szCs w:val="22"/>
              </w:rPr>
            </w:pPr>
          </w:p>
        </w:tc>
        <w:tc>
          <w:tcPr>
            <w:tcW w:w="1311" w:type="dxa"/>
            <w:gridSpan w:val="2"/>
            <w:tcBorders>
              <w:bottom w:val="single" w:sz="4" w:space="0" w:color="auto"/>
            </w:tcBorders>
            <w:vAlign w:val="bottom"/>
          </w:tcPr>
          <w:p w14:paraId="229CA722" w14:textId="7DFD53FC" w:rsidR="00903BAA" w:rsidRPr="009A57CB" w:rsidRDefault="00903BAA" w:rsidP="007D66DD">
            <w:pPr>
              <w:jc w:val="center"/>
              <w:rPr>
                <w:sz w:val="22"/>
                <w:szCs w:val="22"/>
              </w:rPr>
            </w:pPr>
            <w:r w:rsidRPr="009A57CB">
              <w:rPr>
                <w:rFonts w:eastAsia="Times New Roman"/>
                <w:color w:val="000000"/>
                <w:sz w:val="22"/>
                <w:szCs w:val="22"/>
              </w:rPr>
              <w:t>(</w:t>
            </w:r>
            <w:r w:rsidR="00B043CA">
              <w:rPr>
                <w:rFonts w:eastAsia="Times New Roman"/>
                <w:color w:val="000000"/>
                <w:sz w:val="22"/>
                <w:szCs w:val="22"/>
              </w:rPr>
              <w:t>7.02</w:t>
            </w:r>
            <w:r w:rsidRPr="009A57CB">
              <w:rPr>
                <w:rFonts w:eastAsia="Times New Roman"/>
                <w:color w:val="000000"/>
                <w:sz w:val="22"/>
                <w:szCs w:val="22"/>
              </w:rPr>
              <w:t>)</w:t>
            </w:r>
          </w:p>
        </w:tc>
        <w:tc>
          <w:tcPr>
            <w:tcW w:w="1311" w:type="dxa"/>
            <w:gridSpan w:val="2"/>
            <w:tcBorders>
              <w:bottom w:val="single" w:sz="4" w:space="0" w:color="auto"/>
            </w:tcBorders>
            <w:vAlign w:val="bottom"/>
          </w:tcPr>
          <w:p w14:paraId="6EC48297" w14:textId="7A8BF071" w:rsidR="00903BAA" w:rsidRPr="009A57CB" w:rsidRDefault="00903BAA" w:rsidP="007D66DD">
            <w:pPr>
              <w:jc w:val="center"/>
              <w:rPr>
                <w:sz w:val="22"/>
                <w:szCs w:val="22"/>
              </w:rPr>
            </w:pPr>
            <w:r w:rsidRPr="009A57CB">
              <w:rPr>
                <w:rFonts w:eastAsia="Times New Roman"/>
                <w:color w:val="000000"/>
                <w:sz w:val="22"/>
                <w:szCs w:val="22"/>
              </w:rPr>
              <w:t>(</w:t>
            </w:r>
            <w:r w:rsidR="007D66DD">
              <w:rPr>
                <w:rFonts w:eastAsia="Times New Roman"/>
                <w:color w:val="000000"/>
                <w:sz w:val="22"/>
                <w:szCs w:val="22"/>
              </w:rPr>
              <w:t>2.</w:t>
            </w:r>
            <w:r w:rsidR="00B043CA">
              <w:rPr>
                <w:rFonts w:eastAsia="Times New Roman"/>
                <w:color w:val="000000"/>
                <w:sz w:val="22"/>
                <w:szCs w:val="22"/>
              </w:rPr>
              <w:t>56</w:t>
            </w:r>
            <w:r w:rsidRPr="009A57CB">
              <w:rPr>
                <w:rFonts w:eastAsia="Times New Roman"/>
                <w:color w:val="000000"/>
                <w:sz w:val="22"/>
                <w:szCs w:val="22"/>
              </w:rPr>
              <w:t>)</w:t>
            </w:r>
          </w:p>
        </w:tc>
      </w:tr>
      <w:tr w:rsidR="00531755" w:rsidRPr="009A57CB" w14:paraId="449AFAB9" w14:textId="77777777" w:rsidTr="00681316">
        <w:tc>
          <w:tcPr>
            <w:tcW w:w="2898" w:type="dxa"/>
            <w:tcBorders>
              <w:top w:val="single" w:sz="4" w:space="0" w:color="auto"/>
              <w:bottom w:val="nil"/>
            </w:tcBorders>
          </w:tcPr>
          <w:p w14:paraId="439E0E2B" w14:textId="1863055A" w:rsidR="00903BAA" w:rsidRPr="009A57CB" w:rsidRDefault="00C10859" w:rsidP="00B12490">
            <w:pPr>
              <w:rPr>
                <w:sz w:val="22"/>
                <w:szCs w:val="22"/>
              </w:rPr>
            </w:pPr>
            <w:r w:rsidRPr="009A57CB">
              <w:rPr>
                <w:sz w:val="22"/>
                <w:szCs w:val="22"/>
              </w:rPr>
              <w:t xml:space="preserve">Includes </w:t>
            </w:r>
            <w:r w:rsidR="00903BAA" w:rsidRPr="009A57CB">
              <w:rPr>
                <w:sz w:val="22"/>
                <w:szCs w:val="22"/>
              </w:rPr>
              <w:t>Firm Fixed Effects and Interactions</w:t>
            </w:r>
            <w:r w:rsidRPr="009A57CB">
              <w:rPr>
                <w:sz w:val="22"/>
                <w:szCs w:val="22"/>
              </w:rPr>
              <w:t xml:space="preserve"> with Variables of Interest</w:t>
            </w:r>
          </w:p>
        </w:tc>
        <w:tc>
          <w:tcPr>
            <w:tcW w:w="1206" w:type="dxa"/>
            <w:gridSpan w:val="2"/>
            <w:tcBorders>
              <w:top w:val="single" w:sz="4" w:space="0" w:color="auto"/>
              <w:bottom w:val="nil"/>
            </w:tcBorders>
          </w:tcPr>
          <w:p w14:paraId="21924DC2" w14:textId="77777777" w:rsidR="00903BAA" w:rsidRPr="009A57CB" w:rsidRDefault="00903BAA" w:rsidP="00903BAA">
            <w:pPr>
              <w:jc w:val="center"/>
              <w:rPr>
                <w:sz w:val="22"/>
                <w:szCs w:val="22"/>
              </w:rPr>
            </w:pPr>
          </w:p>
        </w:tc>
        <w:tc>
          <w:tcPr>
            <w:tcW w:w="1335" w:type="dxa"/>
            <w:gridSpan w:val="2"/>
            <w:tcBorders>
              <w:top w:val="single" w:sz="4" w:space="0" w:color="auto"/>
              <w:bottom w:val="nil"/>
            </w:tcBorders>
            <w:vAlign w:val="bottom"/>
          </w:tcPr>
          <w:p w14:paraId="04BDBF8E" w14:textId="7DD5E77D" w:rsidR="00903BAA" w:rsidRPr="009A57CB" w:rsidRDefault="00903BAA" w:rsidP="00903BAA">
            <w:pPr>
              <w:jc w:val="center"/>
              <w:rPr>
                <w:sz w:val="22"/>
                <w:szCs w:val="22"/>
              </w:rPr>
            </w:pPr>
            <w:r w:rsidRPr="009A57CB">
              <w:rPr>
                <w:rFonts w:eastAsia="Times New Roman"/>
                <w:color w:val="000000"/>
                <w:sz w:val="22"/>
                <w:szCs w:val="22"/>
              </w:rPr>
              <w:t>No</w:t>
            </w:r>
          </w:p>
        </w:tc>
        <w:tc>
          <w:tcPr>
            <w:tcW w:w="1324" w:type="dxa"/>
            <w:gridSpan w:val="2"/>
            <w:tcBorders>
              <w:top w:val="single" w:sz="4" w:space="0" w:color="auto"/>
              <w:bottom w:val="nil"/>
            </w:tcBorders>
            <w:vAlign w:val="bottom"/>
          </w:tcPr>
          <w:p w14:paraId="7E6A6746" w14:textId="121EA3D8" w:rsidR="00903BAA" w:rsidRPr="009A57CB" w:rsidRDefault="00903BAA" w:rsidP="00903BAA">
            <w:pPr>
              <w:jc w:val="center"/>
              <w:rPr>
                <w:sz w:val="22"/>
                <w:szCs w:val="22"/>
              </w:rPr>
            </w:pPr>
            <w:r w:rsidRPr="009A57CB">
              <w:rPr>
                <w:rFonts w:eastAsia="Times New Roman"/>
                <w:color w:val="000000"/>
                <w:sz w:val="22"/>
                <w:szCs w:val="22"/>
              </w:rPr>
              <w:t>No</w:t>
            </w:r>
          </w:p>
        </w:tc>
        <w:tc>
          <w:tcPr>
            <w:tcW w:w="1311" w:type="dxa"/>
            <w:gridSpan w:val="2"/>
            <w:tcBorders>
              <w:top w:val="single" w:sz="4" w:space="0" w:color="auto"/>
              <w:bottom w:val="nil"/>
            </w:tcBorders>
            <w:vAlign w:val="bottom"/>
          </w:tcPr>
          <w:p w14:paraId="5308ED94" w14:textId="3C804BA4" w:rsidR="00903BAA" w:rsidRPr="009A57CB" w:rsidRDefault="00903BAA" w:rsidP="00903BAA">
            <w:pPr>
              <w:jc w:val="center"/>
              <w:rPr>
                <w:sz w:val="22"/>
                <w:szCs w:val="22"/>
              </w:rPr>
            </w:pPr>
            <w:r w:rsidRPr="009A57CB">
              <w:rPr>
                <w:rFonts w:eastAsia="Times New Roman"/>
                <w:color w:val="000000"/>
                <w:sz w:val="22"/>
                <w:szCs w:val="22"/>
              </w:rPr>
              <w:t>No</w:t>
            </w:r>
          </w:p>
        </w:tc>
        <w:tc>
          <w:tcPr>
            <w:tcW w:w="1311" w:type="dxa"/>
            <w:gridSpan w:val="2"/>
            <w:tcBorders>
              <w:top w:val="single" w:sz="4" w:space="0" w:color="auto"/>
              <w:bottom w:val="nil"/>
            </w:tcBorders>
            <w:vAlign w:val="bottom"/>
          </w:tcPr>
          <w:p w14:paraId="188F1811" w14:textId="20E2B8EF" w:rsidR="00903BAA" w:rsidRPr="009A57CB" w:rsidRDefault="00903BAA" w:rsidP="00903BAA">
            <w:pPr>
              <w:jc w:val="center"/>
              <w:rPr>
                <w:sz w:val="22"/>
                <w:szCs w:val="22"/>
              </w:rPr>
            </w:pPr>
            <w:r w:rsidRPr="009A57CB">
              <w:rPr>
                <w:rFonts w:eastAsia="Times New Roman"/>
                <w:color w:val="000000"/>
                <w:sz w:val="22"/>
                <w:szCs w:val="22"/>
              </w:rPr>
              <w:t>Yes</w:t>
            </w:r>
          </w:p>
        </w:tc>
      </w:tr>
      <w:tr w:rsidR="00531755" w:rsidRPr="009A57CB" w14:paraId="74B4A539" w14:textId="77777777" w:rsidTr="00681316">
        <w:tc>
          <w:tcPr>
            <w:tcW w:w="2898" w:type="dxa"/>
            <w:tcBorders>
              <w:top w:val="nil"/>
            </w:tcBorders>
          </w:tcPr>
          <w:p w14:paraId="65ABADDF" w14:textId="51336A3A" w:rsidR="00903BAA" w:rsidRPr="009A57CB" w:rsidRDefault="00903BAA" w:rsidP="00B12490">
            <w:pPr>
              <w:rPr>
                <w:sz w:val="22"/>
                <w:szCs w:val="22"/>
              </w:rPr>
            </w:pPr>
            <w:r w:rsidRPr="009A57CB">
              <w:rPr>
                <w:sz w:val="22"/>
                <w:szCs w:val="22"/>
              </w:rPr>
              <w:t>R</w:t>
            </w:r>
            <w:r w:rsidRPr="009A57CB">
              <w:rPr>
                <w:sz w:val="22"/>
                <w:szCs w:val="22"/>
                <w:vertAlign w:val="superscript"/>
              </w:rPr>
              <w:t>2</w:t>
            </w:r>
          </w:p>
        </w:tc>
        <w:tc>
          <w:tcPr>
            <w:tcW w:w="1206" w:type="dxa"/>
            <w:gridSpan w:val="2"/>
            <w:tcBorders>
              <w:top w:val="nil"/>
            </w:tcBorders>
          </w:tcPr>
          <w:p w14:paraId="063A2173" w14:textId="77777777" w:rsidR="00903BAA" w:rsidRPr="009A57CB" w:rsidRDefault="00903BAA" w:rsidP="00903BAA">
            <w:pPr>
              <w:jc w:val="center"/>
              <w:rPr>
                <w:sz w:val="22"/>
                <w:szCs w:val="22"/>
              </w:rPr>
            </w:pPr>
          </w:p>
        </w:tc>
        <w:tc>
          <w:tcPr>
            <w:tcW w:w="1335" w:type="dxa"/>
            <w:gridSpan w:val="2"/>
            <w:tcBorders>
              <w:top w:val="nil"/>
            </w:tcBorders>
            <w:vAlign w:val="bottom"/>
          </w:tcPr>
          <w:p w14:paraId="7F21FFA8" w14:textId="79D95AFC" w:rsidR="00903BAA" w:rsidRPr="009A57CB" w:rsidRDefault="00903BAA" w:rsidP="00903BAA">
            <w:pPr>
              <w:jc w:val="center"/>
              <w:rPr>
                <w:sz w:val="22"/>
                <w:szCs w:val="22"/>
              </w:rPr>
            </w:pPr>
            <w:r w:rsidRPr="009A57CB">
              <w:rPr>
                <w:rFonts w:eastAsia="Times New Roman"/>
                <w:color w:val="000000"/>
                <w:sz w:val="22"/>
                <w:szCs w:val="22"/>
              </w:rPr>
              <w:t>0.04</w:t>
            </w:r>
            <w:r w:rsidR="00B043CA">
              <w:rPr>
                <w:rFonts w:eastAsia="Times New Roman"/>
                <w:color w:val="000000"/>
                <w:sz w:val="22"/>
                <w:szCs w:val="22"/>
              </w:rPr>
              <w:t>0</w:t>
            </w:r>
          </w:p>
        </w:tc>
        <w:tc>
          <w:tcPr>
            <w:tcW w:w="1324" w:type="dxa"/>
            <w:gridSpan w:val="2"/>
            <w:tcBorders>
              <w:top w:val="nil"/>
            </w:tcBorders>
            <w:vAlign w:val="bottom"/>
          </w:tcPr>
          <w:p w14:paraId="5659C9CA" w14:textId="65940FAB" w:rsidR="00903BAA" w:rsidRPr="009A57CB" w:rsidRDefault="00903BAA" w:rsidP="00903BAA">
            <w:pPr>
              <w:jc w:val="center"/>
              <w:rPr>
                <w:sz w:val="22"/>
                <w:szCs w:val="22"/>
              </w:rPr>
            </w:pPr>
            <w:r w:rsidRPr="009A57CB">
              <w:rPr>
                <w:rFonts w:eastAsia="Times New Roman"/>
                <w:color w:val="000000"/>
                <w:sz w:val="22"/>
                <w:szCs w:val="22"/>
              </w:rPr>
              <w:t>0.42</w:t>
            </w:r>
            <w:r w:rsidR="00B043CA">
              <w:rPr>
                <w:rFonts w:eastAsia="Times New Roman"/>
                <w:color w:val="000000"/>
                <w:sz w:val="22"/>
                <w:szCs w:val="22"/>
              </w:rPr>
              <w:t>9</w:t>
            </w:r>
          </w:p>
        </w:tc>
        <w:tc>
          <w:tcPr>
            <w:tcW w:w="1311" w:type="dxa"/>
            <w:gridSpan w:val="2"/>
            <w:tcBorders>
              <w:top w:val="nil"/>
            </w:tcBorders>
            <w:vAlign w:val="bottom"/>
          </w:tcPr>
          <w:p w14:paraId="4D9F2AAA" w14:textId="7C29ED42" w:rsidR="00903BAA" w:rsidRPr="009A57CB" w:rsidRDefault="00903BAA" w:rsidP="00903BAA">
            <w:pPr>
              <w:jc w:val="center"/>
              <w:rPr>
                <w:sz w:val="22"/>
                <w:szCs w:val="22"/>
              </w:rPr>
            </w:pPr>
            <w:r w:rsidRPr="009A57CB">
              <w:rPr>
                <w:rFonts w:eastAsia="Times New Roman"/>
                <w:color w:val="000000"/>
                <w:sz w:val="22"/>
                <w:szCs w:val="22"/>
              </w:rPr>
              <w:t>0.4</w:t>
            </w:r>
            <w:r w:rsidR="00B043CA">
              <w:rPr>
                <w:rFonts w:eastAsia="Times New Roman"/>
                <w:color w:val="000000"/>
                <w:sz w:val="22"/>
                <w:szCs w:val="22"/>
              </w:rPr>
              <w:t>30</w:t>
            </w:r>
          </w:p>
        </w:tc>
        <w:tc>
          <w:tcPr>
            <w:tcW w:w="1311" w:type="dxa"/>
            <w:gridSpan w:val="2"/>
            <w:tcBorders>
              <w:top w:val="nil"/>
            </w:tcBorders>
            <w:vAlign w:val="bottom"/>
          </w:tcPr>
          <w:p w14:paraId="6E34A541" w14:textId="6F7FEA85" w:rsidR="00903BAA" w:rsidRPr="009A57CB" w:rsidRDefault="00547133" w:rsidP="00903BAA">
            <w:pPr>
              <w:jc w:val="center"/>
              <w:rPr>
                <w:sz w:val="22"/>
                <w:szCs w:val="22"/>
              </w:rPr>
            </w:pPr>
            <w:r w:rsidRPr="009A57CB">
              <w:rPr>
                <w:sz w:val="22"/>
                <w:szCs w:val="22"/>
              </w:rPr>
              <w:t>0.50</w:t>
            </w:r>
            <w:r w:rsidR="00B043CA">
              <w:rPr>
                <w:sz w:val="22"/>
                <w:szCs w:val="22"/>
              </w:rPr>
              <w:t>8</w:t>
            </w:r>
          </w:p>
        </w:tc>
      </w:tr>
    </w:tbl>
    <w:p w14:paraId="4E0C48F1" w14:textId="77777777" w:rsidR="00D833FC" w:rsidRDefault="00D833FC" w:rsidP="00D833FC"/>
    <w:p w14:paraId="67976088" w14:textId="7D407A0B" w:rsidR="00616696" w:rsidRPr="00E25A97" w:rsidRDefault="00D833FC" w:rsidP="00C20136">
      <w:pPr>
        <w:jc w:val="both"/>
        <w:rPr>
          <w:sz w:val="22"/>
          <w:szCs w:val="22"/>
        </w:rPr>
      </w:pPr>
      <w:r>
        <w:rPr>
          <w:sz w:val="22"/>
          <w:szCs w:val="22"/>
        </w:rPr>
        <w:t xml:space="preserve">Table 3 presents results of estimating equation (1) to measure the firm-specific sensitivity to tax incentives </w:t>
      </w:r>
      <w:r>
        <w:rPr>
          <w:i/>
          <w:iCs/>
          <w:sz w:val="22"/>
          <w:szCs w:val="22"/>
        </w:rPr>
        <w:t>G</w:t>
      </w:r>
      <w:r>
        <w:rPr>
          <w:sz w:val="22"/>
          <w:szCs w:val="22"/>
        </w:rPr>
        <w:t xml:space="preserve">. </w:t>
      </w:r>
      <w:r w:rsidR="004343F7">
        <w:rPr>
          <w:sz w:val="22"/>
          <w:szCs w:val="22"/>
        </w:rPr>
        <w:t xml:space="preserve">Panel </w:t>
      </w:r>
      <w:proofErr w:type="gramStart"/>
      <w:r w:rsidR="004343F7">
        <w:rPr>
          <w:sz w:val="22"/>
          <w:szCs w:val="22"/>
        </w:rPr>
        <w:t>A</w:t>
      </w:r>
      <w:proofErr w:type="gramEnd"/>
      <w:r w:rsidR="004343F7">
        <w:rPr>
          <w:sz w:val="22"/>
          <w:szCs w:val="22"/>
        </w:rPr>
        <w:t xml:space="preserve"> reports coefficients from estimating variations of equation (1). Columns (1) to (3) present a replication of De Simone et al. (2017) Table 5B using our sample. Column (4) presents results of estimating equation (1) </w:t>
      </w:r>
      <w:r w:rsidR="00B47848">
        <w:rPr>
          <w:sz w:val="22"/>
          <w:szCs w:val="22"/>
        </w:rPr>
        <w:t xml:space="preserve">when </w:t>
      </w:r>
      <w:r w:rsidR="004343F7">
        <w:rPr>
          <w:sz w:val="22"/>
          <w:szCs w:val="22"/>
        </w:rPr>
        <w:t xml:space="preserve">including firm indicator variables for </w:t>
      </w:r>
      <w:r w:rsidR="00B47848">
        <w:rPr>
          <w:sz w:val="22"/>
          <w:szCs w:val="22"/>
        </w:rPr>
        <w:t>the 2,2</w:t>
      </w:r>
      <w:r w:rsidR="008A7855">
        <w:rPr>
          <w:sz w:val="22"/>
          <w:szCs w:val="22"/>
        </w:rPr>
        <w:t>43</w:t>
      </w:r>
      <w:r w:rsidR="00B47848">
        <w:rPr>
          <w:sz w:val="22"/>
          <w:szCs w:val="22"/>
        </w:rPr>
        <w:t xml:space="preserve"> </w:t>
      </w:r>
      <w:r w:rsidR="004343F7">
        <w:rPr>
          <w:sz w:val="22"/>
          <w:szCs w:val="22"/>
        </w:rPr>
        <w:t xml:space="preserve">firms with at least ten sample affiliate-years and the interactions of these indicator variables with </w:t>
      </w:r>
      <w:r w:rsidR="004343F7">
        <w:rPr>
          <w:i/>
          <w:sz w:val="22"/>
          <w:szCs w:val="22"/>
        </w:rPr>
        <w:t xml:space="preserve">C, Loss, </w:t>
      </w:r>
      <w:r w:rsidR="004343F7">
        <w:rPr>
          <w:sz w:val="22"/>
          <w:szCs w:val="22"/>
        </w:rPr>
        <w:t xml:space="preserve">and </w:t>
      </w:r>
      <w:r w:rsidR="004343F7">
        <w:rPr>
          <w:i/>
          <w:sz w:val="22"/>
          <w:szCs w:val="22"/>
        </w:rPr>
        <w:t>C*Loss.</w:t>
      </w:r>
      <w:r w:rsidR="004343F7">
        <w:rPr>
          <w:sz w:val="22"/>
          <w:szCs w:val="22"/>
        </w:rPr>
        <w:t xml:space="preserve"> </w:t>
      </w:r>
      <w:r w:rsidR="008A7855" w:rsidRPr="001071B7">
        <w:rPr>
          <w:sz w:val="22"/>
          <w:szCs w:val="22"/>
        </w:rPr>
        <w:t xml:space="preserve">The affiliate-year sample includes </w:t>
      </w:r>
      <w:r w:rsidR="008A7855">
        <w:rPr>
          <w:sz w:val="22"/>
          <w:szCs w:val="22"/>
        </w:rPr>
        <w:t>151,083</w:t>
      </w:r>
      <w:r w:rsidR="008A7855" w:rsidRPr="001071B7">
        <w:rPr>
          <w:sz w:val="22"/>
          <w:szCs w:val="22"/>
        </w:rPr>
        <w:t xml:space="preserve"> affiliate-years from </w:t>
      </w:r>
      <w:proofErr w:type="spellStart"/>
      <w:r w:rsidR="008A7855" w:rsidRPr="001071B7">
        <w:rPr>
          <w:sz w:val="22"/>
          <w:szCs w:val="22"/>
        </w:rPr>
        <w:t>BvD’s</w:t>
      </w:r>
      <w:proofErr w:type="spellEnd"/>
      <w:r w:rsidR="008A7855" w:rsidRPr="001071B7">
        <w:rPr>
          <w:sz w:val="22"/>
          <w:szCs w:val="22"/>
        </w:rPr>
        <w:t xml:space="preserve"> Osiris database </w:t>
      </w:r>
      <w:r w:rsidR="008A7855" w:rsidRPr="00421E02">
        <w:rPr>
          <w:sz w:val="22"/>
          <w:szCs w:val="22"/>
        </w:rPr>
        <w:t xml:space="preserve">with at least two affiliates in different jurisdictions </w:t>
      </w:r>
      <w:r w:rsidR="008A7855" w:rsidRPr="001071B7">
        <w:rPr>
          <w:sz w:val="22"/>
          <w:szCs w:val="22"/>
        </w:rPr>
        <w:t xml:space="preserve">and non-missing EBIT 2002 to 2014, representing </w:t>
      </w:r>
      <w:r w:rsidR="008A7855">
        <w:rPr>
          <w:sz w:val="22"/>
          <w:szCs w:val="22"/>
        </w:rPr>
        <w:t>5,610</w:t>
      </w:r>
      <w:r w:rsidR="008A7855" w:rsidRPr="001071B7">
        <w:rPr>
          <w:sz w:val="22"/>
          <w:szCs w:val="22"/>
        </w:rPr>
        <w:t xml:space="preserve"> unique controlled </w:t>
      </w:r>
      <w:r w:rsidR="008A7855">
        <w:rPr>
          <w:sz w:val="22"/>
          <w:szCs w:val="22"/>
        </w:rPr>
        <w:t>firm</w:t>
      </w:r>
      <w:r w:rsidR="008A7855" w:rsidRPr="001071B7">
        <w:rPr>
          <w:sz w:val="22"/>
          <w:szCs w:val="22"/>
        </w:rPr>
        <w:t xml:space="preserve">s. </w:t>
      </w:r>
      <w:r w:rsidR="00475AF4">
        <w:rPr>
          <w:sz w:val="22"/>
          <w:szCs w:val="22"/>
        </w:rPr>
        <w:t>All varia</w:t>
      </w:r>
      <w:r w:rsidR="00475AF4" w:rsidRPr="003C3481">
        <w:rPr>
          <w:sz w:val="22"/>
          <w:szCs w:val="22"/>
        </w:rPr>
        <w:t xml:space="preserve">bles </w:t>
      </w:r>
      <w:proofErr w:type="gramStart"/>
      <w:r w:rsidR="00475AF4" w:rsidRPr="003C3481">
        <w:rPr>
          <w:sz w:val="22"/>
          <w:szCs w:val="22"/>
        </w:rPr>
        <w:t>are obtained</w:t>
      </w:r>
      <w:proofErr w:type="gramEnd"/>
      <w:r w:rsidR="00475AF4" w:rsidRPr="003C3481">
        <w:rPr>
          <w:sz w:val="22"/>
          <w:szCs w:val="22"/>
        </w:rPr>
        <w:t xml:space="preserve"> from the Bureau van </w:t>
      </w:r>
      <w:proofErr w:type="spellStart"/>
      <w:r w:rsidR="00475AF4" w:rsidRPr="003C3481">
        <w:rPr>
          <w:sz w:val="22"/>
          <w:szCs w:val="22"/>
        </w:rPr>
        <w:t>Dijk</w:t>
      </w:r>
      <w:proofErr w:type="spellEnd"/>
      <w:r w:rsidR="00475AF4" w:rsidRPr="003C3481">
        <w:rPr>
          <w:sz w:val="22"/>
          <w:szCs w:val="22"/>
        </w:rPr>
        <w:t xml:space="preserve"> Osiris database </w:t>
      </w:r>
      <w:r w:rsidR="00475AF4">
        <w:rPr>
          <w:sz w:val="22"/>
          <w:szCs w:val="22"/>
        </w:rPr>
        <w:t xml:space="preserve">unless </w:t>
      </w:r>
      <w:r w:rsidR="00475AF4" w:rsidRPr="003C3481">
        <w:rPr>
          <w:sz w:val="22"/>
          <w:szCs w:val="22"/>
        </w:rPr>
        <w:t xml:space="preserve">otherwise noted. </w:t>
      </w:r>
      <w:proofErr w:type="spellStart"/>
      <w:r w:rsidR="00475AF4" w:rsidRPr="003C3481">
        <w:rPr>
          <w:i/>
          <w:sz w:val="22"/>
          <w:szCs w:val="22"/>
        </w:rPr>
        <w:t>CompExpense</w:t>
      </w:r>
      <w:proofErr w:type="spellEnd"/>
      <w:r w:rsidR="00475AF4" w:rsidRPr="003C3481">
        <w:rPr>
          <w:i/>
          <w:sz w:val="22"/>
          <w:szCs w:val="22"/>
        </w:rPr>
        <w:t xml:space="preserve"> </w:t>
      </w:r>
      <w:r w:rsidR="00475AF4" w:rsidRPr="003C3481">
        <w:rPr>
          <w:sz w:val="22"/>
          <w:szCs w:val="22"/>
        </w:rPr>
        <w:t>is compensation expense (</w:t>
      </w:r>
      <w:r w:rsidR="00475AF4" w:rsidRPr="003C3481">
        <w:rPr>
          <w:i/>
          <w:sz w:val="22"/>
          <w:szCs w:val="22"/>
        </w:rPr>
        <w:t>STAF</w:t>
      </w:r>
      <w:r w:rsidR="00475AF4" w:rsidRPr="003C3481">
        <w:rPr>
          <w:sz w:val="22"/>
          <w:szCs w:val="22"/>
        </w:rPr>
        <w:t>)</w:t>
      </w:r>
      <w:r w:rsidR="00475AF4" w:rsidRPr="003C3481">
        <w:rPr>
          <w:i/>
          <w:sz w:val="22"/>
          <w:szCs w:val="22"/>
        </w:rPr>
        <w:t xml:space="preserve">. ROA </w:t>
      </w:r>
      <w:r w:rsidR="00475AF4" w:rsidRPr="003C3481">
        <w:rPr>
          <w:sz w:val="22"/>
          <w:szCs w:val="22"/>
        </w:rPr>
        <w:t xml:space="preserve">is </w:t>
      </w:r>
      <w:r w:rsidR="00475AF4" w:rsidRPr="003C3481">
        <w:rPr>
          <w:i/>
          <w:sz w:val="22"/>
          <w:szCs w:val="22"/>
        </w:rPr>
        <w:t xml:space="preserve">EBIT </w:t>
      </w:r>
      <w:r w:rsidR="00475AF4" w:rsidRPr="003C3481">
        <w:rPr>
          <w:sz w:val="22"/>
          <w:szCs w:val="22"/>
        </w:rPr>
        <w:t xml:space="preserve">scaled by </w:t>
      </w:r>
      <w:proofErr w:type="spellStart"/>
      <w:r w:rsidR="00475AF4" w:rsidRPr="003C3481">
        <w:rPr>
          <w:i/>
          <w:sz w:val="22"/>
          <w:szCs w:val="22"/>
        </w:rPr>
        <w:t>TotalAssets</w:t>
      </w:r>
      <w:proofErr w:type="spellEnd"/>
      <w:r w:rsidR="00475AF4" w:rsidRPr="003C3481">
        <w:rPr>
          <w:i/>
          <w:sz w:val="22"/>
          <w:szCs w:val="22"/>
        </w:rPr>
        <w:t xml:space="preserve">. </w:t>
      </w:r>
      <w:proofErr w:type="gramStart"/>
      <w:r w:rsidR="00475AF4">
        <w:rPr>
          <w:i/>
          <w:sz w:val="22"/>
          <w:szCs w:val="22"/>
        </w:rPr>
        <w:t>ln(</w:t>
      </w:r>
      <w:proofErr w:type="gramEnd"/>
      <w:r w:rsidR="00475AF4">
        <w:rPr>
          <w:i/>
          <w:sz w:val="22"/>
          <w:szCs w:val="22"/>
        </w:rPr>
        <w:t xml:space="preserve">ROA+1) </w:t>
      </w:r>
      <w:r w:rsidR="00475AF4">
        <w:rPr>
          <w:sz w:val="22"/>
          <w:szCs w:val="22"/>
        </w:rPr>
        <w:t xml:space="preserve">is the natural log of the sum of </w:t>
      </w:r>
      <w:r w:rsidR="00475AF4">
        <w:rPr>
          <w:i/>
          <w:sz w:val="22"/>
          <w:szCs w:val="22"/>
        </w:rPr>
        <w:t>ROA</w:t>
      </w:r>
      <w:r w:rsidR="004F3868">
        <w:rPr>
          <w:i/>
          <w:sz w:val="22"/>
          <w:szCs w:val="22"/>
        </w:rPr>
        <w:t xml:space="preserve">, </w:t>
      </w:r>
      <w:r w:rsidR="004F3868">
        <w:rPr>
          <w:sz w:val="22"/>
          <w:szCs w:val="22"/>
        </w:rPr>
        <w:t xml:space="preserve">measured as </w:t>
      </w:r>
      <w:r w:rsidR="004F3868" w:rsidRPr="003C3481">
        <w:rPr>
          <w:sz w:val="22"/>
          <w:szCs w:val="22"/>
        </w:rPr>
        <w:t>earnings before interest and taxes (</w:t>
      </w:r>
      <w:r w:rsidR="004F3868" w:rsidRPr="003C3481">
        <w:rPr>
          <w:i/>
          <w:sz w:val="22"/>
          <w:szCs w:val="22"/>
        </w:rPr>
        <w:t>EBIT</w:t>
      </w:r>
      <w:r w:rsidR="004F3868" w:rsidRPr="003C3481">
        <w:rPr>
          <w:sz w:val="22"/>
          <w:szCs w:val="22"/>
        </w:rPr>
        <w:t>)</w:t>
      </w:r>
      <w:r w:rsidR="004F3868">
        <w:rPr>
          <w:sz w:val="22"/>
          <w:szCs w:val="22"/>
        </w:rPr>
        <w:t xml:space="preserve"> scaled by </w:t>
      </w:r>
      <w:r w:rsidR="004F3868" w:rsidRPr="003C3481">
        <w:rPr>
          <w:sz w:val="22"/>
          <w:szCs w:val="22"/>
        </w:rPr>
        <w:t>total assets</w:t>
      </w:r>
      <w:r w:rsidR="00475AF4">
        <w:rPr>
          <w:i/>
          <w:sz w:val="22"/>
          <w:szCs w:val="22"/>
        </w:rPr>
        <w:t xml:space="preserve"> </w:t>
      </w:r>
      <w:r w:rsidR="004F3868">
        <w:rPr>
          <w:i/>
          <w:sz w:val="22"/>
          <w:szCs w:val="22"/>
        </w:rPr>
        <w:t xml:space="preserve">(TOAS), </w:t>
      </w:r>
      <w:r w:rsidR="00475AF4">
        <w:rPr>
          <w:sz w:val="22"/>
          <w:szCs w:val="22"/>
        </w:rPr>
        <w:t xml:space="preserve">and one. </w:t>
      </w:r>
      <w:proofErr w:type="gramStart"/>
      <w:r w:rsidR="00475AF4">
        <w:rPr>
          <w:i/>
          <w:sz w:val="22"/>
          <w:szCs w:val="22"/>
        </w:rPr>
        <w:t>ln(</w:t>
      </w:r>
      <w:proofErr w:type="spellStart"/>
      <w:proofErr w:type="gramEnd"/>
      <w:r w:rsidR="00475AF4">
        <w:rPr>
          <w:i/>
          <w:sz w:val="22"/>
          <w:szCs w:val="22"/>
        </w:rPr>
        <w:t>TangibleAssets</w:t>
      </w:r>
      <w:proofErr w:type="spellEnd"/>
      <w:r w:rsidR="00475AF4">
        <w:rPr>
          <w:i/>
          <w:sz w:val="22"/>
          <w:szCs w:val="22"/>
        </w:rPr>
        <w:t xml:space="preserve">) </w:t>
      </w:r>
      <w:r w:rsidR="00475AF4">
        <w:rPr>
          <w:sz w:val="22"/>
          <w:szCs w:val="22"/>
        </w:rPr>
        <w:t xml:space="preserve">is the natural log of </w:t>
      </w:r>
      <w:r w:rsidR="004F3868">
        <w:rPr>
          <w:sz w:val="22"/>
          <w:szCs w:val="22"/>
        </w:rPr>
        <w:t>tangible fixed assets (</w:t>
      </w:r>
      <w:r w:rsidR="004F3868">
        <w:rPr>
          <w:i/>
          <w:sz w:val="22"/>
          <w:szCs w:val="22"/>
        </w:rPr>
        <w:t>TFAS</w:t>
      </w:r>
      <w:r w:rsidR="004F3868" w:rsidRPr="004F3868">
        <w:rPr>
          <w:sz w:val="22"/>
          <w:szCs w:val="22"/>
        </w:rPr>
        <w:t>)</w:t>
      </w:r>
      <w:r w:rsidR="00475AF4">
        <w:rPr>
          <w:i/>
          <w:sz w:val="22"/>
          <w:szCs w:val="22"/>
        </w:rPr>
        <w:t xml:space="preserve">. </w:t>
      </w:r>
      <w:proofErr w:type="gramStart"/>
      <w:r w:rsidR="00475AF4">
        <w:rPr>
          <w:i/>
          <w:sz w:val="22"/>
          <w:szCs w:val="22"/>
        </w:rPr>
        <w:t>ln(</w:t>
      </w:r>
      <w:proofErr w:type="spellStart"/>
      <w:proofErr w:type="gramEnd"/>
      <w:r w:rsidR="00475AF4">
        <w:rPr>
          <w:i/>
          <w:sz w:val="22"/>
          <w:szCs w:val="22"/>
        </w:rPr>
        <w:t>CompExpense</w:t>
      </w:r>
      <w:proofErr w:type="spellEnd"/>
      <w:r w:rsidR="00475AF4">
        <w:rPr>
          <w:i/>
          <w:sz w:val="22"/>
          <w:szCs w:val="22"/>
        </w:rPr>
        <w:t xml:space="preserve">) </w:t>
      </w:r>
      <w:r w:rsidR="00475AF4">
        <w:rPr>
          <w:sz w:val="22"/>
          <w:szCs w:val="22"/>
        </w:rPr>
        <w:t xml:space="preserve">is the natural log of </w:t>
      </w:r>
      <w:r w:rsidR="004F3868">
        <w:rPr>
          <w:sz w:val="22"/>
          <w:szCs w:val="22"/>
        </w:rPr>
        <w:t>compensation expense (</w:t>
      </w:r>
      <w:r w:rsidR="004F3868">
        <w:rPr>
          <w:i/>
          <w:sz w:val="22"/>
          <w:szCs w:val="22"/>
        </w:rPr>
        <w:t>STAF</w:t>
      </w:r>
      <w:r w:rsidR="004F3868">
        <w:rPr>
          <w:sz w:val="22"/>
          <w:szCs w:val="22"/>
        </w:rPr>
        <w:t>)</w:t>
      </w:r>
      <w:r w:rsidR="00475AF4">
        <w:rPr>
          <w:i/>
          <w:sz w:val="22"/>
          <w:szCs w:val="22"/>
        </w:rPr>
        <w:t xml:space="preserve">. </w:t>
      </w:r>
      <w:proofErr w:type="spellStart"/>
      <w:r w:rsidR="00475AF4" w:rsidRPr="003C3481">
        <w:rPr>
          <w:i/>
          <w:sz w:val="22"/>
          <w:szCs w:val="22"/>
        </w:rPr>
        <w:t>IndustryROA</w:t>
      </w:r>
      <w:proofErr w:type="spellEnd"/>
      <w:r w:rsidR="00475AF4" w:rsidRPr="003C3481">
        <w:rPr>
          <w:i/>
          <w:sz w:val="22"/>
          <w:szCs w:val="22"/>
        </w:rPr>
        <w:t xml:space="preserve"> </w:t>
      </w:r>
      <w:r w:rsidR="00475AF4" w:rsidRPr="003C3481">
        <w:rPr>
          <w:sz w:val="22"/>
          <w:szCs w:val="22"/>
        </w:rPr>
        <w:t>is</w:t>
      </w:r>
      <w:r w:rsidR="00475AF4" w:rsidRPr="003C3481">
        <w:rPr>
          <w:i/>
          <w:sz w:val="22"/>
          <w:szCs w:val="22"/>
        </w:rPr>
        <w:t xml:space="preserve"> </w:t>
      </w:r>
      <w:r w:rsidR="00475AF4" w:rsidRPr="003C3481">
        <w:rPr>
          <w:sz w:val="22"/>
          <w:szCs w:val="22"/>
        </w:rPr>
        <w:t xml:space="preserve">country-industry-year median </w:t>
      </w:r>
      <w:r w:rsidR="00475AF4" w:rsidRPr="003C3481">
        <w:rPr>
          <w:i/>
          <w:sz w:val="22"/>
          <w:szCs w:val="22"/>
        </w:rPr>
        <w:t xml:space="preserve">ROA </w:t>
      </w:r>
      <w:r w:rsidR="00475AF4" w:rsidRPr="003C3481">
        <w:rPr>
          <w:sz w:val="22"/>
          <w:szCs w:val="22"/>
        </w:rPr>
        <w:t xml:space="preserve">for all observable (controlled or uncontrolled) affiliates. </w:t>
      </w:r>
      <w:r w:rsidR="00475AF4" w:rsidRPr="003C3481">
        <w:rPr>
          <w:i/>
          <w:sz w:val="22"/>
          <w:szCs w:val="22"/>
        </w:rPr>
        <w:t xml:space="preserve">Age </w:t>
      </w:r>
      <w:r w:rsidR="00475AF4" w:rsidRPr="003C3481">
        <w:rPr>
          <w:sz w:val="22"/>
          <w:szCs w:val="22"/>
        </w:rPr>
        <w:t xml:space="preserve">is </w:t>
      </w:r>
      <w:r w:rsidR="000B0E53">
        <w:rPr>
          <w:sz w:val="22"/>
          <w:szCs w:val="22"/>
        </w:rPr>
        <w:t xml:space="preserve">the natural log of </w:t>
      </w:r>
      <w:r w:rsidR="001342B3">
        <w:rPr>
          <w:sz w:val="22"/>
          <w:szCs w:val="22"/>
        </w:rPr>
        <w:t xml:space="preserve">one </w:t>
      </w:r>
      <w:proofErr w:type="gramStart"/>
      <w:r w:rsidR="001342B3">
        <w:rPr>
          <w:sz w:val="22"/>
          <w:szCs w:val="22"/>
        </w:rPr>
        <w:t>plus</w:t>
      </w:r>
      <w:proofErr w:type="gramEnd"/>
      <w:r w:rsidR="001342B3">
        <w:rPr>
          <w:sz w:val="22"/>
          <w:szCs w:val="22"/>
        </w:rPr>
        <w:t xml:space="preserve"> </w:t>
      </w:r>
      <w:r w:rsidR="00475AF4" w:rsidRPr="003C3481">
        <w:rPr>
          <w:sz w:val="22"/>
          <w:szCs w:val="22"/>
        </w:rPr>
        <w:t xml:space="preserve">year </w:t>
      </w:r>
      <w:r w:rsidR="00475AF4" w:rsidRPr="003C3481">
        <w:rPr>
          <w:i/>
          <w:sz w:val="22"/>
          <w:szCs w:val="22"/>
        </w:rPr>
        <w:t xml:space="preserve">t </w:t>
      </w:r>
      <w:r w:rsidR="00475AF4" w:rsidRPr="003C3481">
        <w:rPr>
          <w:sz w:val="22"/>
          <w:szCs w:val="22"/>
        </w:rPr>
        <w:t xml:space="preserve">minus the year the affiliate first appears in the database. </w:t>
      </w:r>
      <w:r w:rsidR="00475AF4" w:rsidRPr="003C3481">
        <w:rPr>
          <w:i/>
          <w:sz w:val="22"/>
          <w:szCs w:val="22"/>
        </w:rPr>
        <w:t>∆GDP</w:t>
      </w:r>
      <w:r w:rsidR="00475AF4" w:rsidRPr="003C3481">
        <w:rPr>
          <w:sz w:val="22"/>
          <w:szCs w:val="22"/>
        </w:rPr>
        <w:t xml:space="preserve"> is </w:t>
      </w:r>
      <w:r w:rsidR="00475AF4" w:rsidRPr="003C3481">
        <w:rPr>
          <w:i/>
          <w:sz w:val="22"/>
          <w:szCs w:val="22"/>
        </w:rPr>
        <w:t xml:space="preserve">GDP </w:t>
      </w:r>
      <w:r w:rsidR="00475AF4" w:rsidRPr="003C3481">
        <w:rPr>
          <w:sz w:val="22"/>
          <w:szCs w:val="22"/>
        </w:rPr>
        <w:t xml:space="preserve">in year </w:t>
      </w:r>
      <w:r w:rsidR="00475AF4" w:rsidRPr="003C3481">
        <w:rPr>
          <w:i/>
          <w:sz w:val="22"/>
          <w:szCs w:val="22"/>
        </w:rPr>
        <w:t xml:space="preserve">t </w:t>
      </w:r>
      <w:r w:rsidR="00475AF4" w:rsidRPr="003C3481">
        <w:rPr>
          <w:sz w:val="22"/>
          <w:szCs w:val="22"/>
        </w:rPr>
        <w:t xml:space="preserve">minus </w:t>
      </w:r>
      <w:r w:rsidR="00475AF4" w:rsidRPr="003C3481">
        <w:rPr>
          <w:i/>
          <w:sz w:val="22"/>
          <w:szCs w:val="22"/>
        </w:rPr>
        <w:t xml:space="preserve">GDP </w:t>
      </w:r>
      <w:r w:rsidR="00475AF4" w:rsidRPr="003C3481">
        <w:rPr>
          <w:sz w:val="22"/>
          <w:szCs w:val="22"/>
        </w:rPr>
        <w:t xml:space="preserve">in year </w:t>
      </w:r>
      <w:r w:rsidR="00475AF4" w:rsidRPr="003C3481">
        <w:rPr>
          <w:i/>
          <w:sz w:val="22"/>
          <w:szCs w:val="22"/>
        </w:rPr>
        <w:t>t-1</w:t>
      </w:r>
      <w:r w:rsidR="00475AF4" w:rsidRPr="003C3481">
        <w:rPr>
          <w:sz w:val="22"/>
          <w:szCs w:val="22"/>
        </w:rPr>
        <w:t xml:space="preserve">, scaled by </w:t>
      </w:r>
      <w:r w:rsidR="00475AF4" w:rsidRPr="003C3481">
        <w:rPr>
          <w:i/>
          <w:sz w:val="22"/>
          <w:szCs w:val="22"/>
        </w:rPr>
        <w:t xml:space="preserve">GDP </w:t>
      </w:r>
      <w:r w:rsidR="00475AF4" w:rsidRPr="003C3481">
        <w:rPr>
          <w:sz w:val="22"/>
          <w:szCs w:val="22"/>
        </w:rPr>
        <w:t xml:space="preserve">in year </w:t>
      </w:r>
      <w:r w:rsidR="00475AF4" w:rsidRPr="003C3481">
        <w:rPr>
          <w:i/>
          <w:sz w:val="22"/>
          <w:szCs w:val="22"/>
        </w:rPr>
        <w:t>t-1</w:t>
      </w:r>
      <w:r w:rsidR="00475AF4" w:rsidRPr="003C3481">
        <w:rPr>
          <w:sz w:val="22"/>
          <w:szCs w:val="22"/>
        </w:rPr>
        <w:t>;</w:t>
      </w:r>
      <w:r w:rsidR="00475AF4" w:rsidRPr="003C3481">
        <w:rPr>
          <w:i/>
          <w:sz w:val="22"/>
          <w:szCs w:val="22"/>
        </w:rPr>
        <w:t xml:space="preserve"> </w:t>
      </w:r>
      <w:r w:rsidR="00475AF4" w:rsidRPr="003C3481">
        <w:rPr>
          <w:sz w:val="22"/>
          <w:szCs w:val="22"/>
        </w:rPr>
        <w:t>we obtain GDP data from the World Bank</w:t>
      </w:r>
      <w:r w:rsidR="00475AF4" w:rsidRPr="003C3481">
        <w:rPr>
          <w:i/>
          <w:sz w:val="22"/>
          <w:szCs w:val="22"/>
        </w:rPr>
        <w:t xml:space="preserve">. C </w:t>
      </w:r>
      <w:r w:rsidR="00475AF4" w:rsidRPr="003C3481">
        <w:rPr>
          <w:sz w:val="22"/>
          <w:szCs w:val="22"/>
        </w:rPr>
        <w:t xml:space="preserve">is the capital-weighted average differential statutory tax rate between the affiliate and all related affiliates in the same </w:t>
      </w:r>
      <w:r w:rsidR="00E964A6">
        <w:rPr>
          <w:sz w:val="22"/>
          <w:szCs w:val="22"/>
        </w:rPr>
        <w:t>firm</w:t>
      </w:r>
      <w:r w:rsidR="00475AF4" w:rsidRPr="003C3481">
        <w:rPr>
          <w:sz w:val="22"/>
          <w:szCs w:val="22"/>
        </w:rPr>
        <w:t xml:space="preserve">-year; we compile statutory tax rate data from the University of Michigan, the OECD, KPMG, the Tax Foundation, and Trading Economics. </w:t>
      </w:r>
      <w:r w:rsidR="00475AF4" w:rsidRPr="003C3481">
        <w:rPr>
          <w:i/>
          <w:sz w:val="22"/>
          <w:szCs w:val="22"/>
        </w:rPr>
        <w:t xml:space="preserve">Loss </w:t>
      </w:r>
      <w:r w:rsidR="00475AF4" w:rsidRPr="003C3481">
        <w:rPr>
          <w:sz w:val="22"/>
          <w:szCs w:val="22"/>
        </w:rPr>
        <w:t xml:space="preserve">is an indicator variable equal to one if the affiliate reports </w:t>
      </w:r>
      <w:r w:rsidR="00475AF4" w:rsidRPr="003C3481">
        <w:rPr>
          <w:i/>
          <w:sz w:val="22"/>
          <w:szCs w:val="22"/>
        </w:rPr>
        <w:t xml:space="preserve">EBIT </w:t>
      </w:r>
      <w:r w:rsidR="00475AF4" w:rsidRPr="003C3481">
        <w:rPr>
          <w:sz w:val="22"/>
          <w:szCs w:val="22"/>
        </w:rPr>
        <w:t xml:space="preserve">less than zero. </w:t>
      </w:r>
      <w:r w:rsidR="00475AF4" w:rsidRPr="00BC29AA">
        <w:rPr>
          <w:sz w:val="22"/>
          <w:szCs w:val="22"/>
        </w:rPr>
        <w:t xml:space="preserve">All variables are </w:t>
      </w:r>
      <w:proofErr w:type="spellStart"/>
      <w:r w:rsidR="00475AF4" w:rsidRPr="00BC29AA">
        <w:rPr>
          <w:sz w:val="22"/>
          <w:szCs w:val="22"/>
        </w:rPr>
        <w:t>winsorized</w:t>
      </w:r>
      <w:proofErr w:type="spellEnd"/>
      <w:r w:rsidR="00475AF4" w:rsidRPr="00BC29AA">
        <w:rPr>
          <w:sz w:val="22"/>
          <w:szCs w:val="22"/>
        </w:rPr>
        <w:t xml:space="preserve"> at 1 and 99</w:t>
      </w:r>
      <w:r w:rsidR="00475AF4" w:rsidRPr="00E25A97">
        <w:rPr>
          <w:sz w:val="22"/>
          <w:szCs w:val="22"/>
        </w:rPr>
        <w:t xml:space="preserve"> percent.</w:t>
      </w:r>
      <w:r w:rsidR="00E25A97" w:rsidRPr="00E25A97">
        <w:rPr>
          <w:sz w:val="22"/>
          <w:szCs w:val="22"/>
        </w:rPr>
        <w:t xml:space="preserve"> </w:t>
      </w:r>
      <w:r w:rsidR="00E25A97" w:rsidRPr="00E25A97">
        <w:rPr>
          <w:rFonts w:eastAsia="Times New Roman"/>
          <w:color w:val="000000"/>
          <w:sz w:val="22"/>
          <w:szCs w:val="22"/>
          <w:vertAlign w:val="superscript"/>
        </w:rPr>
        <w:t>***</w:t>
      </w:r>
      <w:r w:rsidR="00E25A97" w:rsidRPr="00E25A97">
        <w:rPr>
          <w:rFonts w:eastAsia="Times New Roman"/>
          <w:color w:val="000000"/>
          <w:sz w:val="22"/>
          <w:szCs w:val="22"/>
        </w:rPr>
        <w:t>,</w:t>
      </w:r>
      <w:r w:rsidR="00E25A97" w:rsidRPr="00E25A97">
        <w:rPr>
          <w:rFonts w:eastAsia="Times New Roman"/>
          <w:color w:val="000000"/>
          <w:sz w:val="22"/>
          <w:szCs w:val="22"/>
          <w:vertAlign w:val="superscript"/>
        </w:rPr>
        <w:t xml:space="preserve"> **</w:t>
      </w:r>
      <w:r w:rsidR="00E25A97" w:rsidRPr="00E25A97">
        <w:rPr>
          <w:rFonts w:eastAsia="Times New Roman"/>
          <w:color w:val="000000"/>
          <w:sz w:val="22"/>
          <w:szCs w:val="22"/>
        </w:rPr>
        <w:t>,</w:t>
      </w:r>
      <w:r w:rsidR="00E25A97" w:rsidRPr="00E25A97">
        <w:rPr>
          <w:rFonts w:eastAsia="Times New Roman"/>
          <w:color w:val="000000"/>
          <w:sz w:val="22"/>
          <w:szCs w:val="22"/>
          <w:vertAlign w:val="superscript"/>
        </w:rPr>
        <w:t xml:space="preserve"> </w:t>
      </w:r>
      <w:r w:rsidR="00E25A97" w:rsidRPr="00E25A97">
        <w:rPr>
          <w:rFonts w:eastAsia="Times New Roman"/>
          <w:color w:val="000000"/>
          <w:sz w:val="22"/>
          <w:szCs w:val="22"/>
        </w:rPr>
        <w:t xml:space="preserve">and </w:t>
      </w:r>
      <w:r w:rsidR="00E25A97" w:rsidRPr="00E25A97">
        <w:rPr>
          <w:rFonts w:eastAsia="Times New Roman"/>
          <w:color w:val="000000"/>
          <w:sz w:val="22"/>
          <w:szCs w:val="22"/>
          <w:vertAlign w:val="superscript"/>
        </w:rPr>
        <w:t xml:space="preserve">* </w:t>
      </w:r>
      <w:r w:rsidR="00E25A97" w:rsidRPr="00E25A97">
        <w:rPr>
          <w:rFonts w:eastAsia="Times New Roman"/>
          <w:color w:val="000000"/>
          <w:sz w:val="22"/>
          <w:szCs w:val="22"/>
        </w:rPr>
        <w:t xml:space="preserve">represent </w:t>
      </w:r>
      <w:r w:rsidR="00222883">
        <w:rPr>
          <w:rFonts w:eastAsia="Times New Roman"/>
          <w:color w:val="000000"/>
          <w:sz w:val="22"/>
          <w:szCs w:val="22"/>
        </w:rPr>
        <w:t>(</w:t>
      </w:r>
      <w:r w:rsidR="00DB5F1B">
        <w:rPr>
          <w:rFonts w:eastAsia="Times New Roman"/>
          <w:color w:val="000000"/>
          <w:sz w:val="22"/>
          <w:szCs w:val="22"/>
        </w:rPr>
        <w:t>one</w:t>
      </w:r>
      <w:r w:rsidR="00222883">
        <w:rPr>
          <w:rFonts w:eastAsia="Times New Roman"/>
          <w:color w:val="000000"/>
          <w:sz w:val="22"/>
          <w:szCs w:val="22"/>
        </w:rPr>
        <w:t xml:space="preserve">-tailed) </w:t>
      </w:r>
      <w:r w:rsidR="00E25A97" w:rsidRPr="00E25A97">
        <w:rPr>
          <w:rFonts w:eastAsia="Times New Roman"/>
          <w:color w:val="000000"/>
          <w:sz w:val="22"/>
          <w:szCs w:val="22"/>
        </w:rPr>
        <w:t>statistical significance at the 1, 5</w:t>
      </w:r>
      <w:r w:rsidR="00443299">
        <w:rPr>
          <w:rFonts w:eastAsia="Times New Roman"/>
          <w:color w:val="000000"/>
          <w:sz w:val="22"/>
          <w:szCs w:val="22"/>
        </w:rPr>
        <w:t>,</w:t>
      </w:r>
      <w:r w:rsidR="00E25A97" w:rsidRPr="00E25A97">
        <w:rPr>
          <w:rFonts w:eastAsia="Times New Roman"/>
          <w:color w:val="000000"/>
          <w:sz w:val="22"/>
          <w:szCs w:val="22"/>
        </w:rPr>
        <w:t xml:space="preserve"> and 10 percent levels, respectively.</w:t>
      </w:r>
      <w:r w:rsidR="00443299">
        <w:rPr>
          <w:rFonts w:eastAsia="Times New Roman"/>
          <w:color w:val="000000"/>
          <w:sz w:val="22"/>
          <w:szCs w:val="22"/>
        </w:rPr>
        <w:t xml:space="preserve"> All specifications report </w:t>
      </w:r>
      <w:r w:rsidR="008424AB">
        <w:rPr>
          <w:rFonts w:eastAsia="Times New Roman"/>
          <w:color w:val="000000"/>
          <w:sz w:val="22"/>
          <w:szCs w:val="22"/>
        </w:rPr>
        <w:t>t-</w:t>
      </w:r>
      <w:r w:rsidR="00A125D0">
        <w:rPr>
          <w:rFonts w:eastAsia="Times New Roman"/>
          <w:color w:val="000000"/>
          <w:sz w:val="22"/>
          <w:szCs w:val="22"/>
        </w:rPr>
        <w:t xml:space="preserve">statistics based on </w:t>
      </w:r>
      <w:r w:rsidR="00443299">
        <w:rPr>
          <w:rFonts w:eastAsia="Times New Roman"/>
          <w:color w:val="000000"/>
          <w:sz w:val="22"/>
          <w:szCs w:val="22"/>
        </w:rPr>
        <w:t xml:space="preserve">standard errors clustered by </w:t>
      </w:r>
      <w:r w:rsidR="00E964A6">
        <w:rPr>
          <w:rFonts w:eastAsia="Times New Roman"/>
          <w:color w:val="000000"/>
          <w:sz w:val="22"/>
          <w:szCs w:val="22"/>
        </w:rPr>
        <w:t>firm</w:t>
      </w:r>
      <w:r w:rsidR="00443299">
        <w:rPr>
          <w:rFonts w:eastAsia="Times New Roman"/>
          <w:color w:val="000000"/>
          <w:sz w:val="22"/>
          <w:szCs w:val="22"/>
        </w:rPr>
        <w:t>.</w:t>
      </w:r>
    </w:p>
    <w:p w14:paraId="1FB2EE62" w14:textId="77777777" w:rsidR="00616696" w:rsidRDefault="00616696" w:rsidP="00D833FC">
      <w:pPr>
        <w:rPr>
          <w:sz w:val="22"/>
          <w:szCs w:val="22"/>
        </w:rPr>
      </w:pPr>
    </w:p>
    <w:p w14:paraId="1F53E606" w14:textId="77777777" w:rsidR="00330A3C" w:rsidRDefault="00330A3C" w:rsidP="00616696">
      <w:pPr>
        <w:rPr>
          <w:highlight w:val="yellow"/>
        </w:rPr>
      </w:pPr>
    </w:p>
    <w:p w14:paraId="70AC3D62" w14:textId="0F847B29" w:rsidR="00330A3C" w:rsidRPr="00330A3C" w:rsidRDefault="00330A3C" w:rsidP="00330A3C">
      <w:pPr>
        <w:outlineLvl w:val="0"/>
      </w:pPr>
      <w:r>
        <w:lastRenderedPageBreak/>
        <w:t xml:space="preserve">Table 3: Results of Estimating </w:t>
      </w:r>
      <w:r>
        <w:rPr>
          <w:i/>
        </w:rPr>
        <w:t xml:space="preserve">G </w:t>
      </w:r>
      <w:r>
        <w:t>(continued)</w:t>
      </w:r>
    </w:p>
    <w:p w14:paraId="2E6FF69A" w14:textId="2F272027" w:rsidR="00616696" w:rsidRDefault="00616696" w:rsidP="00616696">
      <w:r w:rsidRPr="00BE4667">
        <w:t xml:space="preserve">Panel B: </w:t>
      </w:r>
      <w:r w:rsidR="00466B83">
        <w:t>Summary</w:t>
      </w:r>
      <w:r w:rsidR="00BE4667" w:rsidRPr="00BE4667">
        <w:t xml:space="preserve"> Statistics</w:t>
      </w:r>
    </w:p>
    <w:p w14:paraId="102CA628" w14:textId="77777777" w:rsidR="00141CEF" w:rsidRDefault="00141CEF" w:rsidP="00D833FC"/>
    <w:tbl>
      <w:tblPr>
        <w:tblW w:w="8295" w:type="dxa"/>
        <w:jc w:val="center"/>
        <w:tblBorders>
          <w:top w:val="single" w:sz="4" w:space="0" w:color="auto"/>
          <w:bottom w:val="single" w:sz="4" w:space="0" w:color="auto"/>
        </w:tblBorders>
        <w:tblLook w:val="04A0" w:firstRow="1" w:lastRow="0" w:firstColumn="1" w:lastColumn="0" w:noHBand="0" w:noVBand="1"/>
      </w:tblPr>
      <w:tblGrid>
        <w:gridCol w:w="2288"/>
        <w:gridCol w:w="1099"/>
        <w:gridCol w:w="1232"/>
        <w:gridCol w:w="1173"/>
        <w:gridCol w:w="1268"/>
        <w:gridCol w:w="1235"/>
      </w:tblGrid>
      <w:tr w:rsidR="00330A3C" w:rsidRPr="009A57CB" w14:paraId="390C2822" w14:textId="77777777" w:rsidTr="00330A3C">
        <w:trPr>
          <w:trHeight w:val="593"/>
          <w:jc w:val="center"/>
        </w:trPr>
        <w:tc>
          <w:tcPr>
            <w:tcW w:w="2288" w:type="dxa"/>
            <w:shd w:val="clear" w:color="auto" w:fill="auto"/>
            <w:noWrap/>
            <w:vAlign w:val="bottom"/>
            <w:hideMark/>
          </w:tcPr>
          <w:p w14:paraId="1BEEFFDC" w14:textId="77777777" w:rsidR="00141CEF" w:rsidRPr="009A57CB" w:rsidRDefault="00141CEF" w:rsidP="00D338A6">
            <w:pPr>
              <w:rPr>
                <w:rFonts w:eastAsia="Times New Roman"/>
                <w:sz w:val="22"/>
                <w:szCs w:val="22"/>
              </w:rPr>
            </w:pPr>
          </w:p>
        </w:tc>
        <w:tc>
          <w:tcPr>
            <w:tcW w:w="1099" w:type="dxa"/>
            <w:shd w:val="clear" w:color="auto" w:fill="auto"/>
            <w:noWrap/>
            <w:vAlign w:val="bottom"/>
            <w:hideMark/>
          </w:tcPr>
          <w:p w14:paraId="3ADA5EA8" w14:textId="77777777" w:rsidR="00141CEF" w:rsidRPr="009A57CB" w:rsidRDefault="00141CEF" w:rsidP="00D338A6">
            <w:pPr>
              <w:jc w:val="right"/>
              <w:rPr>
                <w:rFonts w:eastAsia="Times New Roman"/>
                <w:b/>
                <w:sz w:val="22"/>
                <w:szCs w:val="22"/>
                <w:u w:val="single"/>
              </w:rPr>
            </w:pPr>
            <w:r w:rsidRPr="009A57CB">
              <w:rPr>
                <w:rFonts w:eastAsia="Times New Roman"/>
                <w:b/>
                <w:sz w:val="22"/>
                <w:szCs w:val="22"/>
                <w:u w:val="single"/>
              </w:rPr>
              <w:t>Mean</w:t>
            </w:r>
          </w:p>
        </w:tc>
        <w:tc>
          <w:tcPr>
            <w:tcW w:w="1232" w:type="dxa"/>
            <w:vAlign w:val="bottom"/>
          </w:tcPr>
          <w:p w14:paraId="666E34A9" w14:textId="77777777" w:rsidR="00141CEF" w:rsidRPr="009A57CB" w:rsidRDefault="00141CEF" w:rsidP="00D338A6">
            <w:pPr>
              <w:jc w:val="right"/>
              <w:rPr>
                <w:rFonts w:eastAsia="Times New Roman"/>
                <w:b/>
                <w:sz w:val="22"/>
                <w:szCs w:val="22"/>
                <w:u w:val="single"/>
              </w:rPr>
            </w:pPr>
            <w:proofErr w:type="spellStart"/>
            <w:r w:rsidRPr="009A57CB">
              <w:rPr>
                <w:rFonts w:eastAsia="Times New Roman"/>
                <w:b/>
                <w:sz w:val="22"/>
                <w:szCs w:val="22"/>
                <w:u w:val="single"/>
              </w:rPr>
              <w:t>Std</w:t>
            </w:r>
            <w:proofErr w:type="spellEnd"/>
            <w:r w:rsidRPr="009A57CB">
              <w:rPr>
                <w:rFonts w:eastAsia="Times New Roman"/>
                <w:b/>
                <w:sz w:val="22"/>
                <w:szCs w:val="22"/>
                <w:u w:val="single"/>
              </w:rPr>
              <w:t xml:space="preserve"> Dev</w:t>
            </w:r>
          </w:p>
        </w:tc>
        <w:tc>
          <w:tcPr>
            <w:tcW w:w="1173" w:type="dxa"/>
            <w:shd w:val="clear" w:color="auto" w:fill="auto"/>
            <w:noWrap/>
            <w:vAlign w:val="bottom"/>
            <w:hideMark/>
          </w:tcPr>
          <w:p w14:paraId="2CE72B3C" w14:textId="77777777" w:rsidR="00141CEF" w:rsidRPr="009A57CB" w:rsidRDefault="00141CEF" w:rsidP="00D338A6">
            <w:pPr>
              <w:jc w:val="right"/>
              <w:rPr>
                <w:rFonts w:eastAsia="Times New Roman"/>
                <w:b/>
                <w:sz w:val="22"/>
                <w:szCs w:val="22"/>
                <w:u w:val="single"/>
              </w:rPr>
            </w:pPr>
            <w:r w:rsidRPr="009A57CB">
              <w:rPr>
                <w:rFonts w:eastAsia="Times New Roman"/>
                <w:b/>
                <w:sz w:val="22"/>
                <w:szCs w:val="22"/>
                <w:u w:val="single"/>
              </w:rPr>
              <w:t>p25</w:t>
            </w:r>
          </w:p>
        </w:tc>
        <w:tc>
          <w:tcPr>
            <w:tcW w:w="1268" w:type="dxa"/>
            <w:shd w:val="clear" w:color="auto" w:fill="auto"/>
            <w:noWrap/>
            <w:vAlign w:val="bottom"/>
            <w:hideMark/>
          </w:tcPr>
          <w:p w14:paraId="3B726F98" w14:textId="77777777" w:rsidR="00141CEF" w:rsidRPr="009A57CB" w:rsidRDefault="00141CEF" w:rsidP="00D338A6">
            <w:pPr>
              <w:jc w:val="right"/>
              <w:rPr>
                <w:rFonts w:eastAsia="Times New Roman"/>
                <w:b/>
                <w:sz w:val="22"/>
                <w:szCs w:val="22"/>
                <w:u w:val="single"/>
              </w:rPr>
            </w:pPr>
            <w:r w:rsidRPr="009A57CB">
              <w:rPr>
                <w:rFonts w:eastAsia="Times New Roman"/>
                <w:b/>
                <w:sz w:val="22"/>
                <w:szCs w:val="22"/>
                <w:u w:val="single"/>
              </w:rPr>
              <w:t>Median</w:t>
            </w:r>
          </w:p>
        </w:tc>
        <w:tc>
          <w:tcPr>
            <w:tcW w:w="1235" w:type="dxa"/>
            <w:shd w:val="clear" w:color="auto" w:fill="auto"/>
            <w:noWrap/>
            <w:vAlign w:val="bottom"/>
            <w:hideMark/>
          </w:tcPr>
          <w:p w14:paraId="302FE90B" w14:textId="77777777" w:rsidR="00141CEF" w:rsidRPr="009A57CB" w:rsidRDefault="00141CEF" w:rsidP="00D338A6">
            <w:pPr>
              <w:jc w:val="right"/>
              <w:rPr>
                <w:rFonts w:eastAsia="Times New Roman"/>
                <w:b/>
                <w:sz w:val="22"/>
                <w:szCs w:val="22"/>
                <w:u w:val="single"/>
              </w:rPr>
            </w:pPr>
            <w:r w:rsidRPr="009A57CB">
              <w:rPr>
                <w:rFonts w:eastAsia="Times New Roman"/>
                <w:b/>
                <w:sz w:val="22"/>
                <w:szCs w:val="22"/>
                <w:u w:val="single"/>
              </w:rPr>
              <w:t>p75</w:t>
            </w:r>
          </w:p>
        </w:tc>
      </w:tr>
      <w:tr w:rsidR="00330A3C" w:rsidRPr="009A57CB" w14:paraId="5EFEF593" w14:textId="77777777" w:rsidTr="00330A3C">
        <w:trPr>
          <w:trHeight w:val="342"/>
          <w:jc w:val="center"/>
        </w:trPr>
        <w:tc>
          <w:tcPr>
            <w:tcW w:w="2288" w:type="dxa"/>
            <w:shd w:val="clear" w:color="auto" w:fill="auto"/>
            <w:noWrap/>
            <w:vAlign w:val="bottom"/>
          </w:tcPr>
          <w:p w14:paraId="226C71BA" w14:textId="687590E2" w:rsidR="00084C02" w:rsidRPr="009A57CB" w:rsidRDefault="00084C02" w:rsidP="00964411">
            <w:pPr>
              <w:rPr>
                <w:rFonts w:eastAsia="Times New Roman"/>
                <w:i/>
                <w:sz w:val="22"/>
                <w:szCs w:val="22"/>
              </w:rPr>
            </w:pPr>
            <w:r w:rsidRPr="009A57CB">
              <w:rPr>
                <w:rFonts w:eastAsia="Times New Roman"/>
                <w:i/>
                <w:sz w:val="22"/>
                <w:szCs w:val="22"/>
              </w:rPr>
              <w:t>G</w:t>
            </w:r>
          </w:p>
        </w:tc>
        <w:tc>
          <w:tcPr>
            <w:tcW w:w="1099" w:type="dxa"/>
            <w:shd w:val="clear" w:color="auto" w:fill="auto"/>
            <w:noWrap/>
            <w:vAlign w:val="bottom"/>
          </w:tcPr>
          <w:p w14:paraId="3553AA16" w14:textId="32F8FC45" w:rsidR="00084C02" w:rsidRPr="009A57CB" w:rsidRDefault="00084C02">
            <w:pPr>
              <w:jc w:val="right"/>
              <w:rPr>
                <w:rFonts w:eastAsia="Times New Roman"/>
                <w:sz w:val="22"/>
                <w:szCs w:val="22"/>
              </w:rPr>
            </w:pPr>
            <w:r w:rsidRPr="009A57CB">
              <w:rPr>
                <w:rFonts w:eastAsia="Times New Roman"/>
                <w:color w:val="000000"/>
                <w:sz w:val="22"/>
                <w:szCs w:val="22"/>
              </w:rPr>
              <w:t>0.</w:t>
            </w:r>
            <w:r w:rsidR="00A176C9">
              <w:rPr>
                <w:rFonts w:eastAsia="Times New Roman"/>
                <w:color w:val="000000"/>
                <w:sz w:val="22"/>
                <w:szCs w:val="22"/>
              </w:rPr>
              <w:t>240</w:t>
            </w:r>
          </w:p>
        </w:tc>
        <w:tc>
          <w:tcPr>
            <w:tcW w:w="1232" w:type="dxa"/>
            <w:vAlign w:val="bottom"/>
          </w:tcPr>
          <w:p w14:paraId="65B0ECB3" w14:textId="14F2C0BB" w:rsidR="00084C02" w:rsidRPr="009A57CB" w:rsidRDefault="00A176C9" w:rsidP="00D338A6">
            <w:pPr>
              <w:jc w:val="right"/>
              <w:rPr>
                <w:rFonts w:eastAsia="Times New Roman"/>
                <w:sz w:val="22"/>
                <w:szCs w:val="22"/>
              </w:rPr>
            </w:pPr>
            <w:r>
              <w:rPr>
                <w:rFonts w:eastAsia="Times New Roman"/>
                <w:color w:val="000000"/>
                <w:sz w:val="22"/>
                <w:szCs w:val="22"/>
              </w:rPr>
              <w:t>4.763</w:t>
            </w:r>
          </w:p>
        </w:tc>
        <w:tc>
          <w:tcPr>
            <w:tcW w:w="1173" w:type="dxa"/>
            <w:shd w:val="clear" w:color="auto" w:fill="auto"/>
            <w:noWrap/>
            <w:vAlign w:val="bottom"/>
          </w:tcPr>
          <w:p w14:paraId="4F757FA5" w14:textId="1DEC267A" w:rsidR="00084C02" w:rsidRPr="009A57CB" w:rsidRDefault="00A176C9" w:rsidP="00727C18">
            <w:pPr>
              <w:jc w:val="right"/>
              <w:rPr>
                <w:rFonts w:eastAsia="Times New Roman"/>
                <w:sz w:val="22"/>
                <w:szCs w:val="22"/>
              </w:rPr>
            </w:pPr>
            <w:r>
              <w:rPr>
                <w:rFonts w:eastAsia="Times New Roman"/>
                <w:color w:val="000000"/>
                <w:sz w:val="22"/>
                <w:szCs w:val="22"/>
              </w:rPr>
              <w:t>-0.328</w:t>
            </w:r>
          </w:p>
        </w:tc>
        <w:tc>
          <w:tcPr>
            <w:tcW w:w="1268" w:type="dxa"/>
            <w:shd w:val="clear" w:color="auto" w:fill="auto"/>
            <w:noWrap/>
            <w:vAlign w:val="bottom"/>
          </w:tcPr>
          <w:p w14:paraId="69AEB701" w14:textId="078CC800" w:rsidR="00084C02" w:rsidRPr="009A57CB" w:rsidRDefault="00A176C9" w:rsidP="00D338A6">
            <w:pPr>
              <w:jc w:val="right"/>
              <w:rPr>
                <w:rFonts w:eastAsia="Times New Roman"/>
                <w:sz w:val="22"/>
                <w:szCs w:val="22"/>
              </w:rPr>
            </w:pPr>
            <w:r>
              <w:rPr>
                <w:rFonts w:eastAsia="Times New Roman"/>
                <w:color w:val="000000"/>
                <w:sz w:val="22"/>
                <w:szCs w:val="22"/>
              </w:rPr>
              <w:t>0.077</w:t>
            </w:r>
          </w:p>
        </w:tc>
        <w:tc>
          <w:tcPr>
            <w:tcW w:w="1235" w:type="dxa"/>
            <w:shd w:val="clear" w:color="auto" w:fill="auto"/>
            <w:noWrap/>
            <w:vAlign w:val="bottom"/>
          </w:tcPr>
          <w:p w14:paraId="6EAF87F0" w14:textId="68F4ACAB" w:rsidR="00084C02" w:rsidRPr="009A57CB" w:rsidRDefault="00A176C9" w:rsidP="00727C18">
            <w:pPr>
              <w:jc w:val="right"/>
              <w:rPr>
                <w:rFonts w:eastAsia="Times New Roman"/>
                <w:sz w:val="22"/>
                <w:szCs w:val="22"/>
              </w:rPr>
            </w:pPr>
            <w:r>
              <w:rPr>
                <w:rFonts w:eastAsia="Times New Roman"/>
                <w:color w:val="000000"/>
                <w:sz w:val="22"/>
                <w:szCs w:val="22"/>
              </w:rPr>
              <w:t>0.523</w:t>
            </w:r>
          </w:p>
        </w:tc>
      </w:tr>
      <w:tr w:rsidR="00330A3C" w:rsidRPr="009A57CB" w14:paraId="7661687E" w14:textId="77777777" w:rsidTr="00330A3C">
        <w:trPr>
          <w:trHeight w:val="342"/>
          <w:jc w:val="center"/>
        </w:trPr>
        <w:tc>
          <w:tcPr>
            <w:tcW w:w="2288" w:type="dxa"/>
            <w:shd w:val="clear" w:color="auto" w:fill="auto"/>
            <w:noWrap/>
            <w:vAlign w:val="bottom"/>
          </w:tcPr>
          <w:p w14:paraId="761FFE1D" w14:textId="2D95F85C" w:rsidR="00084C02" w:rsidRPr="009A57CB" w:rsidRDefault="00084C02" w:rsidP="00330A3C">
            <w:pPr>
              <w:ind w:right="-147"/>
              <w:rPr>
                <w:rFonts w:eastAsia="Times New Roman"/>
                <w:i/>
                <w:sz w:val="22"/>
                <w:szCs w:val="22"/>
              </w:rPr>
            </w:pPr>
            <w:proofErr w:type="spellStart"/>
            <w:r w:rsidRPr="009A57CB">
              <w:rPr>
                <w:rFonts w:eastAsia="Times New Roman"/>
                <w:i/>
                <w:sz w:val="22"/>
                <w:szCs w:val="22"/>
              </w:rPr>
              <w:t>NumberAffiliate</w:t>
            </w:r>
            <w:proofErr w:type="spellEnd"/>
            <w:r w:rsidRPr="009A57CB">
              <w:rPr>
                <w:rFonts w:eastAsia="Times New Roman"/>
                <w:i/>
                <w:sz w:val="22"/>
                <w:szCs w:val="22"/>
              </w:rPr>
              <w:t>-Years</w:t>
            </w:r>
          </w:p>
        </w:tc>
        <w:tc>
          <w:tcPr>
            <w:tcW w:w="1099" w:type="dxa"/>
            <w:shd w:val="clear" w:color="auto" w:fill="auto"/>
            <w:noWrap/>
            <w:vAlign w:val="bottom"/>
          </w:tcPr>
          <w:p w14:paraId="44648616" w14:textId="0D9107B9" w:rsidR="00084C02" w:rsidRPr="009A57CB" w:rsidRDefault="00A176C9" w:rsidP="00D338A6">
            <w:pPr>
              <w:jc w:val="right"/>
              <w:rPr>
                <w:rFonts w:eastAsia="Times New Roman"/>
                <w:sz w:val="22"/>
                <w:szCs w:val="22"/>
              </w:rPr>
            </w:pPr>
            <w:r>
              <w:rPr>
                <w:rFonts w:eastAsia="Times New Roman"/>
                <w:color w:val="000000"/>
                <w:sz w:val="22"/>
                <w:szCs w:val="22"/>
              </w:rPr>
              <w:t>57.43</w:t>
            </w:r>
          </w:p>
        </w:tc>
        <w:tc>
          <w:tcPr>
            <w:tcW w:w="1232" w:type="dxa"/>
            <w:vAlign w:val="bottom"/>
          </w:tcPr>
          <w:p w14:paraId="5F78D507" w14:textId="0FE1F164" w:rsidR="00084C02" w:rsidRPr="009A57CB" w:rsidRDefault="00A176C9" w:rsidP="00D338A6">
            <w:pPr>
              <w:jc w:val="right"/>
              <w:rPr>
                <w:rFonts w:eastAsia="Times New Roman"/>
                <w:sz w:val="22"/>
                <w:szCs w:val="22"/>
              </w:rPr>
            </w:pPr>
            <w:r>
              <w:rPr>
                <w:rFonts w:eastAsia="Times New Roman"/>
                <w:color w:val="000000"/>
                <w:sz w:val="22"/>
                <w:szCs w:val="22"/>
              </w:rPr>
              <w:t>95.42</w:t>
            </w:r>
          </w:p>
        </w:tc>
        <w:tc>
          <w:tcPr>
            <w:tcW w:w="1173" w:type="dxa"/>
            <w:shd w:val="clear" w:color="auto" w:fill="auto"/>
            <w:noWrap/>
            <w:vAlign w:val="bottom"/>
          </w:tcPr>
          <w:p w14:paraId="399161FB" w14:textId="3742D3F8" w:rsidR="00084C02" w:rsidRPr="009A57CB" w:rsidRDefault="00084C02" w:rsidP="00D338A6">
            <w:pPr>
              <w:jc w:val="right"/>
              <w:rPr>
                <w:rFonts w:eastAsia="Times New Roman"/>
                <w:sz w:val="22"/>
                <w:szCs w:val="22"/>
              </w:rPr>
            </w:pPr>
            <w:r w:rsidRPr="009A57CB">
              <w:rPr>
                <w:rFonts w:eastAsia="Times New Roman"/>
                <w:color w:val="000000"/>
                <w:sz w:val="22"/>
                <w:szCs w:val="22"/>
              </w:rPr>
              <w:t>15.00</w:t>
            </w:r>
          </w:p>
        </w:tc>
        <w:tc>
          <w:tcPr>
            <w:tcW w:w="1268" w:type="dxa"/>
            <w:shd w:val="clear" w:color="auto" w:fill="auto"/>
            <w:noWrap/>
            <w:vAlign w:val="bottom"/>
          </w:tcPr>
          <w:p w14:paraId="1968BE5E" w14:textId="0E460D6C" w:rsidR="00084C02" w:rsidRPr="009A57CB" w:rsidRDefault="00084C02" w:rsidP="00D338A6">
            <w:pPr>
              <w:jc w:val="right"/>
              <w:rPr>
                <w:rFonts w:eastAsia="Times New Roman"/>
                <w:sz w:val="22"/>
                <w:szCs w:val="22"/>
              </w:rPr>
            </w:pPr>
            <w:r w:rsidRPr="009A57CB">
              <w:rPr>
                <w:rFonts w:eastAsia="Times New Roman"/>
                <w:color w:val="000000"/>
                <w:sz w:val="22"/>
                <w:szCs w:val="22"/>
              </w:rPr>
              <w:t>28.00</w:t>
            </w:r>
          </w:p>
        </w:tc>
        <w:tc>
          <w:tcPr>
            <w:tcW w:w="1235" w:type="dxa"/>
            <w:shd w:val="clear" w:color="auto" w:fill="auto"/>
            <w:noWrap/>
            <w:vAlign w:val="bottom"/>
          </w:tcPr>
          <w:p w14:paraId="625BCA01" w14:textId="6018AC47" w:rsidR="00084C02" w:rsidRPr="009A57CB" w:rsidRDefault="00084C02" w:rsidP="00D338A6">
            <w:pPr>
              <w:jc w:val="right"/>
              <w:rPr>
                <w:rFonts w:eastAsia="Times New Roman"/>
                <w:sz w:val="22"/>
                <w:szCs w:val="22"/>
              </w:rPr>
            </w:pPr>
            <w:r w:rsidRPr="009A57CB">
              <w:rPr>
                <w:rFonts w:eastAsia="Times New Roman"/>
                <w:color w:val="000000"/>
                <w:sz w:val="22"/>
                <w:szCs w:val="22"/>
              </w:rPr>
              <w:t>59.00</w:t>
            </w:r>
          </w:p>
        </w:tc>
      </w:tr>
    </w:tbl>
    <w:p w14:paraId="650EECFE" w14:textId="77777777" w:rsidR="00466B83" w:rsidRDefault="00466B83" w:rsidP="00D833FC">
      <w:pPr>
        <w:rPr>
          <w:sz w:val="22"/>
          <w:szCs w:val="22"/>
        </w:rPr>
      </w:pPr>
    </w:p>
    <w:p w14:paraId="6DE38283" w14:textId="0644D13C" w:rsidR="00D40129" w:rsidRPr="00D40129" w:rsidRDefault="00466B83" w:rsidP="00D40129">
      <w:pPr>
        <w:jc w:val="both"/>
        <w:rPr>
          <w:sz w:val="22"/>
          <w:szCs w:val="22"/>
        </w:rPr>
      </w:pPr>
      <w:r>
        <w:rPr>
          <w:sz w:val="22"/>
          <w:szCs w:val="22"/>
        </w:rPr>
        <w:t xml:space="preserve">Table 3 presents results of estimating equation (1) to measure the firm-specific sensitivity to tax incentives </w:t>
      </w:r>
      <w:r>
        <w:rPr>
          <w:i/>
          <w:iCs/>
          <w:sz w:val="22"/>
          <w:szCs w:val="22"/>
        </w:rPr>
        <w:t>G</w:t>
      </w:r>
      <w:r>
        <w:rPr>
          <w:sz w:val="22"/>
          <w:szCs w:val="22"/>
        </w:rPr>
        <w:t>. Panel B presents descriptive statistics for the 2,2</w:t>
      </w:r>
      <w:r w:rsidR="008A7855">
        <w:rPr>
          <w:sz w:val="22"/>
          <w:szCs w:val="22"/>
        </w:rPr>
        <w:t>43</w:t>
      </w:r>
      <w:r>
        <w:rPr>
          <w:sz w:val="22"/>
          <w:szCs w:val="22"/>
        </w:rPr>
        <w:t xml:space="preserve"> unique firms for which we estimate a firm-specific sensitivity to tax incentives </w:t>
      </w:r>
      <w:r>
        <w:rPr>
          <w:i/>
          <w:sz w:val="22"/>
          <w:szCs w:val="22"/>
        </w:rPr>
        <w:t xml:space="preserve">G. </w:t>
      </w:r>
      <w:proofErr w:type="spellStart"/>
      <w:r>
        <w:rPr>
          <w:i/>
          <w:sz w:val="22"/>
          <w:szCs w:val="22"/>
        </w:rPr>
        <w:t>NumberAff</w:t>
      </w:r>
      <w:r w:rsidRPr="00256087">
        <w:rPr>
          <w:i/>
          <w:sz w:val="22"/>
          <w:szCs w:val="22"/>
        </w:rPr>
        <w:t>iliate</w:t>
      </w:r>
      <w:proofErr w:type="spellEnd"/>
      <w:r w:rsidRPr="00256087">
        <w:rPr>
          <w:i/>
          <w:sz w:val="22"/>
          <w:szCs w:val="22"/>
        </w:rPr>
        <w:t xml:space="preserve">-Years </w:t>
      </w:r>
      <w:r w:rsidRPr="00256087">
        <w:rPr>
          <w:sz w:val="22"/>
          <w:szCs w:val="22"/>
        </w:rPr>
        <w:t xml:space="preserve">is the number of </w:t>
      </w:r>
      <w:r w:rsidR="00256087" w:rsidRPr="00256087">
        <w:rPr>
          <w:sz w:val="22"/>
          <w:szCs w:val="22"/>
        </w:rPr>
        <w:t xml:space="preserve">a controlled </w:t>
      </w:r>
      <w:r w:rsidR="00E964A6">
        <w:rPr>
          <w:sz w:val="22"/>
          <w:szCs w:val="22"/>
        </w:rPr>
        <w:t>firm</w:t>
      </w:r>
      <w:r w:rsidR="00256087" w:rsidRPr="00256087">
        <w:rPr>
          <w:sz w:val="22"/>
          <w:szCs w:val="22"/>
        </w:rPr>
        <w:t xml:space="preserve">’s </w:t>
      </w:r>
      <w:r w:rsidRPr="00256087">
        <w:rPr>
          <w:sz w:val="22"/>
          <w:szCs w:val="22"/>
        </w:rPr>
        <w:t xml:space="preserve">affiliate-years included in estimation </w:t>
      </w:r>
      <w:r w:rsidR="00256087" w:rsidRPr="00256087">
        <w:rPr>
          <w:sz w:val="22"/>
          <w:szCs w:val="22"/>
        </w:rPr>
        <w:t xml:space="preserve">of equation </w:t>
      </w:r>
      <w:r w:rsidR="00256087" w:rsidRPr="00D40129">
        <w:rPr>
          <w:sz w:val="22"/>
          <w:szCs w:val="22"/>
        </w:rPr>
        <w:t xml:space="preserve">(1). </w:t>
      </w:r>
      <w:r w:rsidR="00D40129" w:rsidRPr="00D40129">
        <w:rPr>
          <w:i/>
          <w:sz w:val="22"/>
          <w:szCs w:val="22"/>
        </w:rPr>
        <w:t>G</w:t>
      </w:r>
      <w:r w:rsidR="00D40129" w:rsidRPr="00D40129">
        <w:rPr>
          <w:sz w:val="22"/>
          <w:szCs w:val="22"/>
        </w:rPr>
        <w:t xml:space="preserve"> is a firm-specific measure of sensitivity to tax rates calculated as </w:t>
      </w:r>
      <w:r w:rsidR="00D40129">
        <w:rPr>
          <w:sz w:val="22"/>
          <w:szCs w:val="22"/>
        </w:rPr>
        <w:t xml:space="preserve">negative one multiplied by </w:t>
      </w:r>
      <w:r w:rsidR="00D40129" w:rsidRPr="00D40129">
        <w:rPr>
          <w:sz w:val="22"/>
          <w:szCs w:val="22"/>
        </w:rPr>
        <w:t xml:space="preserve">the sum of </w:t>
      </w:r>
      <w:r w:rsidR="00D40129">
        <w:rPr>
          <w:sz w:val="22"/>
          <w:szCs w:val="22"/>
        </w:rPr>
        <w:t>estimated</w:t>
      </w:r>
      <w:r w:rsidR="00D40129" w:rsidRPr="00D40129">
        <w:rPr>
          <w:i/>
          <w:sz w:val="22"/>
          <w:szCs w:val="22"/>
        </w:rPr>
        <w:t xml:space="preserve"> β</w:t>
      </w:r>
      <w:r w:rsidR="00D40129" w:rsidRPr="00D40129">
        <w:rPr>
          <w:i/>
          <w:sz w:val="22"/>
          <w:szCs w:val="22"/>
          <w:vertAlign w:val="subscript"/>
        </w:rPr>
        <w:t>7</w:t>
      </w:r>
      <w:r w:rsidR="00D40129" w:rsidRPr="00D40129">
        <w:rPr>
          <w:sz w:val="22"/>
          <w:szCs w:val="22"/>
        </w:rPr>
        <w:t xml:space="preserve"> and</w:t>
      </w:r>
      <w:r w:rsidR="00D40129" w:rsidRPr="00D40129">
        <w:rPr>
          <w:i/>
          <w:sz w:val="22"/>
          <w:szCs w:val="22"/>
        </w:rPr>
        <w:t xml:space="preserve"> β</w:t>
      </w:r>
      <w:r w:rsidR="00D40129" w:rsidRPr="00D40129">
        <w:rPr>
          <w:i/>
          <w:sz w:val="22"/>
          <w:szCs w:val="22"/>
          <w:vertAlign w:val="subscript"/>
        </w:rPr>
        <w:t>11</w:t>
      </w:r>
      <w:r w:rsidR="00D40129" w:rsidRPr="00D40129">
        <w:rPr>
          <w:sz w:val="22"/>
          <w:szCs w:val="22"/>
        </w:rPr>
        <w:t xml:space="preserve"> from estimating the following regression using affiliate-level data: </w:t>
      </w:r>
    </w:p>
    <w:p w14:paraId="18C5D5CD" w14:textId="77777777" w:rsidR="00632ACC" w:rsidRPr="00D40129" w:rsidRDefault="00632ACC" w:rsidP="00632ACC">
      <w:pPr>
        <w:jc w:val="both"/>
        <w:rPr>
          <w:i/>
          <w:sz w:val="22"/>
          <w:szCs w:val="22"/>
        </w:rPr>
      </w:pPr>
      <w:proofErr w:type="gramStart"/>
      <w:r w:rsidRPr="00D40129">
        <w:rPr>
          <w:sz w:val="22"/>
          <w:szCs w:val="22"/>
        </w:rPr>
        <w:t>ln(</w:t>
      </w:r>
      <w:proofErr w:type="gramEnd"/>
      <w:r w:rsidRPr="00D40129">
        <w:rPr>
          <w:i/>
          <w:sz w:val="22"/>
          <w:szCs w:val="22"/>
        </w:rPr>
        <w:sym w:font="Symbol" w:char="F070"/>
      </w:r>
      <w:proofErr w:type="spellStart"/>
      <w:r w:rsidRPr="00D40129">
        <w:rPr>
          <w:i/>
          <w:sz w:val="22"/>
          <w:szCs w:val="22"/>
          <w:vertAlign w:val="subscript"/>
        </w:rPr>
        <w:t>i</w:t>
      </w:r>
      <w:proofErr w:type="spellEnd"/>
      <w:r w:rsidRPr="00D40129">
        <w:rPr>
          <w:sz w:val="22"/>
          <w:szCs w:val="22"/>
        </w:rPr>
        <w:t xml:space="preserve"> + 1) = </w:t>
      </w:r>
      <w:r w:rsidRPr="00D40129">
        <w:rPr>
          <w:i/>
          <w:sz w:val="22"/>
          <w:szCs w:val="22"/>
        </w:rPr>
        <w:t>β</w:t>
      </w:r>
      <w:r w:rsidRPr="00D40129">
        <w:rPr>
          <w:i/>
          <w:sz w:val="22"/>
          <w:szCs w:val="22"/>
          <w:vertAlign w:val="subscript"/>
        </w:rPr>
        <w:t>0</w:t>
      </w:r>
      <w:r w:rsidRPr="00D40129">
        <w:rPr>
          <w:sz w:val="22"/>
          <w:szCs w:val="22"/>
        </w:rPr>
        <w:t xml:space="preserve"> + </w:t>
      </w:r>
      <w:r w:rsidRPr="00D40129">
        <w:rPr>
          <w:i/>
          <w:sz w:val="22"/>
          <w:szCs w:val="22"/>
        </w:rPr>
        <w:t>β</w:t>
      </w:r>
      <w:r w:rsidRPr="00D40129">
        <w:rPr>
          <w:i/>
          <w:sz w:val="22"/>
          <w:szCs w:val="22"/>
          <w:vertAlign w:val="subscript"/>
        </w:rPr>
        <w:t>1</w:t>
      </w:r>
      <w:r w:rsidRPr="00D40129">
        <w:rPr>
          <w:i/>
          <w:sz w:val="22"/>
          <w:szCs w:val="22"/>
        </w:rPr>
        <w:t>*</w:t>
      </w:r>
      <w:r w:rsidRPr="00D40129">
        <w:rPr>
          <w:sz w:val="22"/>
          <w:szCs w:val="22"/>
        </w:rPr>
        <w:t>ln(</w:t>
      </w:r>
      <w:proofErr w:type="spellStart"/>
      <w:r w:rsidRPr="00D40129">
        <w:rPr>
          <w:i/>
          <w:sz w:val="22"/>
          <w:szCs w:val="22"/>
        </w:rPr>
        <w:t>TangibleAssets</w:t>
      </w:r>
      <w:r w:rsidRPr="00D40129">
        <w:rPr>
          <w:i/>
          <w:sz w:val="22"/>
          <w:szCs w:val="22"/>
          <w:vertAlign w:val="subscript"/>
        </w:rPr>
        <w:t>it</w:t>
      </w:r>
      <w:proofErr w:type="spellEnd"/>
      <w:r w:rsidRPr="00D40129">
        <w:rPr>
          <w:sz w:val="22"/>
          <w:szCs w:val="22"/>
        </w:rPr>
        <w:t xml:space="preserve">) + </w:t>
      </w:r>
      <w:r w:rsidRPr="00D40129">
        <w:rPr>
          <w:i/>
          <w:sz w:val="22"/>
          <w:szCs w:val="22"/>
        </w:rPr>
        <w:t>β</w:t>
      </w:r>
      <w:r w:rsidRPr="00D40129">
        <w:rPr>
          <w:i/>
          <w:sz w:val="22"/>
          <w:szCs w:val="22"/>
          <w:vertAlign w:val="subscript"/>
        </w:rPr>
        <w:t>2</w:t>
      </w:r>
      <w:r w:rsidRPr="00D40129">
        <w:rPr>
          <w:i/>
          <w:sz w:val="22"/>
          <w:szCs w:val="22"/>
        </w:rPr>
        <w:t>*</w:t>
      </w:r>
      <w:r w:rsidRPr="00D40129">
        <w:rPr>
          <w:sz w:val="22"/>
          <w:szCs w:val="22"/>
        </w:rPr>
        <w:t>ln(</w:t>
      </w:r>
      <w:proofErr w:type="spellStart"/>
      <w:r w:rsidRPr="00D40129">
        <w:rPr>
          <w:i/>
          <w:sz w:val="22"/>
          <w:szCs w:val="22"/>
        </w:rPr>
        <w:t>CompExp</w:t>
      </w:r>
      <w:r w:rsidRPr="00D40129">
        <w:rPr>
          <w:i/>
          <w:sz w:val="22"/>
          <w:szCs w:val="22"/>
          <w:vertAlign w:val="subscript"/>
        </w:rPr>
        <w:t>it</w:t>
      </w:r>
      <w:proofErr w:type="spellEnd"/>
      <w:r w:rsidRPr="00D40129">
        <w:rPr>
          <w:sz w:val="22"/>
          <w:szCs w:val="22"/>
        </w:rPr>
        <w:t xml:space="preserve">) + </w:t>
      </w:r>
      <w:r w:rsidRPr="00D40129">
        <w:rPr>
          <w:i/>
          <w:sz w:val="22"/>
          <w:szCs w:val="22"/>
        </w:rPr>
        <w:t>β</w:t>
      </w:r>
      <w:r w:rsidRPr="00D40129">
        <w:rPr>
          <w:i/>
          <w:sz w:val="22"/>
          <w:szCs w:val="22"/>
          <w:vertAlign w:val="subscript"/>
        </w:rPr>
        <w:t>3</w:t>
      </w:r>
      <w:r w:rsidRPr="00D40129">
        <w:rPr>
          <w:i/>
          <w:sz w:val="22"/>
          <w:szCs w:val="22"/>
        </w:rPr>
        <w:t>*</w:t>
      </w:r>
      <w:proofErr w:type="spellStart"/>
      <w:r w:rsidRPr="00D40129">
        <w:rPr>
          <w:i/>
          <w:sz w:val="22"/>
          <w:szCs w:val="22"/>
        </w:rPr>
        <w:t>IndustryROA</w:t>
      </w:r>
      <w:r w:rsidRPr="00D40129">
        <w:rPr>
          <w:i/>
          <w:sz w:val="22"/>
          <w:szCs w:val="22"/>
          <w:vertAlign w:val="subscript"/>
        </w:rPr>
        <w:t>t</w:t>
      </w:r>
      <w:proofErr w:type="spellEnd"/>
      <w:r w:rsidRPr="00D40129">
        <w:rPr>
          <w:sz w:val="22"/>
          <w:szCs w:val="22"/>
        </w:rPr>
        <w:t xml:space="preserve"> </w:t>
      </w:r>
      <w:r w:rsidRPr="00D40129">
        <w:rPr>
          <w:i/>
          <w:sz w:val="22"/>
          <w:szCs w:val="22"/>
        </w:rPr>
        <w:t>+ β</w:t>
      </w:r>
      <w:r w:rsidRPr="00D40129">
        <w:rPr>
          <w:i/>
          <w:sz w:val="22"/>
          <w:szCs w:val="22"/>
          <w:vertAlign w:val="subscript"/>
        </w:rPr>
        <w:t>4</w:t>
      </w:r>
      <w:r w:rsidRPr="00D40129">
        <w:rPr>
          <w:i/>
          <w:sz w:val="22"/>
          <w:szCs w:val="22"/>
        </w:rPr>
        <w:t>*</w:t>
      </w:r>
      <w:proofErr w:type="spellStart"/>
      <w:r w:rsidRPr="00D40129">
        <w:rPr>
          <w:i/>
          <w:sz w:val="22"/>
          <w:szCs w:val="22"/>
        </w:rPr>
        <w:t>Age</w:t>
      </w:r>
      <w:r w:rsidRPr="00D40129">
        <w:rPr>
          <w:i/>
          <w:sz w:val="22"/>
          <w:szCs w:val="22"/>
          <w:vertAlign w:val="subscript"/>
        </w:rPr>
        <w:t>it</w:t>
      </w:r>
      <w:proofErr w:type="spellEnd"/>
      <w:r w:rsidRPr="00D40129">
        <w:rPr>
          <w:i/>
          <w:sz w:val="22"/>
          <w:szCs w:val="22"/>
        </w:rPr>
        <w:t xml:space="preserve"> + β</w:t>
      </w:r>
      <w:r w:rsidRPr="00D40129">
        <w:rPr>
          <w:i/>
          <w:sz w:val="22"/>
          <w:szCs w:val="22"/>
          <w:vertAlign w:val="subscript"/>
        </w:rPr>
        <w:t>5</w:t>
      </w:r>
      <w:r w:rsidRPr="00D40129">
        <w:rPr>
          <w:i/>
          <w:sz w:val="22"/>
          <w:szCs w:val="22"/>
        </w:rPr>
        <w:t>*∆</w:t>
      </w:r>
      <w:proofErr w:type="spellStart"/>
      <w:r w:rsidRPr="00D40129">
        <w:rPr>
          <w:i/>
          <w:sz w:val="22"/>
          <w:szCs w:val="22"/>
        </w:rPr>
        <w:t>GDP</w:t>
      </w:r>
      <w:r w:rsidRPr="00D40129">
        <w:rPr>
          <w:i/>
          <w:sz w:val="22"/>
          <w:szCs w:val="22"/>
          <w:vertAlign w:val="subscript"/>
        </w:rPr>
        <w:t>t</w:t>
      </w:r>
      <w:proofErr w:type="spellEnd"/>
      <w:r w:rsidRPr="00D40129">
        <w:rPr>
          <w:i/>
          <w:sz w:val="22"/>
          <w:szCs w:val="22"/>
        </w:rPr>
        <w:t xml:space="preserve"> </w:t>
      </w:r>
    </w:p>
    <w:p w14:paraId="78A7E2C0" w14:textId="77777777" w:rsidR="00632ACC" w:rsidRPr="00D40129" w:rsidRDefault="00632ACC" w:rsidP="00632ACC">
      <w:pPr>
        <w:jc w:val="both"/>
        <w:rPr>
          <w:sz w:val="22"/>
          <w:szCs w:val="22"/>
        </w:rPr>
      </w:pPr>
      <w:r w:rsidRPr="00D40129">
        <w:rPr>
          <w:i/>
          <w:sz w:val="22"/>
          <w:szCs w:val="22"/>
        </w:rPr>
        <w:t xml:space="preserve">   + β</w:t>
      </w:r>
      <w:r w:rsidRPr="00D40129">
        <w:rPr>
          <w:i/>
          <w:sz w:val="22"/>
          <w:szCs w:val="22"/>
          <w:vertAlign w:val="subscript"/>
        </w:rPr>
        <w:t>6</w:t>
      </w:r>
      <w:r w:rsidRPr="00D40129">
        <w:rPr>
          <w:i/>
          <w:sz w:val="22"/>
          <w:szCs w:val="22"/>
        </w:rPr>
        <w:t>*∆</w:t>
      </w:r>
      <w:proofErr w:type="spellStart"/>
      <w:r w:rsidRPr="00D40129">
        <w:rPr>
          <w:i/>
          <w:sz w:val="22"/>
          <w:szCs w:val="22"/>
        </w:rPr>
        <w:t>MarketSize</w:t>
      </w:r>
      <w:r w:rsidRPr="00D40129">
        <w:rPr>
          <w:i/>
          <w:sz w:val="22"/>
          <w:szCs w:val="22"/>
          <w:vertAlign w:val="subscript"/>
        </w:rPr>
        <w:t>t</w:t>
      </w:r>
      <w:proofErr w:type="spellEnd"/>
      <w:r w:rsidRPr="00D40129">
        <w:rPr>
          <w:i/>
          <w:sz w:val="22"/>
          <w:szCs w:val="22"/>
        </w:rPr>
        <w:t xml:space="preserve"> + β</w:t>
      </w:r>
      <w:r w:rsidRPr="00D40129">
        <w:rPr>
          <w:i/>
          <w:sz w:val="22"/>
          <w:szCs w:val="22"/>
          <w:vertAlign w:val="subscript"/>
        </w:rPr>
        <w:t>7</w:t>
      </w:r>
      <w:r w:rsidRPr="00D40129">
        <w:rPr>
          <w:i/>
          <w:sz w:val="22"/>
          <w:szCs w:val="22"/>
        </w:rPr>
        <w:t>*</w:t>
      </w:r>
      <w:proofErr w:type="spellStart"/>
      <w:r w:rsidRPr="00D40129">
        <w:rPr>
          <w:i/>
          <w:sz w:val="22"/>
          <w:szCs w:val="22"/>
        </w:rPr>
        <w:t>C</w:t>
      </w:r>
      <w:r w:rsidRPr="00D40129">
        <w:rPr>
          <w:i/>
          <w:sz w:val="22"/>
          <w:szCs w:val="22"/>
          <w:vertAlign w:val="subscript"/>
        </w:rPr>
        <w:t>it</w:t>
      </w:r>
      <w:proofErr w:type="spellEnd"/>
      <w:r w:rsidRPr="00D40129">
        <w:rPr>
          <w:i/>
          <w:sz w:val="22"/>
          <w:szCs w:val="22"/>
        </w:rPr>
        <w:t xml:space="preserve"> + β</w:t>
      </w:r>
      <w:r w:rsidRPr="00D40129">
        <w:rPr>
          <w:i/>
          <w:sz w:val="22"/>
          <w:szCs w:val="22"/>
          <w:vertAlign w:val="subscript"/>
        </w:rPr>
        <w:t>8</w:t>
      </w:r>
      <w:r w:rsidRPr="00D40129">
        <w:rPr>
          <w:i/>
          <w:sz w:val="22"/>
          <w:szCs w:val="22"/>
        </w:rPr>
        <w:t>*</w:t>
      </w:r>
      <w:proofErr w:type="spellStart"/>
      <w:r w:rsidRPr="00D40129">
        <w:rPr>
          <w:i/>
          <w:sz w:val="22"/>
          <w:szCs w:val="22"/>
        </w:rPr>
        <w:t>Loss</w:t>
      </w:r>
      <w:r w:rsidRPr="00D40129">
        <w:rPr>
          <w:i/>
          <w:sz w:val="22"/>
          <w:szCs w:val="22"/>
          <w:vertAlign w:val="subscript"/>
        </w:rPr>
        <w:t>it</w:t>
      </w:r>
      <w:proofErr w:type="spellEnd"/>
      <w:r w:rsidRPr="00D40129">
        <w:rPr>
          <w:i/>
          <w:sz w:val="22"/>
          <w:szCs w:val="22"/>
        </w:rPr>
        <w:t xml:space="preserve"> + β</w:t>
      </w:r>
      <w:r w:rsidRPr="00D40129">
        <w:rPr>
          <w:i/>
          <w:sz w:val="22"/>
          <w:szCs w:val="22"/>
          <w:vertAlign w:val="subscript"/>
        </w:rPr>
        <w:t>9</w:t>
      </w:r>
      <w:r w:rsidRPr="00D40129">
        <w:rPr>
          <w:i/>
          <w:sz w:val="22"/>
          <w:szCs w:val="22"/>
        </w:rPr>
        <w:t>*</w:t>
      </w:r>
      <w:proofErr w:type="spellStart"/>
      <w:r w:rsidRPr="00D40129">
        <w:rPr>
          <w:i/>
          <w:sz w:val="22"/>
          <w:szCs w:val="22"/>
        </w:rPr>
        <w:t>Loss</w:t>
      </w:r>
      <w:r w:rsidRPr="00D40129">
        <w:rPr>
          <w:i/>
          <w:sz w:val="22"/>
          <w:szCs w:val="22"/>
          <w:vertAlign w:val="subscript"/>
        </w:rPr>
        <w:t>it</w:t>
      </w:r>
      <w:proofErr w:type="spellEnd"/>
      <w:r w:rsidRPr="00D40129">
        <w:rPr>
          <w:i/>
          <w:sz w:val="22"/>
          <w:szCs w:val="22"/>
        </w:rPr>
        <w:t>*</w:t>
      </w:r>
      <w:proofErr w:type="spellStart"/>
      <w:r w:rsidRPr="00D40129">
        <w:rPr>
          <w:i/>
          <w:sz w:val="22"/>
          <w:szCs w:val="22"/>
        </w:rPr>
        <w:t>C</w:t>
      </w:r>
      <w:r w:rsidRPr="00D40129">
        <w:rPr>
          <w:i/>
          <w:sz w:val="22"/>
          <w:szCs w:val="22"/>
          <w:vertAlign w:val="subscript"/>
        </w:rPr>
        <w:t>it</w:t>
      </w:r>
      <w:proofErr w:type="spellEnd"/>
      <w:r w:rsidRPr="00D40129">
        <w:rPr>
          <w:sz w:val="22"/>
          <w:szCs w:val="22"/>
        </w:rPr>
        <w:t xml:space="preserve"> + </w:t>
      </w:r>
      <w:r w:rsidRPr="00D40129">
        <w:rPr>
          <w:i/>
          <w:sz w:val="22"/>
          <w:szCs w:val="22"/>
        </w:rPr>
        <w:t>β</w:t>
      </w:r>
      <w:r w:rsidRPr="00D40129">
        <w:rPr>
          <w:i/>
          <w:sz w:val="22"/>
          <w:szCs w:val="22"/>
          <w:vertAlign w:val="subscript"/>
        </w:rPr>
        <w:t>10</w:t>
      </w:r>
      <w:proofErr w:type="gramStart"/>
      <w:r>
        <w:rPr>
          <w:i/>
          <w:sz w:val="22"/>
          <w:szCs w:val="22"/>
          <w:vertAlign w:val="subscript"/>
        </w:rPr>
        <w:t>,</w:t>
      </w:r>
      <w:r w:rsidRPr="00625372">
        <w:rPr>
          <w:i/>
          <w:sz w:val="22"/>
          <w:szCs w:val="22"/>
          <w:vertAlign w:val="subscript"/>
        </w:rPr>
        <w:t>f</w:t>
      </w:r>
      <w:proofErr w:type="gramEnd"/>
      <w:r w:rsidRPr="00D40129">
        <w:rPr>
          <w:sz w:val="22"/>
          <w:szCs w:val="22"/>
        </w:rPr>
        <w:t>*</w:t>
      </w:r>
      <w:proofErr w:type="spellStart"/>
      <w:r w:rsidRPr="00D40129">
        <w:rPr>
          <w:i/>
          <w:sz w:val="22"/>
          <w:szCs w:val="22"/>
        </w:rPr>
        <w:t>Firm</w:t>
      </w:r>
      <w:r w:rsidRPr="00625372">
        <w:rPr>
          <w:i/>
          <w:sz w:val="22"/>
          <w:szCs w:val="22"/>
          <w:vertAlign w:val="subscript"/>
        </w:rPr>
        <w:t>f</w:t>
      </w:r>
      <w:proofErr w:type="spellEnd"/>
      <w:r w:rsidRPr="00D40129">
        <w:rPr>
          <w:sz w:val="22"/>
          <w:szCs w:val="22"/>
        </w:rPr>
        <w:t xml:space="preserve"> + </w:t>
      </w:r>
      <w:r w:rsidRPr="00D40129">
        <w:rPr>
          <w:i/>
          <w:sz w:val="22"/>
          <w:szCs w:val="22"/>
        </w:rPr>
        <w:t>β</w:t>
      </w:r>
      <w:r w:rsidRPr="00D40129">
        <w:rPr>
          <w:i/>
          <w:sz w:val="22"/>
          <w:szCs w:val="22"/>
          <w:vertAlign w:val="subscript"/>
        </w:rPr>
        <w:t>11</w:t>
      </w:r>
      <w:r>
        <w:rPr>
          <w:i/>
          <w:sz w:val="22"/>
          <w:szCs w:val="22"/>
          <w:vertAlign w:val="subscript"/>
        </w:rPr>
        <w:t>,</w:t>
      </w:r>
      <w:r w:rsidRPr="00625372">
        <w:rPr>
          <w:i/>
          <w:sz w:val="22"/>
          <w:szCs w:val="22"/>
          <w:vertAlign w:val="subscript"/>
        </w:rPr>
        <w:t>f</w:t>
      </w:r>
      <w:r w:rsidRPr="00D40129">
        <w:rPr>
          <w:sz w:val="22"/>
          <w:szCs w:val="22"/>
        </w:rPr>
        <w:t>*</w:t>
      </w:r>
      <w:proofErr w:type="spellStart"/>
      <w:r w:rsidRPr="00D40129">
        <w:rPr>
          <w:i/>
          <w:sz w:val="22"/>
          <w:szCs w:val="22"/>
        </w:rPr>
        <w:t>Firm</w:t>
      </w:r>
      <w:r w:rsidRPr="00625372">
        <w:rPr>
          <w:i/>
          <w:sz w:val="22"/>
          <w:szCs w:val="22"/>
          <w:vertAlign w:val="subscript"/>
        </w:rPr>
        <w:t>f</w:t>
      </w:r>
      <w:proofErr w:type="spellEnd"/>
      <w:r w:rsidRPr="00D40129">
        <w:rPr>
          <w:i/>
          <w:sz w:val="22"/>
          <w:szCs w:val="22"/>
        </w:rPr>
        <w:t>*</w:t>
      </w:r>
      <w:proofErr w:type="spellStart"/>
      <w:r w:rsidRPr="00D40129">
        <w:rPr>
          <w:i/>
          <w:sz w:val="22"/>
          <w:szCs w:val="22"/>
        </w:rPr>
        <w:t>C</w:t>
      </w:r>
      <w:r w:rsidRPr="00D40129">
        <w:rPr>
          <w:i/>
          <w:sz w:val="22"/>
          <w:szCs w:val="22"/>
          <w:vertAlign w:val="subscript"/>
        </w:rPr>
        <w:t>it</w:t>
      </w:r>
      <w:proofErr w:type="spellEnd"/>
      <w:r w:rsidRPr="00D40129">
        <w:rPr>
          <w:sz w:val="22"/>
          <w:szCs w:val="22"/>
        </w:rPr>
        <w:t xml:space="preserve"> + </w:t>
      </w:r>
      <w:r w:rsidRPr="00D40129">
        <w:rPr>
          <w:i/>
          <w:sz w:val="22"/>
          <w:szCs w:val="22"/>
        </w:rPr>
        <w:t>β</w:t>
      </w:r>
      <w:r w:rsidRPr="00D40129">
        <w:rPr>
          <w:i/>
          <w:sz w:val="22"/>
          <w:szCs w:val="22"/>
          <w:vertAlign w:val="subscript"/>
        </w:rPr>
        <w:t>12</w:t>
      </w:r>
      <w:r>
        <w:rPr>
          <w:i/>
          <w:sz w:val="22"/>
          <w:szCs w:val="22"/>
          <w:vertAlign w:val="subscript"/>
        </w:rPr>
        <w:t>,</w:t>
      </w:r>
      <w:r w:rsidRPr="00625372">
        <w:rPr>
          <w:i/>
          <w:sz w:val="22"/>
          <w:szCs w:val="22"/>
          <w:vertAlign w:val="subscript"/>
        </w:rPr>
        <w:t>f</w:t>
      </w:r>
      <w:r w:rsidRPr="00D40129">
        <w:rPr>
          <w:i/>
          <w:sz w:val="22"/>
          <w:szCs w:val="22"/>
        </w:rPr>
        <w:t>*</w:t>
      </w:r>
      <w:proofErr w:type="spellStart"/>
      <w:r w:rsidRPr="00D40129">
        <w:rPr>
          <w:i/>
          <w:sz w:val="22"/>
          <w:szCs w:val="22"/>
        </w:rPr>
        <w:t>Firm</w:t>
      </w:r>
      <w:r w:rsidRPr="00625372">
        <w:rPr>
          <w:i/>
          <w:sz w:val="22"/>
          <w:szCs w:val="22"/>
          <w:vertAlign w:val="subscript"/>
        </w:rPr>
        <w:t>f</w:t>
      </w:r>
      <w:proofErr w:type="spellEnd"/>
      <w:r w:rsidRPr="00D40129">
        <w:rPr>
          <w:sz w:val="22"/>
          <w:szCs w:val="22"/>
        </w:rPr>
        <w:t>*</w:t>
      </w:r>
      <w:proofErr w:type="spellStart"/>
      <w:r w:rsidRPr="00D40129">
        <w:rPr>
          <w:i/>
          <w:sz w:val="22"/>
          <w:szCs w:val="22"/>
        </w:rPr>
        <w:t>Loss</w:t>
      </w:r>
      <w:r w:rsidRPr="00D40129">
        <w:rPr>
          <w:i/>
          <w:sz w:val="22"/>
          <w:szCs w:val="22"/>
          <w:vertAlign w:val="subscript"/>
        </w:rPr>
        <w:t>it</w:t>
      </w:r>
      <w:proofErr w:type="spellEnd"/>
      <w:r w:rsidRPr="00D40129">
        <w:rPr>
          <w:sz w:val="22"/>
          <w:szCs w:val="22"/>
        </w:rPr>
        <w:t xml:space="preserve"> </w:t>
      </w:r>
    </w:p>
    <w:p w14:paraId="5BB2D250" w14:textId="77777777" w:rsidR="00632ACC" w:rsidRDefault="00632ACC" w:rsidP="00632ACC">
      <w:pPr>
        <w:rPr>
          <w:sz w:val="22"/>
          <w:szCs w:val="22"/>
        </w:rPr>
      </w:pPr>
      <w:r w:rsidRPr="00D40129">
        <w:rPr>
          <w:sz w:val="22"/>
          <w:szCs w:val="22"/>
        </w:rPr>
        <w:t xml:space="preserve">   + </w:t>
      </w:r>
      <w:r w:rsidRPr="00D40129">
        <w:rPr>
          <w:i/>
          <w:sz w:val="22"/>
          <w:szCs w:val="22"/>
        </w:rPr>
        <w:t>β</w:t>
      </w:r>
      <w:r w:rsidRPr="00D40129">
        <w:rPr>
          <w:i/>
          <w:sz w:val="22"/>
          <w:szCs w:val="22"/>
          <w:vertAlign w:val="subscript"/>
        </w:rPr>
        <w:t>13</w:t>
      </w:r>
      <w:proofErr w:type="gramStart"/>
      <w:r>
        <w:rPr>
          <w:i/>
          <w:sz w:val="22"/>
          <w:szCs w:val="22"/>
          <w:vertAlign w:val="subscript"/>
        </w:rPr>
        <w:t>,</w:t>
      </w:r>
      <w:r w:rsidRPr="00625372">
        <w:rPr>
          <w:i/>
          <w:sz w:val="22"/>
          <w:szCs w:val="22"/>
          <w:vertAlign w:val="subscript"/>
        </w:rPr>
        <w:t>f</w:t>
      </w:r>
      <w:proofErr w:type="gramEnd"/>
      <w:r w:rsidRPr="00D40129">
        <w:rPr>
          <w:i/>
          <w:sz w:val="22"/>
          <w:szCs w:val="22"/>
        </w:rPr>
        <w:t>*</w:t>
      </w:r>
      <w:proofErr w:type="spellStart"/>
      <w:r w:rsidRPr="00D40129">
        <w:rPr>
          <w:i/>
          <w:sz w:val="22"/>
          <w:szCs w:val="22"/>
        </w:rPr>
        <w:t>Firm</w:t>
      </w:r>
      <w:r w:rsidRPr="00625372">
        <w:rPr>
          <w:i/>
          <w:sz w:val="22"/>
          <w:szCs w:val="22"/>
          <w:vertAlign w:val="subscript"/>
        </w:rPr>
        <w:t>f</w:t>
      </w:r>
      <w:proofErr w:type="spellEnd"/>
      <w:r w:rsidRPr="00D40129">
        <w:rPr>
          <w:sz w:val="22"/>
          <w:szCs w:val="22"/>
        </w:rPr>
        <w:t>*</w:t>
      </w:r>
      <w:proofErr w:type="spellStart"/>
      <w:r w:rsidRPr="00D40129">
        <w:rPr>
          <w:i/>
          <w:sz w:val="22"/>
          <w:szCs w:val="22"/>
        </w:rPr>
        <w:t>Loss</w:t>
      </w:r>
      <w:r w:rsidRPr="00D40129">
        <w:rPr>
          <w:i/>
          <w:sz w:val="22"/>
          <w:szCs w:val="22"/>
          <w:vertAlign w:val="subscript"/>
        </w:rPr>
        <w:t>it</w:t>
      </w:r>
      <w:proofErr w:type="spellEnd"/>
      <w:r w:rsidRPr="00D40129">
        <w:rPr>
          <w:i/>
          <w:sz w:val="22"/>
          <w:szCs w:val="22"/>
        </w:rPr>
        <w:t>*</w:t>
      </w:r>
      <w:proofErr w:type="spellStart"/>
      <w:r w:rsidRPr="00D40129">
        <w:rPr>
          <w:i/>
          <w:sz w:val="22"/>
          <w:szCs w:val="22"/>
        </w:rPr>
        <w:t>C</w:t>
      </w:r>
      <w:r w:rsidRPr="00D40129">
        <w:rPr>
          <w:i/>
          <w:sz w:val="22"/>
          <w:szCs w:val="22"/>
          <w:vertAlign w:val="subscript"/>
        </w:rPr>
        <w:t>it</w:t>
      </w:r>
      <w:proofErr w:type="spellEnd"/>
      <w:r w:rsidRPr="00D40129">
        <w:rPr>
          <w:sz w:val="22"/>
          <w:szCs w:val="22"/>
        </w:rPr>
        <w:t xml:space="preserve"> </w:t>
      </w:r>
      <w:r w:rsidRPr="00D40129">
        <w:rPr>
          <w:i/>
          <w:sz w:val="22"/>
          <w:szCs w:val="22"/>
        </w:rPr>
        <w:t xml:space="preserve">+ </w:t>
      </w:r>
      <w:proofErr w:type="spellStart"/>
      <w:r w:rsidRPr="00D40129">
        <w:rPr>
          <w:i/>
          <w:sz w:val="22"/>
          <w:szCs w:val="22"/>
        </w:rPr>
        <w:t>ε</w:t>
      </w:r>
      <w:r w:rsidRPr="00D40129">
        <w:rPr>
          <w:i/>
          <w:sz w:val="22"/>
          <w:szCs w:val="22"/>
          <w:vertAlign w:val="subscript"/>
        </w:rPr>
        <w:t>it</w:t>
      </w:r>
      <w:proofErr w:type="spellEnd"/>
      <w:r w:rsidRPr="00D40129">
        <w:rPr>
          <w:sz w:val="22"/>
          <w:szCs w:val="22"/>
        </w:rPr>
        <w:t>.</w:t>
      </w:r>
      <w:r w:rsidRPr="003C3481">
        <w:rPr>
          <w:sz w:val="22"/>
          <w:szCs w:val="22"/>
        </w:rPr>
        <w:t xml:space="preserve"> </w:t>
      </w:r>
    </w:p>
    <w:p w14:paraId="23CDC92A" w14:textId="7DCBC8AD" w:rsidR="00E73505" w:rsidRDefault="00EB0C49" w:rsidP="00D40129">
      <w:pPr>
        <w:rPr>
          <w:highlight w:val="yellow"/>
        </w:rPr>
      </w:pPr>
      <w:r>
        <w:br w:type="page"/>
      </w:r>
    </w:p>
    <w:p w14:paraId="0B0F9782" w14:textId="573A65A7" w:rsidR="000C03BD" w:rsidRPr="00C705A8" w:rsidRDefault="00E73505" w:rsidP="007E20C2">
      <w:pPr>
        <w:outlineLvl w:val="0"/>
      </w:pPr>
      <w:r w:rsidRPr="00C705A8">
        <w:lastRenderedPageBreak/>
        <w:t xml:space="preserve">Table 4: </w:t>
      </w:r>
      <w:r w:rsidR="007E20C2" w:rsidRPr="00C705A8">
        <w:t>Firm-year Sample Selection to Test Hypothesis</w:t>
      </w:r>
    </w:p>
    <w:p w14:paraId="765AA8E2" w14:textId="77777777" w:rsidR="007E20C2" w:rsidRDefault="007E20C2">
      <w:pPr>
        <w:rPr>
          <w:highlight w:val="yellow"/>
        </w:rPr>
      </w:pPr>
    </w:p>
    <w:tbl>
      <w:tblPr>
        <w:tblStyle w:val="TableGrid"/>
        <w:tblW w:w="9468"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2"/>
        <w:gridCol w:w="1156"/>
      </w:tblGrid>
      <w:tr w:rsidR="007E20C2" w:rsidRPr="009A57CB" w14:paraId="72CD2224" w14:textId="77777777" w:rsidTr="007E20C2">
        <w:trPr>
          <w:jc w:val="center"/>
        </w:trPr>
        <w:tc>
          <w:tcPr>
            <w:tcW w:w="8312" w:type="dxa"/>
          </w:tcPr>
          <w:p w14:paraId="0F0DD18D" w14:textId="7EE9EF9E" w:rsidR="007E20C2" w:rsidRPr="009A57CB" w:rsidRDefault="007E20C2" w:rsidP="00964411">
            <w:pPr>
              <w:ind w:left="450" w:hanging="450"/>
              <w:rPr>
                <w:i/>
                <w:sz w:val="22"/>
                <w:szCs w:val="22"/>
              </w:rPr>
            </w:pPr>
            <w:r w:rsidRPr="009A57CB">
              <w:rPr>
                <w:sz w:val="22"/>
                <w:szCs w:val="22"/>
              </w:rPr>
              <w:t xml:space="preserve">Unique firms used to estimate </w:t>
            </w:r>
            <w:r w:rsidRPr="009A57CB">
              <w:rPr>
                <w:i/>
                <w:iCs/>
                <w:sz w:val="22"/>
                <w:szCs w:val="22"/>
              </w:rPr>
              <w:t>G</w:t>
            </w:r>
            <w:r w:rsidRPr="009A57CB">
              <w:rPr>
                <w:sz w:val="22"/>
                <w:szCs w:val="22"/>
              </w:rPr>
              <w:t>:</w:t>
            </w:r>
          </w:p>
        </w:tc>
        <w:tc>
          <w:tcPr>
            <w:tcW w:w="1156" w:type="dxa"/>
            <w:vAlign w:val="bottom"/>
          </w:tcPr>
          <w:p w14:paraId="202CD3FC" w14:textId="3BC55ABC" w:rsidR="007E20C2" w:rsidRPr="009A57CB" w:rsidRDefault="008A7855" w:rsidP="007E20C2">
            <w:pPr>
              <w:jc w:val="right"/>
              <w:rPr>
                <w:sz w:val="22"/>
                <w:szCs w:val="22"/>
              </w:rPr>
            </w:pPr>
            <w:r>
              <w:rPr>
                <w:rFonts w:eastAsia="Times New Roman"/>
                <w:color w:val="000000"/>
                <w:sz w:val="22"/>
                <w:szCs w:val="22"/>
              </w:rPr>
              <w:t>5,610</w:t>
            </w:r>
          </w:p>
        </w:tc>
      </w:tr>
      <w:tr w:rsidR="007E20C2" w:rsidRPr="009A57CB" w14:paraId="0FFD9CBE" w14:textId="77777777" w:rsidTr="007E20C2">
        <w:trPr>
          <w:trHeight w:val="305"/>
          <w:jc w:val="center"/>
        </w:trPr>
        <w:tc>
          <w:tcPr>
            <w:tcW w:w="8312" w:type="dxa"/>
          </w:tcPr>
          <w:p w14:paraId="42A3B6BD" w14:textId="6F9A792E" w:rsidR="007E20C2" w:rsidRPr="009A57CB" w:rsidRDefault="007E20C2" w:rsidP="00964411">
            <w:pPr>
              <w:ind w:left="450"/>
              <w:rPr>
                <w:i/>
                <w:sz w:val="22"/>
                <w:szCs w:val="22"/>
              </w:rPr>
            </w:pPr>
            <w:r w:rsidRPr="009A57CB">
              <w:rPr>
                <w:sz w:val="22"/>
                <w:szCs w:val="22"/>
              </w:rPr>
              <w:t xml:space="preserve">Less: Missing </w:t>
            </w:r>
            <w:r w:rsidRPr="009A57CB">
              <w:rPr>
                <w:i/>
                <w:iCs/>
                <w:sz w:val="22"/>
                <w:szCs w:val="22"/>
              </w:rPr>
              <w:t xml:space="preserve">G </w:t>
            </w:r>
            <w:r w:rsidRPr="009A57CB">
              <w:rPr>
                <w:sz w:val="22"/>
                <w:szCs w:val="22"/>
              </w:rPr>
              <w:t>(unique firms with fewer than ten affiliate-years)</w:t>
            </w:r>
          </w:p>
        </w:tc>
        <w:tc>
          <w:tcPr>
            <w:tcW w:w="1156" w:type="dxa"/>
            <w:vAlign w:val="bottom"/>
          </w:tcPr>
          <w:p w14:paraId="1DA64DA6" w14:textId="1D36B3CB" w:rsidR="007E20C2" w:rsidRPr="009A57CB" w:rsidRDefault="007E20C2" w:rsidP="007E20C2">
            <w:pPr>
              <w:jc w:val="right"/>
              <w:rPr>
                <w:sz w:val="22"/>
                <w:szCs w:val="22"/>
              </w:rPr>
            </w:pPr>
            <w:r w:rsidRPr="009A57CB">
              <w:rPr>
                <w:rFonts w:eastAsia="Times New Roman"/>
                <w:color w:val="000000"/>
                <w:sz w:val="22"/>
                <w:szCs w:val="22"/>
              </w:rPr>
              <w:t>(</w:t>
            </w:r>
            <w:r w:rsidR="008A7855">
              <w:rPr>
                <w:rFonts w:eastAsia="Times New Roman"/>
                <w:color w:val="000000"/>
                <w:sz w:val="22"/>
                <w:szCs w:val="22"/>
              </w:rPr>
              <w:t>3,367</w:t>
            </w:r>
            <w:r w:rsidRPr="009A57CB">
              <w:rPr>
                <w:rFonts w:eastAsia="Times New Roman"/>
                <w:color w:val="000000"/>
                <w:sz w:val="22"/>
                <w:szCs w:val="22"/>
              </w:rPr>
              <w:t>)</w:t>
            </w:r>
          </w:p>
        </w:tc>
      </w:tr>
      <w:tr w:rsidR="007E20C2" w:rsidRPr="009A57CB" w14:paraId="6373F6B2" w14:textId="77777777" w:rsidTr="007E20C2">
        <w:trPr>
          <w:jc w:val="center"/>
        </w:trPr>
        <w:tc>
          <w:tcPr>
            <w:tcW w:w="8312" w:type="dxa"/>
          </w:tcPr>
          <w:p w14:paraId="0F72EAC9" w14:textId="7778F2B9" w:rsidR="007E20C2" w:rsidRPr="009A57CB" w:rsidRDefault="007E20C2" w:rsidP="007E20C2">
            <w:pPr>
              <w:ind w:left="450"/>
              <w:rPr>
                <w:sz w:val="22"/>
                <w:szCs w:val="22"/>
              </w:rPr>
            </w:pPr>
            <w:r w:rsidRPr="009A57CB">
              <w:rPr>
                <w:sz w:val="22"/>
                <w:szCs w:val="22"/>
              </w:rPr>
              <w:t xml:space="preserve">Less: Missing </w:t>
            </w:r>
            <w:proofErr w:type="spellStart"/>
            <w:r w:rsidRPr="00D251D2">
              <w:rPr>
                <w:i/>
                <w:sz w:val="22"/>
                <w:szCs w:val="22"/>
              </w:rPr>
              <w:t>Compustat</w:t>
            </w:r>
            <w:proofErr w:type="spellEnd"/>
            <w:r w:rsidRPr="009A57CB">
              <w:rPr>
                <w:sz w:val="22"/>
                <w:szCs w:val="22"/>
              </w:rPr>
              <w:t xml:space="preserve"> match</w:t>
            </w:r>
          </w:p>
        </w:tc>
        <w:tc>
          <w:tcPr>
            <w:tcW w:w="1156" w:type="dxa"/>
            <w:vAlign w:val="bottom"/>
          </w:tcPr>
          <w:p w14:paraId="46A5D89E" w14:textId="34F0D2B1" w:rsidR="007E20C2" w:rsidRPr="009A57CB" w:rsidRDefault="007E20C2" w:rsidP="00855148">
            <w:pPr>
              <w:jc w:val="right"/>
              <w:rPr>
                <w:sz w:val="22"/>
                <w:szCs w:val="22"/>
              </w:rPr>
            </w:pPr>
            <w:r w:rsidRPr="009A57CB">
              <w:rPr>
                <w:rFonts w:eastAsia="Times New Roman"/>
                <w:color w:val="000000"/>
                <w:sz w:val="22"/>
                <w:szCs w:val="22"/>
              </w:rPr>
              <w:t>(</w:t>
            </w:r>
            <w:r w:rsidR="00855148" w:rsidRPr="009A57CB">
              <w:rPr>
                <w:rFonts w:eastAsia="Times New Roman"/>
                <w:color w:val="000000"/>
                <w:sz w:val="22"/>
                <w:szCs w:val="22"/>
              </w:rPr>
              <w:t>1</w:t>
            </w:r>
            <w:r w:rsidR="00855148">
              <w:rPr>
                <w:rFonts w:eastAsia="Times New Roman"/>
                <w:color w:val="000000"/>
                <w:sz w:val="22"/>
                <w:szCs w:val="22"/>
              </w:rPr>
              <w:t>49</w:t>
            </w:r>
            <w:r w:rsidRPr="009A57CB">
              <w:rPr>
                <w:rFonts w:eastAsia="Times New Roman"/>
                <w:color w:val="000000"/>
                <w:sz w:val="22"/>
                <w:szCs w:val="22"/>
              </w:rPr>
              <w:t>)</w:t>
            </w:r>
          </w:p>
        </w:tc>
      </w:tr>
      <w:tr w:rsidR="007E20C2" w:rsidRPr="009A57CB" w14:paraId="4E33AB87" w14:textId="77777777" w:rsidTr="007E20C2">
        <w:trPr>
          <w:trHeight w:val="243"/>
          <w:jc w:val="center"/>
        </w:trPr>
        <w:tc>
          <w:tcPr>
            <w:tcW w:w="8312" w:type="dxa"/>
          </w:tcPr>
          <w:p w14:paraId="2B56C328" w14:textId="15CFA293" w:rsidR="007E20C2" w:rsidRPr="009A57CB" w:rsidRDefault="007E20C2" w:rsidP="007E20C2">
            <w:pPr>
              <w:rPr>
                <w:i/>
                <w:iCs/>
                <w:sz w:val="22"/>
                <w:szCs w:val="22"/>
              </w:rPr>
            </w:pPr>
            <w:r w:rsidRPr="009A57CB">
              <w:rPr>
                <w:sz w:val="22"/>
                <w:szCs w:val="22"/>
              </w:rPr>
              <w:t xml:space="preserve">Unique firms in sample used to estimate equation </w:t>
            </w:r>
            <w:r w:rsidR="004B01E0">
              <w:rPr>
                <w:sz w:val="22"/>
                <w:szCs w:val="22"/>
              </w:rPr>
              <w:t>(2)</w:t>
            </w:r>
            <w:r w:rsidRPr="009A57CB">
              <w:rPr>
                <w:sz w:val="22"/>
                <w:szCs w:val="22"/>
              </w:rPr>
              <w:t xml:space="preserve"> and hypothesis:</w:t>
            </w:r>
          </w:p>
        </w:tc>
        <w:tc>
          <w:tcPr>
            <w:tcW w:w="1156" w:type="dxa"/>
            <w:vAlign w:val="bottom"/>
          </w:tcPr>
          <w:p w14:paraId="3A89A960" w14:textId="599CA5D0" w:rsidR="007E20C2" w:rsidRPr="009A57CB" w:rsidRDefault="007E20C2" w:rsidP="00855148">
            <w:pPr>
              <w:jc w:val="right"/>
              <w:rPr>
                <w:rFonts w:eastAsia="Times New Roman"/>
                <w:color w:val="000000"/>
                <w:sz w:val="22"/>
                <w:szCs w:val="22"/>
                <w:lang w:eastAsia="zh-CN"/>
              </w:rPr>
            </w:pPr>
            <w:r w:rsidRPr="009A57CB">
              <w:rPr>
                <w:rFonts w:eastAsia="Times New Roman"/>
                <w:color w:val="000000"/>
                <w:sz w:val="22"/>
                <w:szCs w:val="22"/>
              </w:rPr>
              <w:t>2,</w:t>
            </w:r>
            <w:r w:rsidR="00855148">
              <w:rPr>
                <w:rFonts w:eastAsia="Times New Roman"/>
                <w:color w:val="000000"/>
                <w:sz w:val="22"/>
                <w:szCs w:val="22"/>
              </w:rPr>
              <w:t>094</w:t>
            </w:r>
          </w:p>
        </w:tc>
      </w:tr>
      <w:tr w:rsidR="007E20C2" w:rsidRPr="009A57CB" w14:paraId="416866BD" w14:textId="77777777" w:rsidTr="007E20C2">
        <w:trPr>
          <w:trHeight w:val="243"/>
          <w:jc w:val="center"/>
        </w:trPr>
        <w:tc>
          <w:tcPr>
            <w:tcW w:w="8312" w:type="dxa"/>
          </w:tcPr>
          <w:p w14:paraId="2F484A36" w14:textId="77777777" w:rsidR="007E20C2" w:rsidRPr="009A57CB" w:rsidRDefault="007E20C2" w:rsidP="007E20C2">
            <w:pPr>
              <w:rPr>
                <w:sz w:val="22"/>
                <w:szCs w:val="22"/>
              </w:rPr>
            </w:pPr>
          </w:p>
        </w:tc>
        <w:tc>
          <w:tcPr>
            <w:tcW w:w="1156" w:type="dxa"/>
            <w:vAlign w:val="bottom"/>
          </w:tcPr>
          <w:p w14:paraId="0353D03D" w14:textId="77777777" w:rsidR="007E20C2" w:rsidRPr="009A57CB" w:rsidRDefault="007E20C2" w:rsidP="007E20C2">
            <w:pPr>
              <w:jc w:val="right"/>
              <w:rPr>
                <w:rFonts w:eastAsia="Times New Roman"/>
                <w:color w:val="000000"/>
                <w:sz w:val="22"/>
                <w:szCs w:val="22"/>
              </w:rPr>
            </w:pPr>
          </w:p>
        </w:tc>
      </w:tr>
      <w:tr w:rsidR="007E20C2" w:rsidRPr="009A57CB" w14:paraId="6A6180F4" w14:textId="77777777" w:rsidTr="007E20C2">
        <w:trPr>
          <w:trHeight w:val="243"/>
          <w:jc w:val="center"/>
        </w:trPr>
        <w:tc>
          <w:tcPr>
            <w:tcW w:w="8312" w:type="dxa"/>
          </w:tcPr>
          <w:p w14:paraId="29E21BFB" w14:textId="6991F02E" w:rsidR="007E20C2" w:rsidRPr="009A57CB" w:rsidRDefault="00340B41" w:rsidP="007E20C2">
            <w:pPr>
              <w:rPr>
                <w:sz w:val="22"/>
                <w:szCs w:val="22"/>
              </w:rPr>
            </w:pPr>
            <w:r w:rsidRPr="009A57CB">
              <w:rPr>
                <w:sz w:val="22"/>
                <w:szCs w:val="22"/>
              </w:rPr>
              <w:t xml:space="preserve">Firm-years in sample used to estimate equation </w:t>
            </w:r>
            <w:r w:rsidR="004B01E0">
              <w:rPr>
                <w:sz w:val="22"/>
                <w:szCs w:val="22"/>
              </w:rPr>
              <w:t>(2)</w:t>
            </w:r>
            <w:r w:rsidRPr="009A57CB">
              <w:rPr>
                <w:sz w:val="22"/>
                <w:szCs w:val="22"/>
              </w:rPr>
              <w:t xml:space="preserve"> and hypothesis (Corresponding firm-years in </w:t>
            </w:r>
            <w:proofErr w:type="spellStart"/>
            <w:r w:rsidRPr="00D251D2">
              <w:rPr>
                <w:i/>
                <w:sz w:val="22"/>
                <w:szCs w:val="22"/>
              </w:rPr>
              <w:t>Compustat</w:t>
            </w:r>
            <w:proofErr w:type="spellEnd"/>
            <w:r w:rsidRPr="00D251D2">
              <w:rPr>
                <w:i/>
                <w:sz w:val="22"/>
                <w:szCs w:val="22"/>
              </w:rPr>
              <w:t xml:space="preserve"> North America</w:t>
            </w:r>
            <w:r w:rsidRPr="009A57CB">
              <w:rPr>
                <w:sz w:val="22"/>
                <w:szCs w:val="22"/>
              </w:rPr>
              <w:t xml:space="preserve"> and </w:t>
            </w:r>
            <w:r w:rsidRPr="00D251D2">
              <w:rPr>
                <w:i/>
                <w:sz w:val="22"/>
                <w:szCs w:val="22"/>
              </w:rPr>
              <w:t>Global</w:t>
            </w:r>
            <w:r w:rsidRPr="009A57CB">
              <w:rPr>
                <w:sz w:val="22"/>
                <w:szCs w:val="22"/>
              </w:rPr>
              <w:t xml:space="preserve"> databases with non-missing variables required for estimation (</w:t>
            </w:r>
            <w:r w:rsidRPr="009A57CB">
              <w:rPr>
                <w:i/>
                <w:iCs/>
                <w:sz w:val="22"/>
                <w:szCs w:val="22"/>
              </w:rPr>
              <w:t xml:space="preserve">INV, Q, CF, </w:t>
            </w:r>
            <w:proofErr w:type="spellStart"/>
            <w:r w:rsidR="00855148">
              <w:rPr>
                <w:i/>
                <w:iCs/>
                <w:sz w:val="22"/>
                <w:szCs w:val="22"/>
              </w:rPr>
              <w:t>LogAT</w:t>
            </w:r>
            <w:proofErr w:type="spellEnd"/>
            <w:r w:rsidR="00855148">
              <w:rPr>
                <w:i/>
                <w:iCs/>
                <w:sz w:val="22"/>
                <w:szCs w:val="22"/>
              </w:rPr>
              <w:t xml:space="preserve">, ROA, </w:t>
            </w:r>
            <w:r w:rsidRPr="009A57CB">
              <w:rPr>
                <w:i/>
                <w:iCs/>
                <w:sz w:val="22"/>
                <w:szCs w:val="22"/>
              </w:rPr>
              <w:t>SIC</w:t>
            </w:r>
            <w:r w:rsidRPr="009A57CB">
              <w:rPr>
                <w:sz w:val="22"/>
                <w:szCs w:val="22"/>
              </w:rPr>
              <w:t>)</w:t>
            </w:r>
            <w:r w:rsidRPr="009A57CB">
              <w:rPr>
                <w:i/>
                <w:iCs/>
                <w:sz w:val="22"/>
                <w:szCs w:val="22"/>
              </w:rPr>
              <w:t xml:space="preserve"> </w:t>
            </w:r>
            <w:r w:rsidRPr="009A57CB">
              <w:rPr>
                <w:sz w:val="22"/>
                <w:szCs w:val="22"/>
              </w:rPr>
              <w:t>2002 to 2014):</w:t>
            </w:r>
          </w:p>
        </w:tc>
        <w:tc>
          <w:tcPr>
            <w:tcW w:w="1156" w:type="dxa"/>
            <w:vAlign w:val="bottom"/>
          </w:tcPr>
          <w:p w14:paraId="625823C7" w14:textId="155DB9D3" w:rsidR="007E20C2" w:rsidRPr="009A57CB" w:rsidRDefault="007E20C2" w:rsidP="00855148">
            <w:pPr>
              <w:jc w:val="right"/>
              <w:rPr>
                <w:rFonts w:eastAsia="Times New Roman"/>
                <w:color w:val="000000"/>
                <w:sz w:val="22"/>
                <w:szCs w:val="22"/>
              </w:rPr>
            </w:pPr>
            <w:r w:rsidRPr="009A57CB">
              <w:rPr>
                <w:rFonts w:eastAsia="Times New Roman"/>
                <w:color w:val="000000"/>
                <w:sz w:val="22"/>
                <w:szCs w:val="22"/>
              </w:rPr>
              <w:t>2</w:t>
            </w:r>
            <w:r w:rsidR="00855148">
              <w:rPr>
                <w:rFonts w:eastAsia="Times New Roman"/>
                <w:color w:val="000000"/>
                <w:sz w:val="22"/>
                <w:szCs w:val="22"/>
              </w:rPr>
              <w:t>1</w:t>
            </w:r>
            <w:r w:rsidRPr="009A57CB">
              <w:rPr>
                <w:rFonts w:eastAsia="Times New Roman"/>
                <w:color w:val="000000"/>
                <w:sz w:val="22"/>
                <w:szCs w:val="22"/>
              </w:rPr>
              <w:t>,</w:t>
            </w:r>
            <w:r w:rsidR="00855148">
              <w:rPr>
                <w:rFonts w:eastAsia="Times New Roman"/>
                <w:color w:val="000000"/>
                <w:sz w:val="22"/>
                <w:szCs w:val="22"/>
              </w:rPr>
              <w:t>306</w:t>
            </w:r>
          </w:p>
        </w:tc>
      </w:tr>
    </w:tbl>
    <w:p w14:paraId="399CED8D" w14:textId="77777777" w:rsidR="007E20C2" w:rsidRDefault="007E20C2" w:rsidP="007E20C2"/>
    <w:p w14:paraId="54521D0D" w14:textId="6A5E1C63" w:rsidR="007E20C2" w:rsidRPr="001071B7" w:rsidRDefault="007E20C2" w:rsidP="00855148">
      <w:pPr>
        <w:jc w:val="both"/>
        <w:rPr>
          <w:sz w:val="22"/>
          <w:szCs w:val="22"/>
          <w:highlight w:val="yellow"/>
        </w:rPr>
      </w:pPr>
      <w:r w:rsidRPr="001071B7">
        <w:rPr>
          <w:sz w:val="22"/>
          <w:szCs w:val="22"/>
        </w:rPr>
        <w:t xml:space="preserve">Table </w:t>
      </w:r>
      <w:r w:rsidR="00340B41">
        <w:rPr>
          <w:sz w:val="22"/>
          <w:szCs w:val="22"/>
        </w:rPr>
        <w:t>4</w:t>
      </w:r>
      <w:r w:rsidRPr="001071B7">
        <w:rPr>
          <w:sz w:val="22"/>
          <w:szCs w:val="22"/>
        </w:rPr>
        <w:t xml:space="preserve"> presents sample selection criteria</w:t>
      </w:r>
      <w:r w:rsidR="00340B41">
        <w:rPr>
          <w:sz w:val="22"/>
          <w:szCs w:val="22"/>
        </w:rPr>
        <w:t xml:space="preserve"> to estimate equation </w:t>
      </w:r>
      <w:r w:rsidR="004B01E0">
        <w:rPr>
          <w:sz w:val="22"/>
          <w:szCs w:val="22"/>
        </w:rPr>
        <w:t>(2)</w:t>
      </w:r>
      <w:r w:rsidR="00340B41">
        <w:rPr>
          <w:sz w:val="22"/>
          <w:szCs w:val="22"/>
        </w:rPr>
        <w:t xml:space="preserve"> and the hypothesis test</w:t>
      </w:r>
      <w:r>
        <w:rPr>
          <w:sz w:val="22"/>
          <w:szCs w:val="22"/>
        </w:rPr>
        <w:t>.</w:t>
      </w:r>
      <w:r w:rsidRPr="001071B7">
        <w:rPr>
          <w:sz w:val="22"/>
          <w:szCs w:val="22"/>
        </w:rPr>
        <w:t xml:space="preserve"> </w:t>
      </w:r>
      <w:r w:rsidR="00340B41">
        <w:rPr>
          <w:sz w:val="22"/>
          <w:szCs w:val="22"/>
        </w:rPr>
        <w:t>The f</w:t>
      </w:r>
      <w:r>
        <w:rPr>
          <w:sz w:val="22"/>
          <w:szCs w:val="22"/>
        </w:rPr>
        <w:t xml:space="preserve">irm-year sample includes </w:t>
      </w:r>
      <w:r w:rsidR="00855148">
        <w:rPr>
          <w:sz w:val="22"/>
          <w:szCs w:val="22"/>
        </w:rPr>
        <w:t>21</w:t>
      </w:r>
      <w:r w:rsidR="008B0224">
        <w:rPr>
          <w:sz w:val="22"/>
          <w:szCs w:val="22"/>
        </w:rPr>
        <w:t>,</w:t>
      </w:r>
      <w:r w:rsidR="00855148">
        <w:rPr>
          <w:sz w:val="22"/>
          <w:szCs w:val="22"/>
        </w:rPr>
        <w:t xml:space="preserve">306 </w:t>
      </w:r>
      <w:r>
        <w:rPr>
          <w:sz w:val="22"/>
          <w:szCs w:val="22"/>
        </w:rPr>
        <w:t xml:space="preserve">firm-years from </w:t>
      </w:r>
      <w:proofErr w:type="spellStart"/>
      <w:r w:rsidRPr="00D251D2">
        <w:rPr>
          <w:i/>
          <w:sz w:val="22"/>
          <w:szCs w:val="22"/>
        </w:rPr>
        <w:t>Compustat</w:t>
      </w:r>
      <w:proofErr w:type="spellEnd"/>
      <w:r w:rsidRPr="00D251D2">
        <w:rPr>
          <w:i/>
          <w:sz w:val="22"/>
          <w:szCs w:val="22"/>
        </w:rPr>
        <w:t xml:space="preserve"> North America</w:t>
      </w:r>
      <w:r>
        <w:rPr>
          <w:sz w:val="22"/>
          <w:szCs w:val="22"/>
        </w:rPr>
        <w:t xml:space="preserve"> and </w:t>
      </w:r>
      <w:r w:rsidRPr="00D251D2">
        <w:rPr>
          <w:i/>
          <w:sz w:val="22"/>
          <w:szCs w:val="22"/>
        </w:rPr>
        <w:t>Global</w:t>
      </w:r>
      <w:r>
        <w:rPr>
          <w:sz w:val="22"/>
          <w:szCs w:val="22"/>
        </w:rPr>
        <w:t xml:space="preserve"> with non-missing data required for estimation, representing 2,</w:t>
      </w:r>
      <w:r w:rsidR="00855148">
        <w:rPr>
          <w:sz w:val="22"/>
          <w:szCs w:val="22"/>
        </w:rPr>
        <w:t xml:space="preserve">094 </w:t>
      </w:r>
      <w:r>
        <w:rPr>
          <w:sz w:val="22"/>
          <w:szCs w:val="22"/>
        </w:rPr>
        <w:t xml:space="preserve">unique controlled </w:t>
      </w:r>
      <w:r w:rsidR="00E964A6">
        <w:rPr>
          <w:sz w:val="22"/>
          <w:szCs w:val="22"/>
        </w:rPr>
        <w:t>firm</w:t>
      </w:r>
      <w:r>
        <w:rPr>
          <w:sz w:val="22"/>
          <w:szCs w:val="22"/>
        </w:rPr>
        <w:t>s.</w:t>
      </w:r>
    </w:p>
    <w:p w14:paraId="1AAC6A4D" w14:textId="77777777" w:rsidR="000C03BD" w:rsidRDefault="000C03BD">
      <w:pPr>
        <w:rPr>
          <w:highlight w:val="yellow"/>
        </w:rPr>
      </w:pPr>
      <w:r>
        <w:rPr>
          <w:highlight w:val="yellow"/>
        </w:rPr>
        <w:br w:type="page"/>
      </w:r>
    </w:p>
    <w:p w14:paraId="11154307" w14:textId="43600DDF" w:rsidR="00E73505" w:rsidRPr="00A7168C" w:rsidRDefault="00262F3D" w:rsidP="00D251D2">
      <w:pPr>
        <w:tabs>
          <w:tab w:val="left" w:pos="180"/>
        </w:tabs>
        <w:outlineLvl w:val="0"/>
      </w:pPr>
      <w:r w:rsidRPr="00A7168C">
        <w:lastRenderedPageBreak/>
        <w:t xml:space="preserve">Table 5: </w:t>
      </w:r>
      <w:proofErr w:type="spellStart"/>
      <w:r w:rsidR="00E73505" w:rsidRPr="00D251D2">
        <w:rPr>
          <w:i/>
        </w:rPr>
        <w:t>Compustat</w:t>
      </w:r>
      <w:proofErr w:type="spellEnd"/>
      <w:r w:rsidR="00E73505" w:rsidRPr="00A7168C">
        <w:t xml:space="preserve"> </w:t>
      </w:r>
      <w:r w:rsidR="00073F9D" w:rsidRPr="00A7168C">
        <w:t>Firm-Year S</w:t>
      </w:r>
      <w:r w:rsidR="00E73505" w:rsidRPr="00A7168C">
        <w:t xml:space="preserve">ample </w:t>
      </w:r>
      <w:r w:rsidR="00073F9D" w:rsidRPr="00A7168C">
        <w:t>U</w:t>
      </w:r>
      <w:r w:rsidR="00E73505" w:rsidRPr="00A7168C">
        <w:t xml:space="preserve">sed to </w:t>
      </w:r>
      <w:r w:rsidR="00073F9D" w:rsidRPr="00A7168C">
        <w:t>Test</w:t>
      </w:r>
      <w:r w:rsidR="00E73505" w:rsidRPr="00A7168C">
        <w:t xml:space="preserve"> </w:t>
      </w:r>
      <w:r w:rsidR="00073F9D" w:rsidRPr="00A7168C">
        <w:t>H</w:t>
      </w:r>
      <w:r w:rsidR="00E73505" w:rsidRPr="00A7168C">
        <w:t>ypothesis</w:t>
      </w:r>
    </w:p>
    <w:p w14:paraId="2FBF60FC" w14:textId="3AD99F2A" w:rsidR="00E73505" w:rsidRDefault="00E73505" w:rsidP="00E73505">
      <w:pPr>
        <w:outlineLvl w:val="0"/>
      </w:pPr>
      <w:r w:rsidRPr="00A7168C">
        <w:t xml:space="preserve">Panel </w:t>
      </w:r>
      <w:r w:rsidR="00F16D8C" w:rsidRPr="00A7168C">
        <w:t>A</w:t>
      </w:r>
      <w:r w:rsidRPr="00A7168C">
        <w:t>: Summary Statistics</w:t>
      </w:r>
    </w:p>
    <w:p w14:paraId="36E1CDC9" w14:textId="77777777" w:rsidR="00A7168C" w:rsidRPr="00A7168C" w:rsidRDefault="00A7168C" w:rsidP="00E73505">
      <w:pPr>
        <w:outlineLvl w:val="0"/>
      </w:pPr>
    </w:p>
    <w:tbl>
      <w:tblPr>
        <w:tblW w:w="8555" w:type="dxa"/>
        <w:jc w:val="center"/>
        <w:tblBorders>
          <w:top w:val="single" w:sz="4" w:space="0" w:color="auto"/>
          <w:bottom w:val="single" w:sz="4" w:space="0" w:color="auto"/>
        </w:tblBorders>
        <w:tblLook w:val="04A0" w:firstRow="1" w:lastRow="0" w:firstColumn="1" w:lastColumn="0" w:noHBand="0" w:noVBand="1"/>
      </w:tblPr>
      <w:tblGrid>
        <w:gridCol w:w="2016"/>
        <w:gridCol w:w="1624"/>
        <w:gridCol w:w="1206"/>
        <w:gridCol w:w="1206"/>
        <w:gridCol w:w="1268"/>
        <w:gridCol w:w="1235"/>
      </w:tblGrid>
      <w:tr w:rsidR="00F16D8C" w:rsidRPr="00C12768" w14:paraId="2F5DCBE9" w14:textId="77777777" w:rsidTr="008F1EE3">
        <w:trPr>
          <w:trHeight w:val="593"/>
          <w:jc w:val="center"/>
        </w:trPr>
        <w:tc>
          <w:tcPr>
            <w:tcW w:w="2016" w:type="dxa"/>
            <w:shd w:val="clear" w:color="auto" w:fill="auto"/>
            <w:noWrap/>
            <w:vAlign w:val="bottom"/>
            <w:hideMark/>
          </w:tcPr>
          <w:p w14:paraId="2B2DC952" w14:textId="77777777" w:rsidR="00F16D8C" w:rsidRPr="00C12768" w:rsidRDefault="00F16D8C" w:rsidP="00D338A6">
            <w:pPr>
              <w:rPr>
                <w:rFonts w:eastAsia="Times New Roman"/>
                <w:sz w:val="22"/>
                <w:szCs w:val="22"/>
              </w:rPr>
            </w:pPr>
          </w:p>
        </w:tc>
        <w:tc>
          <w:tcPr>
            <w:tcW w:w="1624" w:type="dxa"/>
            <w:shd w:val="clear" w:color="auto" w:fill="auto"/>
            <w:noWrap/>
            <w:vAlign w:val="bottom"/>
            <w:hideMark/>
          </w:tcPr>
          <w:p w14:paraId="16911320" w14:textId="77777777" w:rsidR="00F16D8C" w:rsidRPr="00C12768" w:rsidRDefault="00F16D8C" w:rsidP="00D338A6">
            <w:pPr>
              <w:jc w:val="right"/>
              <w:rPr>
                <w:rFonts w:eastAsia="Times New Roman"/>
                <w:b/>
                <w:sz w:val="22"/>
                <w:szCs w:val="22"/>
                <w:u w:val="single"/>
              </w:rPr>
            </w:pPr>
            <w:r w:rsidRPr="00C12768">
              <w:rPr>
                <w:rFonts w:eastAsia="Times New Roman"/>
                <w:b/>
                <w:sz w:val="22"/>
                <w:szCs w:val="22"/>
                <w:u w:val="single"/>
              </w:rPr>
              <w:t>Mean</w:t>
            </w:r>
          </w:p>
        </w:tc>
        <w:tc>
          <w:tcPr>
            <w:tcW w:w="1206" w:type="dxa"/>
            <w:vAlign w:val="bottom"/>
          </w:tcPr>
          <w:p w14:paraId="56977F47" w14:textId="77777777" w:rsidR="00F16D8C" w:rsidRPr="00C12768" w:rsidRDefault="00F16D8C" w:rsidP="00D338A6">
            <w:pPr>
              <w:jc w:val="right"/>
              <w:rPr>
                <w:rFonts w:eastAsia="Times New Roman"/>
                <w:b/>
                <w:sz w:val="22"/>
                <w:szCs w:val="22"/>
                <w:u w:val="single"/>
              </w:rPr>
            </w:pPr>
            <w:proofErr w:type="spellStart"/>
            <w:r w:rsidRPr="00C12768">
              <w:rPr>
                <w:rFonts w:eastAsia="Times New Roman"/>
                <w:b/>
                <w:sz w:val="22"/>
                <w:szCs w:val="22"/>
                <w:u w:val="single"/>
              </w:rPr>
              <w:t>Std</w:t>
            </w:r>
            <w:proofErr w:type="spellEnd"/>
            <w:r w:rsidRPr="00C12768">
              <w:rPr>
                <w:rFonts w:eastAsia="Times New Roman"/>
                <w:b/>
                <w:sz w:val="22"/>
                <w:szCs w:val="22"/>
                <w:u w:val="single"/>
              </w:rPr>
              <w:t xml:space="preserve"> Dev</w:t>
            </w:r>
          </w:p>
        </w:tc>
        <w:tc>
          <w:tcPr>
            <w:tcW w:w="1206" w:type="dxa"/>
            <w:shd w:val="clear" w:color="auto" w:fill="auto"/>
            <w:noWrap/>
            <w:vAlign w:val="bottom"/>
            <w:hideMark/>
          </w:tcPr>
          <w:p w14:paraId="0CFA99AB" w14:textId="77777777" w:rsidR="00F16D8C" w:rsidRPr="00C12768" w:rsidRDefault="00F16D8C" w:rsidP="00D338A6">
            <w:pPr>
              <w:jc w:val="right"/>
              <w:rPr>
                <w:rFonts w:eastAsia="Times New Roman"/>
                <w:b/>
                <w:sz w:val="22"/>
                <w:szCs w:val="22"/>
                <w:u w:val="single"/>
              </w:rPr>
            </w:pPr>
            <w:r w:rsidRPr="00C12768">
              <w:rPr>
                <w:rFonts w:eastAsia="Times New Roman"/>
                <w:b/>
                <w:sz w:val="22"/>
                <w:szCs w:val="22"/>
                <w:u w:val="single"/>
              </w:rPr>
              <w:t>p25</w:t>
            </w:r>
          </w:p>
        </w:tc>
        <w:tc>
          <w:tcPr>
            <w:tcW w:w="1268" w:type="dxa"/>
            <w:shd w:val="clear" w:color="auto" w:fill="auto"/>
            <w:noWrap/>
            <w:vAlign w:val="bottom"/>
            <w:hideMark/>
          </w:tcPr>
          <w:p w14:paraId="04E5E48E" w14:textId="77777777" w:rsidR="00F16D8C" w:rsidRPr="00C12768" w:rsidRDefault="00F16D8C" w:rsidP="00D338A6">
            <w:pPr>
              <w:jc w:val="right"/>
              <w:rPr>
                <w:rFonts w:eastAsia="Times New Roman"/>
                <w:b/>
                <w:sz w:val="22"/>
                <w:szCs w:val="22"/>
                <w:u w:val="single"/>
              </w:rPr>
            </w:pPr>
            <w:r w:rsidRPr="00C12768">
              <w:rPr>
                <w:rFonts w:eastAsia="Times New Roman"/>
                <w:b/>
                <w:sz w:val="22"/>
                <w:szCs w:val="22"/>
                <w:u w:val="single"/>
              </w:rPr>
              <w:t>Median</w:t>
            </w:r>
          </w:p>
        </w:tc>
        <w:tc>
          <w:tcPr>
            <w:tcW w:w="1235" w:type="dxa"/>
            <w:shd w:val="clear" w:color="auto" w:fill="auto"/>
            <w:noWrap/>
            <w:vAlign w:val="bottom"/>
            <w:hideMark/>
          </w:tcPr>
          <w:p w14:paraId="027DCE3E" w14:textId="77777777" w:rsidR="00F16D8C" w:rsidRPr="00C12768" w:rsidRDefault="00F16D8C" w:rsidP="00D338A6">
            <w:pPr>
              <w:jc w:val="right"/>
              <w:rPr>
                <w:rFonts w:eastAsia="Times New Roman"/>
                <w:b/>
                <w:sz w:val="22"/>
                <w:szCs w:val="22"/>
                <w:u w:val="single"/>
              </w:rPr>
            </w:pPr>
            <w:r w:rsidRPr="00C12768">
              <w:rPr>
                <w:rFonts w:eastAsia="Times New Roman"/>
                <w:b/>
                <w:sz w:val="22"/>
                <w:szCs w:val="22"/>
                <w:u w:val="single"/>
              </w:rPr>
              <w:t>p75</w:t>
            </w:r>
          </w:p>
        </w:tc>
      </w:tr>
      <w:tr w:rsidR="00FA5595" w:rsidRPr="00C12768" w14:paraId="4AA973F4" w14:textId="77777777" w:rsidTr="008F1EE3">
        <w:trPr>
          <w:trHeight w:val="315"/>
          <w:jc w:val="center"/>
        </w:trPr>
        <w:tc>
          <w:tcPr>
            <w:tcW w:w="2016" w:type="dxa"/>
            <w:shd w:val="clear" w:color="auto" w:fill="auto"/>
            <w:noWrap/>
            <w:vAlign w:val="bottom"/>
          </w:tcPr>
          <w:p w14:paraId="3C6463A4" w14:textId="3FD55416" w:rsidR="00FA5595" w:rsidRPr="00C12768" w:rsidRDefault="00FA5595" w:rsidP="008B0224">
            <w:pPr>
              <w:rPr>
                <w:rFonts w:eastAsia="Times New Roman"/>
                <w:i/>
                <w:sz w:val="22"/>
                <w:szCs w:val="22"/>
              </w:rPr>
            </w:pPr>
            <w:proofErr w:type="spellStart"/>
            <w:r w:rsidRPr="00C12768">
              <w:rPr>
                <w:rFonts w:eastAsia="Times New Roman"/>
                <w:i/>
                <w:sz w:val="22"/>
                <w:szCs w:val="22"/>
              </w:rPr>
              <w:t>CapExp</w:t>
            </w:r>
            <w:proofErr w:type="spellEnd"/>
          </w:p>
        </w:tc>
        <w:tc>
          <w:tcPr>
            <w:tcW w:w="1624" w:type="dxa"/>
            <w:shd w:val="clear" w:color="auto" w:fill="auto"/>
            <w:noWrap/>
            <w:vAlign w:val="bottom"/>
          </w:tcPr>
          <w:p w14:paraId="724F6BAF" w14:textId="0E905F32" w:rsidR="00FA5595" w:rsidRPr="00FA5595" w:rsidRDefault="00FA5595" w:rsidP="008B0224">
            <w:pPr>
              <w:jc w:val="right"/>
              <w:rPr>
                <w:rFonts w:eastAsia="Times New Roman"/>
                <w:sz w:val="22"/>
                <w:szCs w:val="22"/>
              </w:rPr>
            </w:pPr>
            <w:r w:rsidRPr="00FA5595">
              <w:rPr>
                <w:rFonts w:eastAsia="Times New Roman"/>
                <w:sz w:val="22"/>
                <w:szCs w:val="22"/>
              </w:rPr>
              <w:t xml:space="preserve"> 435.9 </w:t>
            </w:r>
          </w:p>
        </w:tc>
        <w:tc>
          <w:tcPr>
            <w:tcW w:w="1206" w:type="dxa"/>
            <w:vAlign w:val="bottom"/>
          </w:tcPr>
          <w:p w14:paraId="6BE301FF" w14:textId="57168B0F" w:rsidR="00FA5595" w:rsidRPr="00FA5595" w:rsidRDefault="00FA5595" w:rsidP="008B0224">
            <w:pPr>
              <w:jc w:val="right"/>
              <w:rPr>
                <w:rFonts w:eastAsia="Times New Roman"/>
                <w:sz w:val="22"/>
                <w:szCs w:val="22"/>
              </w:rPr>
            </w:pPr>
            <w:r w:rsidRPr="00FA5595">
              <w:rPr>
                <w:rFonts w:eastAsia="Times New Roman"/>
                <w:sz w:val="22"/>
                <w:szCs w:val="22"/>
              </w:rPr>
              <w:t xml:space="preserve"> 1,256 </w:t>
            </w:r>
          </w:p>
        </w:tc>
        <w:tc>
          <w:tcPr>
            <w:tcW w:w="1206" w:type="dxa"/>
            <w:shd w:val="clear" w:color="auto" w:fill="auto"/>
            <w:noWrap/>
            <w:vAlign w:val="bottom"/>
          </w:tcPr>
          <w:p w14:paraId="7ED0835A" w14:textId="6A707FF6" w:rsidR="00FA5595" w:rsidRPr="00FA5595" w:rsidRDefault="00FA5595" w:rsidP="008B0224">
            <w:pPr>
              <w:jc w:val="right"/>
              <w:rPr>
                <w:rFonts w:eastAsia="Times New Roman"/>
                <w:sz w:val="22"/>
                <w:szCs w:val="22"/>
              </w:rPr>
            </w:pPr>
            <w:r w:rsidRPr="00FA5595">
              <w:rPr>
                <w:rFonts w:eastAsia="Times New Roman"/>
                <w:sz w:val="22"/>
                <w:szCs w:val="22"/>
              </w:rPr>
              <w:t xml:space="preserve"> 10.86 </w:t>
            </w:r>
          </w:p>
        </w:tc>
        <w:tc>
          <w:tcPr>
            <w:tcW w:w="1268" w:type="dxa"/>
            <w:shd w:val="clear" w:color="auto" w:fill="auto"/>
            <w:noWrap/>
            <w:vAlign w:val="bottom"/>
          </w:tcPr>
          <w:p w14:paraId="204C0D4E" w14:textId="43ABF825" w:rsidR="00FA5595" w:rsidRPr="00FA5595" w:rsidRDefault="00FA5595" w:rsidP="008B0224">
            <w:pPr>
              <w:jc w:val="right"/>
              <w:rPr>
                <w:rFonts w:eastAsia="Times New Roman"/>
                <w:sz w:val="22"/>
                <w:szCs w:val="22"/>
              </w:rPr>
            </w:pPr>
            <w:r w:rsidRPr="00FA5595">
              <w:rPr>
                <w:rFonts w:eastAsia="Times New Roman"/>
                <w:sz w:val="22"/>
                <w:szCs w:val="22"/>
              </w:rPr>
              <w:t xml:space="preserve"> 53.32 </w:t>
            </w:r>
          </w:p>
        </w:tc>
        <w:tc>
          <w:tcPr>
            <w:tcW w:w="1235" w:type="dxa"/>
            <w:shd w:val="clear" w:color="auto" w:fill="auto"/>
            <w:noWrap/>
            <w:vAlign w:val="bottom"/>
          </w:tcPr>
          <w:p w14:paraId="20A73BAF" w14:textId="490225EF" w:rsidR="00FA5595" w:rsidRPr="00FA5595" w:rsidRDefault="00FA5595" w:rsidP="008B0224">
            <w:pPr>
              <w:jc w:val="right"/>
              <w:rPr>
                <w:rFonts w:eastAsia="Times New Roman"/>
                <w:sz w:val="22"/>
                <w:szCs w:val="22"/>
              </w:rPr>
            </w:pPr>
            <w:r w:rsidRPr="00FA5595">
              <w:rPr>
                <w:rFonts w:eastAsia="Times New Roman"/>
                <w:sz w:val="22"/>
                <w:szCs w:val="22"/>
              </w:rPr>
              <w:t xml:space="preserve"> 244.6 </w:t>
            </w:r>
          </w:p>
        </w:tc>
      </w:tr>
      <w:tr w:rsidR="00FA5595" w:rsidRPr="00C12768" w14:paraId="614537F1" w14:textId="77777777" w:rsidTr="008F1EE3">
        <w:trPr>
          <w:trHeight w:val="288"/>
          <w:jc w:val="center"/>
        </w:trPr>
        <w:tc>
          <w:tcPr>
            <w:tcW w:w="2016" w:type="dxa"/>
            <w:shd w:val="clear" w:color="auto" w:fill="auto"/>
            <w:noWrap/>
            <w:vAlign w:val="bottom"/>
          </w:tcPr>
          <w:p w14:paraId="61D22723" w14:textId="765BD280" w:rsidR="00FA5595" w:rsidRPr="00C12768" w:rsidRDefault="0098351A" w:rsidP="008B0224">
            <w:pPr>
              <w:rPr>
                <w:rFonts w:eastAsia="Times New Roman"/>
                <w:i/>
                <w:sz w:val="22"/>
                <w:szCs w:val="22"/>
              </w:rPr>
            </w:pPr>
            <w:r>
              <w:rPr>
                <w:rFonts w:eastAsia="Times New Roman"/>
                <w:i/>
                <w:sz w:val="22"/>
                <w:szCs w:val="22"/>
              </w:rPr>
              <w:t>AT</w:t>
            </w:r>
          </w:p>
        </w:tc>
        <w:tc>
          <w:tcPr>
            <w:tcW w:w="1624" w:type="dxa"/>
            <w:shd w:val="clear" w:color="auto" w:fill="auto"/>
            <w:noWrap/>
            <w:vAlign w:val="bottom"/>
          </w:tcPr>
          <w:p w14:paraId="56345F34" w14:textId="3ADEBA19" w:rsidR="00FA5595" w:rsidRPr="00FA5595" w:rsidRDefault="00FA5595" w:rsidP="008B0224">
            <w:pPr>
              <w:jc w:val="right"/>
              <w:rPr>
                <w:rFonts w:eastAsia="Times New Roman"/>
                <w:sz w:val="22"/>
                <w:szCs w:val="22"/>
              </w:rPr>
            </w:pPr>
            <w:r w:rsidRPr="00FA5595">
              <w:rPr>
                <w:rFonts w:eastAsia="Times New Roman"/>
                <w:sz w:val="22"/>
                <w:szCs w:val="22"/>
              </w:rPr>
              <w:t xml:space="preserve"> 9,787 </w:t>
            </w:r>
          </w:p>
        </w:tc>
        <w:tc>
          <w:tcPr>
            <w:tcW w:w="1206" w:type="dxa"/>
            <w:vAlign w:val="bottom"/>
          </w:tcPr>
          <w:p w14:paraId="3235208A" w14:textId="55BCE89C" w:rsidR="00FA5595" w:rsidRPr="00FA5595" w:rsidRDefault="00FA5595" w:rsidP="008B0224">
            <w:pPr>
              <w:jc w:val="right"/>
              <w:rPr>
                <w:rFonts w:eastAsia="Times New Roman"/>
                <w:sz w:val="22"/>
                <w:szCs w:val="22"/>
              </w:rPr>
            </w:pPr>
            <w:r w:rsidRPr="00FA5595">
              <w:rPr>
                <w:rFonts w:eastAsia="Times New Roman"/>
                <w:sz w:val="22"/>
                <w:szCs w:val="22"/>
              </w:rPr>
              <w:t xml:space="preserve"> 24,300 </w:t>
            </w:r>
          </w:p>
        </w:tc>
        <w:tc>
          <w:tcPr>
            <w:tcW w:w="1206" w:type="dxa"/>
            <w:shd w:val="clear" w:color="auto" w:fill="auto"/>
            <w:noWrap/>
            <w:vAlign w:val="bottom"/>
          </w:tcPr>
          <w:p w14:paraId="3B2E0F05" w14:textId="3C6DC000" w:rsidR="00FA5595" w:rsidRPr="00FA5595" w:rsidRDefault="00FA5595" w:rsidP="008B0224">
            <w:pPr>
              <w:jc w:val="right"/>
              <w:rPr>
                <w:rFonts w:eastAsia="Times New Roman"/>
                <w:sz w:val="22"/>
                <w:szCs w:val="22"/>
              </w:rPr>
            </w:pPr>
            <w:r w:rsidRPr="00FA5595">
              <w:rPr>
                <w:rFonts w:eastAsia="Times New Roman"/>
                <w:sz w:val="22"/>
                <w:szCs w:val="22"/>
              </w:rPr>
              <w:t xml:space="preserve"> 406.6 </w:t>
            </w:r>
          </w:p>
        </w:tc>
        <w:tc>
          <w:tcPr>
            <w:tcW w:w="1268" w:type="dxa"/>
            <w:shd w:val="clear" w:color="auto" w:fill="auto"/>
            <w:noWrap/>
            <w:vAlign w:val="bottom"/>
          </w:tcPr>
          <w:p w14:paraId="71031831" w14:textId="0C78C721" w:rsidR="00FA5595" w:rsidRPr="00FA5595" w:rsidRDefault="00FA5595" w:rsidP="008B0224">
            <w:pPr>
              <w:jc w:val="right"/>
              <w:rPr>
                <w:rFonts w:eastAsia="Times New Roman"/>
                <w:sz w:val="22"/>
                <w:szCs w:val="22"/>
              </w:rPr>
            </w:pPr>
            <w:r w:rsidRPr="00FA5595">
              <w:rPr>
                <w:rFonts w:eastAsia="Times New Roman"/>
                <w:sz w:val="22"/>
                <w:szCs w:val="22"/>
              </w:rPr>
              <w:t xml:space="preserve"> 1,674 </w:t>
            </w:r>
          </w:p>
        </w:tc>
        <w:tc>
          <w:tcPr>
            <w:tcW w:w="1235" w:type="dxa"/>
            <w:shd w:val="clear" w:color="auto" w:fill="auto"/>
            <w:noWrap/>
            <w:vAlign w:val="bottom"/>
          </w:tcPr>
          <w:p w14:paraId="1EC406CA" w14:textId="00AA758A" w:rsidR="00FA5595" w:rsidRPr="00FA5595" w:rsidRDefault="00FA5595" w:rsidP="008B0224">
            <w:pPr>
              <w:jc w:val="right"/>
              <w:rPr>
                <w:rFonts w:eastAsia="Times New Roman"/>
                <w:sz w:val="22"/>
                <w:szCs w:val="22"/>
              </w:rPr>
            </w:pPr>
            <w:r w:rsidRPr="00FA5595">
              <w:rPr>
                <w:rFonts w:eastAsia="Times New Roman"/>
                <w:sz w:val="22"/>
                <w:szCs w:val="22"/>
              </w:rPr>
              <w:t xml:space="preserve"> 6,496 </w:t>
            </w:r>
          </w:p>
        </w:tc>
      </w:tr>
      <w:tr w:rsidR="00FA5595" w:rsidRPr="00C12768" w14:paraId="2F9043FF" w14:textId="77777777" w:rsidTr="008F1EE3">
        <w:trPr>
          <w:trHeight w:val="288"/>
          <w:jc w:val="center"/>
        </w:trPr>
        <w:tc>
          <w:tcPr>
            <w:tcW w:w="2016" w:type="dxa"/>
            <w:shd w:val="clear" w:color="auto" w:fill="auto"/>
            <w:noWrap/>
            <w:vAlign w:val="bottom"/>
          </w:tcPr>
          <w:p w14:paraId="377FFA1C" w14:textId="55F35420" w:rsidR="00FA5595" w:rsidRPr="00C12768" w:rsidRDefault="00FA5595" w:rsidP="008B0224">
            <w:pPr>
              <w:rPr>
                <w:rFonts w:eastAsia="Times New Roman"/>
                <w:i/>
                <w:sz w:val="22"/>
                <w:szCs w:val="22"/>
              </w:rPr>
            </w:pPr>
            <w:r w:rsidRPr="00C12768">
              <w:rPr>
                <w:rFonts w:eastAsia="Times New Roman"/>
                <w:i/>
                <w:sz w:val="22"/>
                <w:szCs w:val="22"/>
              </w:rPr>
              <w:t>PPE</w:t>
            </w:r>
            <w:r>
              <w:rPr>
                <w:rFonts w:eastAsia="Times New Roman"/>
                <w:i/>
                <w:sz w:val="22"/>
                <w:szCs w:val="22"/>
              </w:rPr>
              <w:t>NT</w:t>
            </w:r>
            <w:r w:rsidRPr="00C12768">
              <w:rPr>
                <w:rFonts w:eastAsia="Times New Roman"/>
                <w:i/>
                <w:sz w:val="22"/>
                <w:szCs w:val="22"/>
                <w:vertAlign w:val="subscript"/>
              </w:rPr>
              <w:t>t-1</w:t>
            </w:r>
          </w:p>
        </w:tc>
        <w:tc>
          <w:tcPr>
            <w:tcW w:w="1624" w:type="dxa"/>
            <w:shd w:val="clear" w:color="auto" w:fill="auto"/>
            <w:noWrap/>
            <w:vAlign w:val="bottom"/>
          </w:tcPr>
          <w:p w14:paraId="43AACAAE" w14:textId="1573BA3E" w:rsidR="00FA5595" w:rsidRPr="00FA5595" w:rsidRDefault="00FA5595" w:rsidP="008B0224">
            <w:pPr>
              <w:jc w:val="right"/>
              <w:rPr>
                <w:rFonts w:eastAsia="Times New Roman"/>
                <w:sz w:val="22"/>
                <w:szCs w:val="22"/>
              </w:rPr>
            </w:pPr>
            <w:r w:rsidRPr="00FA5595">
              <w:rPr>
                <w:rFonts w:eastAsia="Times New Roman"/>
                <w:sz w:val="22"/>
                <w:szCs w:val="22"/>
              </w:rPr>
              <w:t xml:space="preserve"> 2,507 </w:t>
            </w:r>
          </w:p>
        </w:tc>
        <w:tc>
          <w:tcPr>
            <w:tcW w:w="1206" w:type="dxa"/>
            <w:vAlign w:val="bottom"/>
          </w:tcPr>
          <w:p w14:paraId="0A2E4C22" w14:textId="455BA12F" w:rsidR="00FA5595" w:rsidRPr="00FA5595" w:rsidRDefault="00FA5595" w:rsidP="008B0224">
            <w:pPr>
              <w:jc w:val="right"/>
              <w:rPr>
                <w:rFonts w:eastAsia="Times New Roman"/>
                <w:sz w:val="22"/>
                <w:szCs w:val="22"/>
              </w:rPr>
            </w:pPr>
            <w:r w:rsidRPr="00FA5595">
              <w:rPr>
                <w:rFonts w:eastAsia="Times New Roman"/>
                <w:sz w:val="22"/>
                <w:szCs w:val="22"/>
              </w:rPr>
              <w:t xml:space="preserve"> 7,372 </w:t>
            </w:r>
          </w:p>
        </w:tc>
        <w:tc>
          <w:tcPr>
            <w:tcW w:w="1206" w:type="dxa"/>
            <w:shd w:val="clear" w:color="auto" w:fill="auto"/>
            <w:noWrap/>
            <w:vAlign w:val="bottom"/>
          </w:tcPr>
          <w:p w14:paraId="2D2B5C71" w14:textId="1DDDFD7E" w:rsidR="00FA5595" w:rsidRPr="00FA5595" w:rsidRDefault="00FA5595" w:rsidP="008B0224">
            <w:pPr>
              <w:jc w:val="right"/>
              <w:rPr>
                <w:rFonts w:eastAsia="Times New Roman"/>
                <w:sz w:val="22"/>
                <w:szCs w:val="22"/>
              </w:rPr>
            </w:pPr>
            <w:r w:rsidRPr="00FA5595">
              <w:rPr>
                <w:rFonts w:eastAsia="Times New Roman"/>
                <w:sz w:val="22"/>
                <w:szCs w:val="22"/>
              </w:rPr>
              <w:t xml:space="preserve"> 52.47 </w:t>
            </w:r>
          </w:p>
        </w:tc>
        <w:tc>
          <w:tcPr>
            <w:tcW w:w="1268" w:type="dxa"/>
            <w:shd w:val="clear" w:color="auto" w:fill="auto"/>
            <w:noWrap/>
            <w:vAlign w:val="bottom"/>
          </w:tcPr>
          <w:p w14:paraId="73861558" w14:textId="42BECC85" w:rsidR="00FA5595" w:rsidRPr="00FA5595" w:rsidRDefault="00FA5595" w:rsidP="008B0224">
            <w:pPr>
              <w:jc w:val="right"/>
              <w:rPr>
                <w:rFonts w:eastAsia="Times New Roman"/>
                <w:sz w:val="22"/>
                <w:szCs w:val="22"/>
              </w:rPr>
            </w:pPr>
            <w:r w:rsidRPr="00FA5595">
              <w:rPr>
                <w:rFonts w:eastAsia="Times New Roman"/>
                <w:sz w:val="22"/>
                <w:szCs w:val="22"/>
              </w:rPr>
              <w:t xml:space="preserve"> 282.1 </w:t>
            </w:r>
          </w:p>
        </w:tc>
        <w:tc>
          <w:tcPr>
            <w:tcW w:w="1235" w:type="dxa"/>
            <w:shd w:val="clear" w:color="auto" w:fill="auto"/>
            <w:noWrap/>
            <w:vAlign w:val="bottom"/>
          </w:tcPr>
          <w:p w14:paraId="79EDB6F1" w14:textId="4E7708C9" w:rsidR="00FA5595" w:rsidRPr="00FA5595" w:rsidRDefault="00FA5595" w:rsidP="008B0224">
            <w:pPr>
              <w:jc w:val="right"/>
              <w:rPr>
                <w:rFonts w:eastAsia="Times New Roman"/>
                <w:sz w:val="22"/>
                <w:szCs w:val="22"/>
              </w:rPr>
            </w:pPr>
            <w:r w:rsidRPr="00FA5595">
              <w:rPr>
                <w:rFonts w:eastAsia="Times New Roman"/>
                <w:sz w:val="22"/>
                <w:szCs w:val="22"/>
              </w:rPr>
              <w:t xml:space="preserve"> 1,338 </w:t>
            </w:r>
          </w:p>
        </w:tc>
      </w:tr>
      <w:tr w:rsidR="00FA5595" w:rsidRPr="00C12768" w14:paraId="4886B0EF" w14:textId="77777777" w:rsidTr="008F1EE3">
        <w:trPr>
          <w:trHeight w:val="288"/>
          <w:jc w:val="center"/>
        </w:trPr>
        <w:tc>
          <w:tcPr>
            <w:tcW w:w="2016" w:type="dxa"/>
            <w:shd w:val="clear" w:color="auto" w:fill="auto"/>
            <w:noWrap/>
            <w:vAlign w:val="bottom"/>
          </w:tcPr>
          <w:p w14:paraId="4C8D5EA2" w14:textId="5538034B" w:rsidR="00FA5595" w:rsidRPr="00C12768" w:rsidRDefault="00FA5595" w:rsidP="008B0224">
            <w:pPr>
              <w:rPr>
                <w:rFonts w:eastAsia="Times New Roman"/>
                <w:i/>
                <w:sz w:val="22"/>
                <w:szCs w:val="22"/>
              </w:rPr>
            </w:pPr>
            <w:r w:rsidRPr="00C12768">
              <w:rPr>
                <w:rFonts w:eastAsia="Times New Roman"/>
                <w:i/>
                <w:sz w:val="22"/>
                <w:szCs w:val="22"/>
              </w:rPr>
              <w:t>CFO</w:t>
            </w:r>
            <w:r w:rsidRPr="00C12768">
              <w:rPr>
                <w:rFonts w:eastAsia="Times New Roman"/>
                <w:i/>
                <w:sz w:val="22"/>
                <w:szCs w:val="22"/>
                <w:vertAlign w:val="subscript"/>
              </w:rPr>
              <w:t>t-1</w:t>
            </w:r>
          </w:p>
        </w:tc>
        <w:tc>
          <w:tcPr>
            <w:tcW w:w="1624" w:type="dxa"/>
            <w:shd w:val="clear" w:color="auto" w:fill="auto"/>
            <w:noWrap/>
            <w:vAlign w:val="bottom"/>
          </w:tcPr>
          <w:p w14:paraId="66745440" w14:textId="50335B5E" w:rsidR="00FA5595" w:rsidRPr="00FA5595" w:rsidRDefault="00FA5595" w:rsidP="008B0224">
            <w:pPr>
              <w:jc w:val="right"/>
              <w:rPr>
                <w:rFonts w:eastAsia="Times New Roman"/>
                <w:sz w:val="22"/>
                <w:szCs w:val="22"/>
              </w:rPr>
            </w:pPr>
            <w:r w:rsidRPr="00FA5595">
              <w:rPr>
                <w:rFonts w:eastAsia="Times New Roman"/>
                <w:sz w:val="22"/>
                <w:szCs w:val="22"/>
              </w:rPr>
              <w:t xml:space="preserve"> 848.2 </w:t>
            </w:r>
          </w:p>
        </w:tc>
        <w:tc>
          <w:tcPr>
            <w:tcW w:w="1206" w:type="dxa"/>
            <w:vAlign w:val="bottom"/>
          </w:tcPr>
          <w:p w14:paraId="17D10E91" w14:textId="3BF3F634" w:rsidR="00FA5595" w:rsidRPr="00FA5595" w:rsidRDefault="00FA5595" w:rsidP="008B0224">
            <w:pPr>
              <w:jc w:val="right"/>
              <w:rPr>
                <w:rFonts w:eastAsia="Times New Roman"/>
                <w:sz w:val="22"/>
                <w:szCs w:val="22"/>
              </w:rPr>
            </w:pPr>
            <w:r w:rsidRPr="00FA5595">
              <w:rPr>
                <w:rFonts w:eastAsia="Times New Roman"/>
                <w:sz w:val="22"/>
                <w:szCs w:val="22"/>
              </w:rPr>
              <w:t xml:space="preserve"> 2,291 </w:t>
            </w:r>
          </w:p>
        </w:tc>
        <w:tc>
          <w:tcPr>
            <w:tcW w:w="1206" w:type="dxa"/>
            <w:shd w:val="clear" w:color="auto" w:fill="auto"/>
            <w:noWrap/>
            <w:vAlign w:val="bottom"/>
          </w:tcPr>
          <w:p w14:paraId="4A28990E" w14:textId="387E7063" w:rsidR="00FA5595" w:rsidRPr="00FA5595" w:rsidRDefault="00FA5595" w:rsidP="008B0224">
            <w:pPr>
              <w:jc w:val="right"/>
              <w:rPr>
                <w:rFonts w:eastAsia="Times New Roman"/>
                <w:sz w:val="22"/>
                <w:szCs w:val="22"/>
              </w:rPr>
            </w:pPr>
            <w:r w:rsidRPr="00FA5595">
              <w:rPr>
                <w:rFonts w:eastAsia="Times New Roman"/>
                <w:sz w:val="22"/>
                <w:szCs w:val="22"/>
              </w:rPr>
              <w:t xml:space="preserve"> 23.91 </w:t>
            </w:r>
          </w:p>
        </w:tc>
        <w:tc>
          <w:tcPr>
            <w:tcW w:w="1268" w:type="dxa"/>
            <w:shd w:val="clear" w:color="auto" w:fill="auto"/>
            <w:noWrap/>
            <w:vAlign w:val="bottom"/>
          </w:tcPr>
          <w:p w14:paraId="128499C3" w14:textId="519AD0FE" w:rsidR="00FA5595" w:rsidRPr="00FA5595" w:rsidRDefault="00FA5595" w:rsidP="008B0224">
            <w:pPr>
              <w:jc w:val="right"/>
              <w:rPr>
                <w:rFonts w:eastAsia="Times New Roman"/>
                <w:sz w:val="22"/>
                <w:szCs w:val="22"/>
              </w:rPr>
            </w:pPr>
            <w:r w:rsidRPr="00FA5595">
              <w:rPr>
                <w:rFonts w:eastAsia="Times New Roman"/>
                <w:sz w:val="22"/>
                <w:szCs w:val="22"/>
              </w:rPr>
              <w:t xml:space="preserve"> 125.2 </w:t>
            </w:r>
          </w:p>
        </w:tc>
        <w:tc>
          <w:tcPr>
            <w:tcW w:w="1235" w:type="dxa"/>
            <w:shd w:val="clear" w:color="auto" w:fill="auto"/>
            <w:noWrap/>
            <w:vAlign w:val="bottom"/>
          </w:tcPr>
          <w:p w14:paraId="040B81FE" w14:textId="1C2C9C65" w:rsidR="00FA5595" w:rsidRPr="00FA5595" w:rsidRDefault="00FA5595" w:rsidP="008B0224">
            <w:pPr>
              <w:jc w:val="right"/>
              <w:rPr>
                <w:rFonts w:eastAsia="Times New Roman"/>
                <w:sz w:val="22"/>
                <w:szCs w:val="22"/>
              </w:rPr>
            </w:pPr>
            <w:r w:rsidRPr="00FA5595">
              <w:rPr>
                <w:rFonts w:eastAsia="Times New Roman"/>
                <w:sz w:val="22"/>
                <w:szCs w:val="22"/>
              </w:rPr>
              <w:t xml:space="preserve"> 526.9 </w:t>
            </w:r>
          </w:p>
        </w:tc>
      </w:tr>
      <w:tr w:rsidR="00FA5595" w:rsidRPr="00C12768" w14:paraId="54715BEA" w14:textId="77777777" w:rsidTr="008F1EE3">
        <w:trPr>
          <w:trHeight w:val="288"/>
          <w:jc w:val="center"/>
        </w:trPr>
        <w:tc>
          <w:tcPr>
            <w:tcW w:w="2016" w:type="dxa"/>
            <w:shd w:val="clear" w:color="auto" w:fill="auto"/>
            <w:noWrap/>
            <w:vAlign w:val="bottom"/>
          </w:tcPr>
          <w:p w14:paraId="723E9B7C" w14:textId="19E2FAC4" w:rsidR="00FA5595" w:rsidRPr="00C12768" w:rsidRDefault="00FA5595" w:rsidP="008B0224">
            <w:pPr>
              <w:rPr>
                <w:rFonts w:eastAsia="Times New Roman"/>
                <w:i/>
                <w:sz w:val="22"/>
                <w:szCs w:val="22"/>
              </w:rPr>
            </w:pPr>
            <w:r>
              <w:rPr>
                <w:rFonts w:eastAsia="Times New Roman"/>
                <w:i/>
                <w:sz w:val="22"/>
                <w:szCs w:val="22"/>
              </w:rPr>
              <w:t>INV1</w:t>
            </w:r>
          </w:p>
        </w:tc>
        <w:tc>
          <w:tcPr>
            <w:tcW w:w="1624" w:type="dxa"/>
            <w:shd w:val="clear" w:color="auto" w:fill="auto"/>
            <w:noWrap/>
            <w:vAlign w:val="bottom"/>
          </w:tcPr>
          <w:p w14:paraId="66DFDC01" w14:textId="0B62580D" w:rsidR="00FA5595" w:rsidRPr="00FA5595" w:rsidRDefault="00FA5595" w:rsidP="008B0224">
            <w:pPr>
              <w:jc w:val="right"/>
              <w:rPr>
                <w:rFonts w:eastAsia="Times New Roman"/>
                <w:sz w:val="22"/>
                <w:szCs w:val="22"/>
              </w:rPr>
            </w:pPr>
            <w:r w:rsidRPr="00FA5595">
              <w:rPr>
                <w:rFonts w:eastAsia="Times New Roman"/>
                <w:color w:val="000000"/>
                <w:sz w:val="22"/>
                <w:szCs w:val="22"/>
              </w:rPr>
              <w:t>0.276</w:t>
            </w:r>
          </w:p>
        </w:tc>
        <w:tc>
          <w:tcPr>
            <w:tcW w:w="1206" w:type="dxa"/>
            <w:vAlign w:val="bottom"/>
          </w:tcPr>
          <w:p w14:paraId="35080B39" w14:textId="4F8A5894" w:rsidR="00FA5595" w:rsidRPr="00FA5595" w:rsidRDefault="00FA5595" w:rsidP="008B0224">
            <w:pPr>
              <w:jc w:val="right"/>
              <w:rPr>
                <w:rFonts w:eastAsia="Times New Roman"/>
                <w:sz w:val="22"/>
                <w:szCs w:val="22"/>
              </w:rPr>
            </w:pPr>
            <w:r w:rsidRPr="00FA5595">
              <w:rPr>
                <w:rFonts w:eastAsia="Times New Roman"/>
                <w:color w:val="000000"/>
                <w:sz w:val="22"/>
                <w:szCs w:val="22"/>
              </w:rPr>
              <w:t>0.275</w:t>
            </w:r>
          </w:p>
        </w:tc>
        <w:tc>
          <w:tcPr>
            <w:tcW w:w="1206" w:type="dxa"/>
            <w:shd w:val="clear" w:color="auto" w:fill="auto"/>
            <w:noWrap/>
            <w:vAlign w:val="bottom"/>
          </w:tcPr>
          <w:p w14:paraId="10A36306" w14:textId="6861F046" w:rsidR="00FA5595" w:rsidRPr="00FA5595" w:rsidRDefault="00FA5595" w:rsidP="008B0224">
            <w:pPr>
              <w:jc w:val="right"/>
              <w:rPr>
                <w:rFonts w:eastAsia="Times New Roman"/>
                <w:sz w:val="22"/>
                <w:szCs w:val="22"/>
              </w:rPr>
            </w:pPr>
            <w:r w:rsidRPr="00FA5595">
              <w:rPr>
                <w:rFonts w:eastAsia="Times New Roman"/>
                <w:color w:val="000000"/>
                <w:sz w:val="22"/>
                <w:szCs w:val="22"/>
              </w:rPr>
              <w:t>0.130</w:t>
            </w:r>
          </w:p>
        </w:tc>
        <w:tc>
          <w:tcPr>
            <w:tcW w:w="1268" w:type="dxa"/>
            <w:shd w:val="clear" w:color="auto" w:fill="auto"/>
            <w:noWrap/>
            <w:vAlign w:val="bottom"/>
          </w:tcPr>
          <w:p w14:paraId="671AA46F" w14:textId="3CED2F9A" w:rsidR="00FA5595" w:rsidRPr="00FA5595" w:rsidRDefault="00FA5595" w:rsidP="008B0224">
            <w:pPr>
              <w:jc w:val="right"/>
              <w:rPr>
                <w:rFonts w:eastAsia="Times New Roman"/>
                <w:sz w:val="22"/>
                <w:szCs w:val="22"/>
              </w:rPr>
            </w:pPr>
            <w:r w:rsidRPr="00FA5595">
              <w:rPr>
                <w:rFonts w:eastAsia="Times New Roman"/>
                <w:color w:val="000000"/>
                <w:sz w:val="22"/>
                <w:szCs w:val="22"/>
              </w:rPr>
              <w:t>0.200</w:t>
            </w:r>
          </w:p>
        </w:tc>
        <w:tc>
          <w:tcPr>
            <w:tcW w:w="1235" w:type="dxa"/>
            <w:shd w:val="clear" w:color="auto" w:fill="auto"/>
            <w:noWrap/>
            <w:vAlign w:val="bottom"/>
          </w:tcPr>
          <w:p w14:paraId="04232C91" w14:textId="4CBDCE70" w:rsidR="00FA5595" w:rsidRPr="00FA5595" w:rsidRDefault="00FA5595" w:rsidP="008B0224">
            <w:pPr>
              <w:jc w:val="right"/>
              <w:rPr>
                <w:rFonts w:eastAsia="Times New Roman"/>
                <w:sz w:val="22"/>
                <w:szCs w:val="22"/>
              </w:rPr>
            </w:pPr>
            <w:r w:rsidRPr="00FA5595">
              <w:rPr>
                <w:rFonts w:eastAsia="Times New Roman"/>
                <w:color w:val="000000"/>
                <w:sz w:val="22"/>
                <w:szCs w:val="22"/>
              </w:rPr>
              <w:t>0.316</w:t>
            </w:r>
          </w:p>
        </w:tc>
      </w:tr>
      <w:tr w:rsidR="00FA5595" w:rsidRPr="00C12768" w14:paraId="58BC9E83" w14:textId="77777777" w:rsidTr="008F1EE3">
        <w:trPr>
          <w:trHeight w:val="288"/>
          <w:jc w:val="center"/>
        </w:trPr>
        <w:tc>
          <w:tcPr>
            <w:tcW w:w="2016" w:type="dxa"/>
            <w:shd w:val="clear" w:color="auto" w:fill="auto"/>
            <w:noWrap/>
            <w:vAlign w:val="bottom"/>
          </w:tcPr>
          <w:p w14:paraId="1BE0046A" w14:textId="1AC98E65" w:rsidR="00FA5595" w:rsidRPr="00C12768" w:rsidRDefault="00FA5595" w:rsidP="008B0224">
            <w:pPr>
              <w:rPr>
                <w:rFonts w:eastAsia="Times New Roman"/>
                <w:i/>
                <w:sz w:val="22"/>
                <w:szCs w:val="22"/>
              </w:rPr>
            </w:pPr>
            <w:r w:rsidRPr="00C12768">
              <w:rPr>
                <w:rFonts w:eastAsia="Times New Roman"/>
                <w:i/>
                <w:sz w:val="22"/>
                <w:szCs w:val="22"/>
              </w:rPr>
              <w:t>INV</w:t>
            </w:r>
            <w:r>
              <w:rPr>
                <w:rFonts w:eastAsia="Times New Roman"/>
                <w:i/>
                <w:sz w:val="22"/>
                <w:szCs w:val="22"/>
              </w:rPr>
              <w:t>2</w:t>
            </w:r>
          </w:p>
        </w:tc>
        <w:tc>
          <w:tcPr>
            <w:tcW w:w="1624" w:type="dxa"/>
            <w:shd w:val="clear" w:color="auto" w:fill="auto"/>
            <w:noWrap/>
            <w:vAlign w:val="bottom"/>
          </w:tcPr>
          <w:p w14:paraId="7C161944" w14:textId="4CE3B45A" w:rsidR="00FA5595" w:rsidRPr="00FA5595" w:rsidRDefault="00FA5595" w:rsidP="008B0224">
            <w:pPr>
              <w:jc w:val="right"/>
              <w:rPr>
                <w:rFonts w:eastAsia="Times New Roman"/>
                <w:sz w:val="22"/>
                <w:szCs w:val="22"/>
              </w:rPr>
            </w:pPr>
            <w:r w:rsidRPr="00FA5595">
              <w:rPr>
                <w:rFonts w:eastAsia="Times New Roman"/>
                <w:color w:val="000000"/>
                <w:sz w:val="22"/>
                <w:szCs w:val="22"/>
              </w:rPr>
              <w:t>0.0</w:t>
            </w:r>
            <w:r w:rsidR="00A9124E">
              <w:rPr>
                <w:rFonts w:eastAsia="Times New Roman"/>
                <w:color w:val="000000"/>
                <w:sz w:val="22"/>
                <w:szCs w:val="22"/>
              </w:rPr>
              <w:t>30</w:t>
            </w:r>
          </w:p>
        </w:tc>
        <w:tc>
          <w:tcPr>
            <w:tcW w:w="1206" w:type="dxa"/>
            <w:vAlign w:val="bottom"/>
          </w:tcPr>
          <w:p w14:paraId="76D43FD5" w14:textId="568AC579" w:rsidR="00FA5595" w:rsidRPr="00FA5595" w:rsidRDefault="00FA5595" w:rsidP="008B0224">
            <w:pPr>
              <w:jc w:val="right"/>
              <w:rPr>
                <w:rFonts w:eastAsia="Times New Roman"/>
                <w:sz w:val="22"/>
                <w:szCs w:val="22"/>
              </w:rPr>
            </w:pPr>
            <w:r w:rsidRPr="00FA5595">
              <w:rPr>
                <w:rFonts w:eastAsia="Times New Roman"/>
                <w:color w:val="000000"/>
                <w:sz w:val="22"/>
                <w:szCs w:val="22"/>
              </w:rPr>
              <w:t>0.</w:t>
            </w:r>
            <w:r w:rsidR="00A9124E">
              <w:rPr>
                <w:rFonts w:eastAsia="Times New Roman"/>
                <w:color w:val="000000"/>
                <w:sz w:val="22"/>
                <w:szCs w:val="22"/>
              </w:rPr>
              <w:t>086</w:t>
            </w:r>
          </w:p>
        </w:tc>
        <w:tc>
          <w:tcPr>
            <w:tcW w:w="1206" w:type="dxa"/>
            <w:shd w:val="clear" w:color="auto" w:fill="auto"/>
            <w:noWrap/>
            <w:vAlign w:val="bottom"/>
          </w:tcPr>
          <w:p w14:paraId="47A1D194" w14:textId="24C69890" w:rsidR="00FA5595" w:rsidRPr="00FA5595" w:rsidRDefault="00A9124E" w:rsidP="008B0224">
            <w:pPr>
              <w:jc w:val="right"/>
              <w:rPr>
                <w:rFonts w:eastAsia="Times New Roman"/>
                <w:sz w:val="22"/>
                <w:szCs w:val="22"/>
              </w:rPr>
            </w:pPr>
            <w:r>
              <w:rPr>
                <w:rFonts w:eastAsia="Times New Roman"/>
                <w:color w:val="000000"/>
                <w:sz w:val="22"/>
                <w:szCs w:val="22"/>
              </w:rPr>
              <w:t>-0.004</w:t>
            </w:r>
          </w:p>
        </w:tc>
        <w:tc>
          <w:tcPr>
            <w:tcW w:w="1268" w:type="dxa"/>
            <w:shd w:val="clear" w:color="auto" w:fill="auto"/>
            <w:noWrap/>
            <w:vAlign w:val="bottom"/>
          </w:tcPr>
          <w:p w14:paraId="25F1F6B4" w14:textId="71D78B79" w:rsidR="00FA5595" w:rsidRPr="00FA5595" w:rsidRDefault="00A9124E" w:rsidP="008B0224">
            <w:pPr>
              <w:jc w:val="right"/>
              <w:rPr>
                <w:rFonts w:eastAsia="Times New Roman"/>
                <w:sz w:val="22"/>
                <w:szCs w:val="22"/>
              </w:rPr>
            </w:pPr>
            <w:r>
              <w:rPr>
                <w:rFonts w:eastAsia="Times New Roman"/>
                <w:color w:val="000000"/>
                <w:sz w:val="22"/>
                <w:szCs w:val="22"/>
              </w:rPr>
              <w:t>0.019</w:t>
            </w:r>
          </w:p>
        </w:tc>
        <w:tc>
          <w:tcPr>
            <w:tcW w:w="1235" w:type="dxa"/>
            <w:shd w:val="clear" w:color="auto" w:fill="auto"/>
            <w:noWrap/>
            <w:vAlign w:val="bottom"/>
          </w:tcPr>
          <w:p w14:paraId="4E922C5C" w14:textId="750EA5E0" w:rsidR="00FA5595" w:rsidRPr="00FA5595" w:rsidRDefault="00A9124E" w:rsidP="008B0224">
            <w:pPr>
              <w:jc w:val="right"/>
              <w:rPr>
                <w:rFonts w:eastAsia="Times New Roman"/>
                <w:sz w:val="22"/>
                <w:szCs w:val="22"/>
              </w:rPr>
            </w:pPr>
            <w:r>
              <w:rPr>
                <w:rFonts w:eastAsia="Times New Roman"/>
                <w:color w:val="000000"/>
                <w:sz w:val="22"/>
                <w:szCs w:val="22"/>
              </w:rPr>
              <w:t>0.059</w:t>
            </w:r>
          </w:p>
        </w:tc>
      </w:tr>
      <w:tr w:rsidR="00FA5595" w:rsidRPr="00C12768" w14:paraId="53EFFE65" w14:textId="77777777" w:rsidTr="008F1EE3">
        <w:trPr>
          <w:trHeight w:val="288"/>
          <w:jc w:val="center"/>
        </w:trPr>
        <w:tc>
          <w:tcPr>
            <w:tcW w:w="2016" w:type="dxa"/>
            <w:shd w:val="clear" w:color="auto" w:fill="auto"/>
            <w:noWrap/>
            <w:vAlign w:val="bottom"/>
            <w:hideMark/>
          </w:tcPr>
          <w:p w14:paraId="76063314" w14:textId="76A05272" w:rsidR="00FA5595" w:rsidRPr="00C12768" w:rsidRDefault="00FA5595" w:rsidP="008F1EE3">
            <w:pPr>
              <w:rPr>
                <w:rFonts w:eastAsia="Times New Roman"/>
                <w:i/>
                <w:sz w:val="22"/>
                <w:szCs w:val="22"/>
              </w:rPr>
            </w:pPr>
            <w:r>
              <w:rPr>
                <w:rFonts w:eastAsia="Times New Roman"/>
                <w:i/>
                <w:sz w:val="22"/>
                <w:szCs w:val="22"/>
              </w:rPr>
              <w:t>Q</w:t>
            </w:r>
            <w:r w:rsidRPr="00215FF3">
              <w:rPr>
                <w:rFonts w:eastAsia="Times New Roman"/>
                <w:i/>
                <w:sz w:val="22"/>
                <w:szCs w:val="22"/>
                <w:vertAlign w:val="subscript"/>
              </w:rPr>
              <w:t>t</w:t>
            </w:r>
            <w:r>
              <w:rPr>
                <w:rFonts w:eastAsia="Times New Roman"/>
                <w:i/>
                <w:sz w:val="22"/>
                <w:szCs w:val="22"/>
                <w:vertAlign w:val="subscript"/>
              </w:rPr>
              <w:t>-1</w:t>
            </w:r>
          </w:p>
        </w:tc>
        <w:tc>
          <w:tcPr>
            <w:tcW w:w="1624" w:type="dxa"/>
            <w:shd w:val="clear" w:color="auto" w:fill="auto"/>
            <w:noWrap/>
            <w:vAlign w:val="bottom"/>
            <w:hideMark/>
          </w:tcPr>
          <w:p w14:paraId="66E27934" w14:textId="69052C2A" w:rsidR="00FA5595" w:rsidRPr="00FA5595" w:rsidRDefault="00FA5595" w:rsidP="008F1EE3">
            <w:pPr>
              <w:jc w:val="right"/>
              <w:rPr>
                <w:rFonts w:eastAsia="Times New Roman"/>
                <w:sz w:val="22"/>
                <w:szCs w:val="22"/>
              </w:rPr>
            </w:pPr>
            <w:r w:rsidRPr="00FA5595">
              <w:rPr>
                <w:rFonts w:eastAsia="Times New Roman"/>
                <w:color w:val="000000"/>
                <w:sz w:val="22"/>
                <w:szCs w:val="22"/>
              </w:rPr>
              <w:t>1.628</w:t>
            </w:r>
          </w:p>
        </w:tc>
        <w:tc>
          <w:tcPr>
            <w:tcW w:w="1206" w:type="dxa"/>
            <w:vAlign w:val="bottom"/>
          </w:tcPr>
          <w:p w14:paraId="1950B24F" w14:textId="666FC6D3" w:rsidR="00FA5595" w:rsidRPr="00FA5595" w:rsidRDefault="00FA5595" w:rsidP="008F1EE3">
            <w:pPr>
              <w:jc w:val="right"/>
              <w:rPr>
                <w:rFonts w:eastAsia="Times New Roman"/>
                <w:sz w:val="22"/>
                <w:szCs w:val="22"/>
              </w:rPr>
            </w:pPr>
            <w:r w:rsidRPr="00FA5595">
              <w:rPr>
                <w:rFonts w:eastAsia="Times New Roman"/>
                <w:color w:val="000000"/>
                <w:sz w:val="22"/>
                <w:szCs w:val="22"/>
              </w:rPr>
              <w:t>0.917</w:t>
            </w:r>
          </w:p>
        </w:tc>
        <w:tc>
          <w:tcPr>
            <w:tcW w:w="1206" w:type="dxa"/>
            <w:shd w:val="clear" w:color="auto" w:fill="auto"/>
            <w:noWrap/>
            <w:vAlign w:val="bottom"/>
            <w:hideMark/>
          </w:tcPr>
          <w:p w14:paraId="47D54230" w14:textId="44CAB61F" w:rsidR="00FA5595" w:rsidRPr="00FA5595" w:rsidRDefault="00FA5595" w:rsidP="008F1EE3">
            <w:pPr>
              <w:jc w:val="right"/>
              <w:rPr>
                <w:rFonts w:eastAsia="Times New Roman"/>
                <w:sz w:val="22"/>
                <w:szCs w:val="22"/>
              </w:rPr>
            </w:pPr>
            <w:r w:rsidRPr="00FA5595">
              <w:rPr>
                <w:rFonts w:eastAsia="Times New Roman"/>
                <w:color w:val="000000"/>
                <w:sz w:val="22"/>
                <w:szCs w:val="22"/>
              </w:rPr>
              <w:t>1.064</w:t>
            </w:r>
          </w:p>
        </w:tc>
        <w:tc>
          <w:tcPr>
            <w:tcW w:w="1268" w:type="dxa"/>
            <w:shd w:val="clear" w:color="auto" w:fill="auto"/>
            <w:noWrap/>
            <w:vAlign w:val="bottom"/>
            <w:hideMark/>
          </w:tcPr>
          <w:p w14:paraId="5B58FBD6" w14:textId="7ECF9FFC" w:rsidR="00FA5595" w:rsidRPr="00FA5595" w:rsidRDefault="00FA5595" w:rsidP="008F1EE3">
            <w:pPr>
              <w:jc w:val="right"/>
              <w:rPr>
                <w:rFonts w:eastAsia="Times New Roman"/>
                <w:sz w:val="22"/>
                <w:szCs w:val="22"/>
              </w:rPr>
            </w:pPr>
            <w:r w:rsidRPr="00FA5595">
              <w:rPr>
                <w:rFonts w:eastAsia="Times New Roman"/>
                <w:color w:val="000000"/>
                <w:sz w:val="22"/>
                <w:szCs w:val="22"/>
              </w:rPr>
              <w:t>1.344</w:t>
            </w:r>
          </w:p>
        </w:tc>
        <w:tc>
          <w:tcPr>
            <w:tcW w:w="1235" w:type="dxa"/>
            <w:shd w:val="clear" w:color="auto" w:fill="auto"/>
            <w:noWrap/>
            <w:vAlign w:val="bottom"/>
            <w:hideMark/>
          </w:tcPr>
          <w:p w14:paraId="7FC216C2" w14:textId="7F43ED75" w:rsidR="00FA5595" w:rsidRPr="00FA5595" w:rsidRDefault="00FA5595" w:rsidP="008F1EE3">
            <w:pPr>
              <w:jc w:val="right"/>
              <w:rPr>
                <w:rFonts w:eastAsia="Times New Roman"/>
                <w:sz w:val="22"/>
                <w:szCs w:val="22"/>
              </w:rPr>
            </w:pPr>
            <w:r w:rsidRPr="00FA5595">
              <w:rPr>
                <w:rFonts w:eastAsia="Times New Roman"/>
                <w:color w:val="000000"/>
                <w:sz w:val="22"/>
                <w:szCs w:val="22"/>
              </w:rPr>
              <w:t>1.840</w:t>
            </w:r>
          </w:p>
        </w:tc>
      </w:tr>
      <w:tr w:rsidR="00FA5595" w:rsidRPr="00C12768" w14:paraId="447229BF" w14:textId="77777777" w:rsidTr="008F1EE3">
        <w:trPr>
          <w:trHeight w:val="288"/>
          <w:jc w:val="center"/>
        </w:trPr>
        <w:tc>
          <w:tcPr>
            <w:tcW w:w="2016" w:type="dxa"/>
            <w:shd w:val="clear" w:color="auto" w:fill="auto"/>
            <w:noWrap/>
            <w:vAlign w:val="bottom"/>
            <w:hideMark/>
          </w:tcPr>
          <w:p w14:paraId="5719E04E" w14:textId="15227410" w:rsidR="00FA5595" w:rsidRPr="00C12768" w:rsidRDefault="00FA5595" w:rsidP="008B0224">
            <w:pPr>
              <w:rPr>
                <w:rFonts w:eastAsia="Times New Roman"/>
                <w:i/>
                <w:sz w:val="22"/>
                <w:szCs w:val="22"/>
              </w:rPr>
            </w:pPr>
            <w:r>
              <w:rPr>
                <w:rFonts w:eastAsia="Times New Roman"/>
                <w:i/>
                <w:sz w:val="22"/>
                <w:szCs w:val="22"/>
              </w:rPr>
              <w:t>Mean</w:t>
            </w:r>
            <w:r w:rsidRPr="00C12768">
              <w:rPr>
                <w:rFonts w:eastAsia="Times New Roman"/>
                <w:i/>
                <w:sz w:val="22"/>
                <w:szCs w:val="22"/>
              </w:rPr>
              <w:t>Q</w:t>
            </w:r>
            <w:r w:rsidRPr="00C12768">
              <w:rPr>
                <w:rFonts w:eastAsia="Times New Roman"/>
                <w:i/>
                <w:sz w:val="22"/>
                <w:szCs w:val="22"/>
                <w:vertAlign w:val="subscript"/>
              </w:rPr>
              <w:t>t</w:t>
            </w:r>
            <w:r>
              <w:rPr>
                <w:rFonts w:eastAsia="Times New Roman"/>
                <w:i/>
                <w:sz w:val="22"/>
                <w:szCs w:val="22"/>
                <w:vertAlign w:val="subscript"/>
              </w:rPr>
              <w:t>-1</w:t>
            </w:r>
          </w:p>
        </w:tc>
        <w:tc>
          <w:tcPr>
            <w:tcW w:w="1624" w:type="dxa"/>
            <w:shd w:val="clear" w:color="auto" w:fill="auto"/>
            <w:noWrap/>
            <w:vAlign w:val="bottom"/>
            <w:hideMark/>
          </w:tcPr>
          <w:p w14:paraId="16BEEC93" w14:textId="623374B5" w:rsidR="00FA5595" w:rsidRPr="00FA5595" w:rsidRDefault="00FA5595" w:rsidP="008B0224">
            <w:pPr>
              <w:jc w:val="right"/>
              <w:rPr>
                <w:rFonts w:eastAsia="Times New Roman"/>
                <w:sz w:val="22"/>
                <w:szCs w:val="22"/>
              </w:rPr>
            </w:pPr>
            <w:r w:rsidRPr="00FA5595">
              <w:rPr>
                <w:rFonts w:eastAsia="Times New Roman"/>
                <w:color w:val="000000"/>
                <w:sz w:val="22"/>
                <w:szCs w:val="22"/>
              </w:rPr>
              <w:t>1.639</w:t>
            </w:r>
          </w:p>
        </w:tc>
        <w:tc>
          <w:tcPr>
            <w:tcW w:w="1206" w:type="dxa"/>
            <w:vAlign w:val="bottom"/>
          </w:tcPr>
          <w:p w14:paraId="35868DE2" w14:textId="0C8C0C2B" w:rsidR="00FA5595" w:rsidRPr="00FA5595" w:rsidRDefault="00FA5595" w:rsidP="008B0224">
            <w:pPr>
              <w:jc w:val="right"/>
              <w:rPr>
                <w:rFonts w:eastAsia="Times New Roman"/>
                <w:sz w:val="22"/>
                <w:szCs w:val="22"/>
              </w:rPr>
            </w:pPr>
            <w:r w:rsidRPr="00FA5595">
              <w:rPr>
                <w:rFonts w:eastAsia="Times New Roman"/>
                <w:color w:val="000000"/>
                <w:sz w:val="22"/>
                <w:szCs w:val="22"/>
              </w:rPr>
              <w:t>0.504</w:t>
            </w:r>
          </w:p>
        </w:tc>
        <w:tc>
          <w:tcPr>
            <w:tcW w:w="1206" w:type="dxa"/>
            <w:shd w:val="clear" w:color="auto" w:fill="auto"/>
            <w:noWrap/>
            <w:vAlign w:val="bottom"/>
            <w:hideMark/>
          </w:tcPr>
          <w:p w14:paraId="05FDDFB6" w14:textId="7B03F15F" w:rsidR="00FA5595" w:rsidRPr="00FA5595" w:rsidRDefault="00FA5595" w:rsidP="008B0224">
            <w:pPr>
              <w:jc w:val="right"/>
              <w:rPr>
                <w:rFonts w:eastAsia="Times New Roman"/>
                <w:sz w:val="22"/>
                <w:szCs w:val="22"/>
              </w:rPr>
            </w:pPr>
            <w:r w:rsidRPr="00FA5595">
              <w:rPr>
                <w:rFonts w:eastAsia="Times New Roman"/>
                <w:color w:val="000000"/>
                <w:sz w:val="22"/>
                <w:szCs w:val="22"/>
              </w:rPr>
              <w:t>1.266</w:t>
            </w:r>
          </w:p>
        </w:tc>
        <w:tc>
          <w:tcPr>
            <w:tcW w:w="1268" w:type="dxa"/>
            <w:shd w:val="clear" w:color="auto" w:fill="auto"/>
            <w:noWrap/>
            <w:vAlign w:val="bottom"/>
            <w:hideMark/>
          </w:tcPr>
          <w:p w14:paraId="777BFCF7" w14:textId="4CFA433A" w:rsidR="00FA5595" w:rsidRPr="00FA5595" w:rsidRDefault="00FA5595" w:rsidP="008B0224">
            <w:pPr>
              <w:jc w:val="right"/>
              <w:rPr>
                <w:rFonts w:eastAsia="Times New Roman"/>
                <w:sz w:val="22"/>
                <w:szCs w:val="22"/>
              </w:rPr>
            </w:pPr>
            <w:r w:rsidRPr="00FA5595">
              <w:rPr>
                <w:rFonts w:eastAsia="Times New Roman"/>
                <w:color w:val="000000"/>
                <w:sz w:val="22"/>
                <w:szCs w:val="22"/>
              </w:rPr>
              <w:t>1.539</w:t>
            </w:r>
          </w:p>
        </w:tc>
        <w:tc>
          <w:tcPr>
            <w:tcW w:w="1235" w:type="dxa"/>
            <w:shd w:val="clear" w:color="auto" w:fill="auto"/>
            <w:noWrap/>
            <w:vAlign w:val="bottom"/>
            <w:hideMark/>
          </w:tcPr>
          <w:p w14:paraId="6AA4843E" w14:textId="566E8E10" w:rsidR="00FA5595" w:rsidRPr="00FA5595" w:rsidRDefault="00FA5595" w:rsidP="008B0224">
            <w:pPr>
              <w:jc w:val="right"/>
              <w:rPr>
                <w:rFonts w:eastAsia="Times New Roman"/>
                <w:sz w:val="22"/>
                <w:szCs w:val="22"/>
              </w:rPr>
            </w:pPr>
            <w:r w:rsidRPr="00FA5595">
              <w:rPr>
                <w:rFonts w:eastAsia="Times New Roman"/>
                <w:color w:val="000000"/>
                <w:sz w:val="22"/>
                <w:szCs w:val="22"/>
              </w:rPr>
              <w:t>1.894</w:t>
            </w:r>
          </w:p>
        </w:tc>
      </w:tr>
      <w:tr w:rsidR="00FA5595" w:rsidRPr="00C12768" w14:paraId="46859632" w14:textId="77777777" w:rsidTr="008F1EE3">
        <w:trPr>
          <w:trHeight w:val="288"/>
          <w:jc w:val="center"/>
        </w:trPr>
        <w:tc>
          <w:tcPr>
            <w:tcW w:w="2016" w:type="dxa"/>
            <w:shd w:val="clear" w:color="auto" w:fill="auto"/>
            <w:noWrap/>
            <w:vAlign w:val="bottom"/>
            <w:hideMark/>
          </w:tcPr>
          <w:p w14:paraId="6AB85B73" w14:textId="65CB44A1" w:rsidR="00FA5595" w:rsidRPr="00C12768" w:rsidRDefault="00FA5595" w:rsidP="008B0224">
            <w:pPr>
              <w:rPr>
                <w:rFonts w:eastAsia="Times New Roman"/>
                <w:i/>
                <w:sz w:val="22"/>
                <w:szCs w:val="22"/>
              </w:rPr>
            </w:pPr>
            <w:r>
              <w:rPr>
                <w:rFonts w:eastAsia="Times New Roman"/>
                <w:i/>
                <w:sz w:val="22"/>
                <w:szCs w:val="22"/>
              </w:rPr>
              <w:t>Med</w:t>
            </w:r>
            <w:r w:rsidRPr="00C12768">
              <w:rPr>
                <w:rFonts w:eastAsia="Times New Roman"/>
                <w:i/>
                <w:sz w:val="22"/>
                <w:szCs w:val="22"/>
              </w:rPr>
              <w:t>Q</w:t>
            </w:r>
            <w:r w:rsidRPr="00C12768">
              <w:rPr>
                <w:rFonts w:eastAsia="Times New Roman"/>
                <w:i/>
                <w:sz w:val="22"/>
                <w:szCs w:val="22"/>
                <w:vertAlign w:val="subscript"/>
              </w:rPr>
              <w:t>t-1</w:t>
            </w:r>
          </w:p>
        </w:tc>
        <w:tc>
          <w:tcPr>
            <w:tcW w:w="1624" w:type="dxa"/>
            <w:shd w:val="clear" w:color="auto" w:fill="auto"/>
            <w:noWrap/>
            <w:vAlign w:val="bottom"/>
            <w:hideMark/>
          </w:tcPr>
          <w:p w14:paraId="3D994D87" w14:textId="245EEECB" w:rsidR="00FA5595" w:rsidRPr="00FA5595" w:rsidRDefault="00FA5595" w:rsidP="008B0224">
            <w:pPr>
              <w:jc w:val="right"/>
              <w:rPr>
                <w:rFonts w:eastAsia="Times New Roman"/>
                <w:sz w:val="22"/>
                <w:szCs w:val="22"/>
              </w:rPr>
            </w:pPr>
            <w:r w:rsidRPr="00FA5595">
              <w:rPr>
                <w:rFonts w:eastAsia="Times New Roman"/>
                <w:color w:val="000000"/>
                <w:sz w:val="22"/>
                <w:szCs w:val="22"/>
              </w:rPr>
              <w:t>1.443</w:t>
            </w:r>
          </w:p>
        </w:tc>
        <w:tc>
          <w:tcPr>
            <w:tcW w:w="1206" w:type="dxa"/>
            <w:vAlign w:val="bottom"/>
          </w:tcPr>
          <w:p w14:paraId="3D400C75" w14:textId="1A4FF293" w:rsidR="00FA5595" w:rsidRPr="00FA5595" w:rsidRDefault="00FA5595" w:rsidP="008B0224">
            <w:pPr>
              <w:jc w:val="right"/>
              <w:rPr>
                <w:rFonts w:eastAsia="Times New Roman"/>
                <w:sz w:val="22"/>
                <w:szCs w:val="22"/>
              </w:rPr>
            </w:pPr>
            <w:r w:rsidRPr="00FA5595">
              <w:rPr>
                <w:rFonts w:eastAsia="Times New Roman"/>
                <w:color w:val="000000"/>
                <w:sz w:val="22"/>
                <w:szCs w:val="22"/>
              </w:rPr>
              <w:t>0.420</w:t>
            </w:r>
          </w:p>
        </w:tc>
        <w:tc>
          <w:tcPr>
            <w:tcW w:w="1206" w:type="dxa"/>
            <w:shd w:val="clear" w:color="auto" w:fill="auto"/>
            <w:noWrap/>
            <w:vAlign w:val="bottom"/>
            <w:hideMark/>
          </w:tcPr>
          <w:p w14:paraId="5D2ACB3B" w14:textId="5D5260D4" w:rsidR="00FA5595" w:rsidRPr="00FA5595" w:rsidRDefault="00FA5595" w:rsidP="008B0224">
            <w:pPr>
              <w:jc w:val="right"/>
              <w:rPr>
                <w:rFonts w:eastAsia="Times New Roman"/>
                <w:sz w:val="22"/>
                <w:szCs w:val="22"/>
              </w:rPr>
            </w:pPr>
            <w:r w:rsidRPr="00FA5595">
              <w:rPr>
                <w:rFonts w:eastAsia="Times New Roman"/>
                <w:color w:val="000000"/>
                <w:sz w:val="22"/>
                <w:szCs w:val="22"/>
              </w:rPr>
              <w:t>1.137</w:t>
            </w:r>
          </w:p>
        </w:tc>
        <w:tc>
          <w:tcPr>
            <w:tcW w:w="1268" w:type="dxa"/>
            <w:shd w:val="clear" w:color="auto" w:fill="auto"/>
            <w:noWrap/>
            <w:vAlign w:val="bottom"/>
            <w:hideMark/>
          </w:tcPr>
          <w:p w14:paraId="4DC37165" w14:textId="51D178CE" w:rsidR="00FA5595" w:rsidRPr="00FA5595" w:rsidRDefault="00FA5595" w:rsidP="008B0224">
            <w:pPr>
              <w:jc w:val="right"/>
              <w:rPr>
                <w:rFonts w:eastAsia="Times New Roman"/>
                <w:sz w:val="22"/>
                <w:szCs w:val="22"/>
              </w:rPr>
            </w:pPr>
            <w:r w:rsidRPr="00FA5595">
              <w:rPr>
                <w:rFonts w:eastAsia="Times New Roman"/>
                <w:color w:val="000000"/>
                <w:sz w:val="22"/>
                <w:szCs w:val="22"/>
              </w:rPr>
              <w:t>1.351</w:t>
            </w:r>
          </w:p>
        </w:tc>
        <w:tc>
          <w:tcPr>
            <w:tcW w:w="1235" w:type="dxa"/>
            <w:shd w:val="clear" w:color="auto" w:fill="auto"/>
            <w:noWrap/>
            <w:vAlign w:val="bottom"/>
            <w:hideMark/>
          </w:tcPr>
          <w:p w14:paraId="5DE21D29" w14:textId="646497A0" w:rsidR="00FA5595" w:rsidRPr="00FA5595" w:rsidRDefault="00FA5595" w:rsidP="008B0224">
            <w:pPr>
              <w:jc w:val="right"/>
              <w:rPr>
                <w:rFonts w:eastAsia="Times New Roman"/>
                <w:sz w:val="22"/>
                <w:szCs w:val="22"/>
              </w:rPr>
            </w:pPr>
            <w:r w:rsidRPr="00FA5595">
              <w:rPr>
                <w:rFonts w:eastAsia="Times New Roman"/>
                <w:color w:val="000000"/>
                <w:sz w:val="22"/>
                <w:szCs w:val="22"/>
              </w:rPr>
              <w:t>1.650</w:t>
            </w:r>
          </w:p>
        </w:tc>
      </w:tr>
      <w:tr w:rsidR="00FA5595" w:rsidRPr="00C12768" w14:paraId="6898B1FC" w14:textId="77777777" w:rsidTr="008F1EE3">
        <w:trPr>
          <w:trHeight w:val="288"/>
          <w:jc w:val="center"/>
        </w:trPr>
        <w:tc>
          <w:tcPr>
            <w:tcW w:w="2016" w:type="dxa"/>
            <w:shd w:val="clear" w:color="auto" w:fill="auto"/>
            <w:noWrap/>
            <w:vAlign w:val="bottom"/>
            <w:hideMark/>
          </w:tcPr>
          <w:p w14:paraId="0DDFD003" w14:textId="0D1A8A46" w:rsidR="00FA5595" w:rsidRPr="00C12768" w:rsidRDefault="00FA5595" w:rsidP="008B0224">
            <w:pPr>
              <w:rPr>
                <w:rFonts w:eastAsia="Times New Roman"/>
                <w:i/>
                <w:sz w:val="22"/>
                <w:szCs w:val="22"/>
              </w:rPr>
            </w:pPr>
            <w:r>
              <w:rPr>
                <w:rFonts w:eastAsia="Times New Roman"/>
                <w:i/>
                <w:sz w:val="22"/>
                <w:szCs w:val="22"/>
              </w:rPr>
              <w:t>MedPE</w:t>
            </w:r>
            <w:r w:rsidRPr="00C12768">
              <w:rPr>
                <w:rFonts w:eastAsia="Times New Roman"/>
                <w:i/>
                <w:sz w:val="22"/>
                <w:szCs w:val="22"/>
                <w:vertAlign w:val="subscript"/>
              </w:rPr>
              <w:t>t-1</w:t>
            </w:r>
          </w:p>
        </w:tc>
        <w:tc>
          <w:tcPr>
            <w:tcW w:w="1624" w:type="dxa"/>
            <w:shd w:val="clear" w:color="auto" w:fill="auto"/>
            <w:noWrap/>
            <w:vAlign w:val="bottom"/>
            <w:hideMark/>
          </w:tcPr>
          <w:p w14:paraId="5E3BC061" w14:textId="33F74ABE" w:rsidR="00FA5595" w:rsidRPr="00FA5595" w:rsidRDefault="00FA5595" w:rsidP="008B0224">
            <w:pPr>
              <w:jc w:val="right"/>
              <w:rPr>
                <w:rFonts w:eastAsia="Times New Roman"/>
                <w:sz w:val="22"/>
                <w:szCs w:val="22"/>
              </w:rPr>
            </w:pPr>
            <w:r w:rsidRPr="00FA5595">
              <w:rPr>
                <w:rFonts w:eastAsia="Times New Roman"/>
                <w:color w:val="000000"/>
                <w:sz w:val="22"/>
                <w:szCs w:val="22"/>
              </w:rPr>
              <w:t>19.58</w:t>
            </w:r>
          </w:p>
        </w:tc>
        <w:tc>
          <w:tcPr>
            <w:tcW w:w="1206" w:type="dxa"/>
            <w:vAlign w:val="bottom"/>
          </w:tcPr>
          <w:p w14:paraId="35503968" w14:textId="2C005AD0" w:rsidR="00FA5595" w:rsidRPr="00FA5595" w:rsidRDefault="00FA5595" w:rsidP="008B0224">
            <w:pPr>
              <w:jc w:val="right"/>
              <w:rPr>
                <w:rFonts w:eastAsia="Times New Roman"/>
                <w:sz w:val="22"/>
                <w:szCs w:val="22"/>
              </w:rPr>
            </w:pPr>
            <w:r w:rsidRPr="00FA5595">
              <w:rPr>
                <w:rFonts w:eastAsia="Times New Roman"/>
                <w:color w:val="000000"/>
                <w:sz w:val="22"/>
                <w:szCs w:val="22"/>
              </w:rPr>
              <w:t>14.77</w:t>
            </w:r>
          </w:p>
        </w:tc>
        <w:tc>
          <w:tcPr>
            <w:tcW w:w="1206" w:type="dxa"/>
            <w:shd w:val="clear" w:color="auto" w:fill="auto"/>
            <w:noWrap/>
            <w:vAlign w:val="bottom"/>
            <w:hideMark/>
          </w:tcPr>
          <w:p w14:paraId="61B72166" w14:textId="74ADFD53" w:rsidR="00FA5595" w:rsidRPr="00FA5595" w:rsidRDefault="00FA5595" w:rsidP="008B0224">
            <w:pPr>
              <w:jc w:val="right"/>
              <w:rPr>
                <w:rFonts w:eastAsia="Times New Roman"/>
                <w:sz w:val="22"/>
                <w:szCs w:val="22"/>
              </w:rPr>
            </w:pPr>
            <w:r w:rsidRPr="00FA5595">
              <w:rPr>
                <w:rFonts w:eastAsia="Times New Roman"/>
                <w:color w:val="000000"/>
                <w:sz w:val="22"/>
                <w:szCs w:val="22"/>
              </w:rPr>
              <w:t>12.23</w:t>
            </w:r>
          </w:p>
        </w:tc>
        <w:tc>
          <w:tcPr>
            <w:tcW w:w="1268" w:type="dxa"/>
            <w:shd w:val="clear" w:color="auto" w:fill="auto"/>
            <w:noWrap/>
            <w:vAlign w:val="bottom"/>
            <w:hideMark/>
          </w:tcPr>
          <w:p w14:paraId="49891EFF" w14:textId="0B09C481" w:rsidR="00FA5595" w:rsidRPr="00FA5595" w:rsidRDefault="00FA5595" w:rsidP="008B0224">
            <w:pPr>
              <w:jc w:val="right"/>
              <w:rPr>
                <w:rFonts w:eastAsia="Times New Roman"/>
                <w:sz w:val="22"/>
                <w:szCs w:val="22"/>
              </w:rPr>
            </w:pPr>
            <w:r w:rsidRPr="00FA5595">
              <w:rPr>
                <w:rFonts w:eastAsia="Times New Roman"/>
                <w:color w:val="000000"/>
                <w:sz w:val="22"/>
                <w:szCs w:val="22"/>
              </w:rPr>
              <w:t>16.77</w:t>
            </w:r>
          </w:p>
        </w:tc>
        <w:tc>
          <w:tcPr>
            <w:tcW w:w="1235" w:type="dxa"/>
            <w:shd w:val="clear" w:color="auto" w:fill="auto"/>
            <w:noWrap/>
            <w:vAlign w:val="bottom"/>
            <w:hideMark/>
          </w:tcPr>
          <w:p w14:paraId="2C76E76B" w14:textId="54963867" w:rsidR="00FA5595" w:rsidRPr="00FA5595" w:rsidRDefault="00FA5595" w:rsidP="008B0224">
            <w:pPr>
              <w:jc w:val="right"/>
              <w:rPr>
                <w:rFonts w:eastAsia="Times New Roman"/>
                <w:sz w:val="22"/>
                <w:szCs w:val="22"/>
              </w:rPr>
            </w:pPr>
            <w:r w:rsidRPr="00FA5595">
              <w:rPr>
                <w:rFonts w:eastAsia="Times New Roman"/>
                <w:color w:val="000000"/>
                <w:sz w:val="22"/>
                <w:szCs w:val="22"/>
              </w:rPr>
              <w:t>22.14</w:t>
            </w:r>
          </w:p>
        </w:tc>
      </w:tr>
      <w:tr w:rsidR="00FA5595" w:rsidRPr="00C12768" w14:paraId="013C6FAF" w14:textId="77777777" w:rsidTr="008F1EE3">
        <w:trPr>
          <w:trHeight w:val="288"/>
          <w:jc w:val="center"/>
        </w:trPr>
        <w:tc>
          <w:tcPr>
            <w:tcW w:w="2016" w:type="dxa"/>
            <w:shd w:val="clear" w:color="auto" w:fill="auto"/>
            <w:noWrap/>
            <w:vAlign w:val="bottom"/>
            <w:hideMark/>
          </w:tcPr>
          <w:p w14:paraId="08F9416E" w14:textId="7564238F" w:rsidR="00FA5595" w:rsidRPr="00C12768" w:rsidRDefault="00FA5595" w:rsidP="008B0224">
            <w:pPr>
              <w:rPr>
                <w:rFonts w:eastAsia="Times New Roman"/>
                <w:i/>
                <w:sz w:val="22"/>
                <w:szCs w:val="22"/>
              </w:rPr>
            </w:pPr>
            <w:r>
              <w:rPr>
                <w:rFonts w:eastAsia="Times New Roman"/>
                <w:i/>
                <w:sz w:val="22"/>
                <w:szCs w:val="22"/>
              </w:rPr>
              <w:t>CF</w:t>
            </w:r>
            <w:r w:rsidRPr="00215FF3">
              <w:rPr>
                <w:rFonts w:eastAsia="Times New Roman"/>
                <w:i/>
                <w:sz w:val="22"/>
                <w:szCs w:val="22"/>
                <w:vertAlign w:val="subscript"/>
              </w:rPr>
              <w:t>t</w:t>
            </w:r>
            <w:r>
              <w:rPr>
                <w:rFonts w:eastAsia="Times New Roman"/>
                <w:i/>
                <w:sz w:val="22"/>
                <w:szCs w:val="22"/>
                <w:vertAlign w:val="subscript"/>
              </w:rPr>
              <w:t>-1</w:t>
            </w:r>
          </w:p>
        </w:tc>
        <w:tc>
          <w:tcPr>
            <w:tcW w:w="1624" w:type="dxa"/>
            <w:shd w:val="clear" w:color="auto" w:fill="auto"/>
            <w:noWrap/>
            <w:vAlign w:val="bottom"/>
            <w:hideMark/>
          </w:tcPr>
          <w:p w14:paraId="5D4FD474" w14:textId="4423689E" w:rsidR="00FA5595" w:rsidRPr="00FA5595" w:rsidRDefault="00FA5595" w:rsidP="008B0224">
            <w:pPr>
              <w:jc w:val="right"/>
              <w:rPr>
                <w:rFonts w:eastAsia="Times New Roman"/>
                <w:sz w:val="22"/>
                <w:szCs w:val="22"/>
              </w:rPr>
            </w:pPr>
            <w:r w:rsidRPr="00FA5595">
              <w:rPr>
                <w:rFonts w:eastAsia="Times New Roman"/>
                <w:color w:val="000000"/>
                <w:sz w:val="22"/>
                <w:szCs w:val="22"/>
              </w:rPr>
              <w:t>0.106</w:t>
            </w:r>
          </w:p>
        </w:tc>
        <w:tc>
          <w:tcPr>
            <w:tcW w:w="1206" w:type="dxa"/>
            <w:vAlign w:val="bottom"/>
          </w:tcPr>
          <w:p w14:paraId="5A964885" w14:textId="1F69C3CA" w:rsidR="00FA5595" w:rsidRPr="00FA5595" w:rsidRDefault="00FA5595" w:rsidP="008B0224">
            <w:pPr>
              <w:jc w:val="right"/>
              <w:rPr>
                <w:rFonts w:eastAsia="Times New Roman"/>
                <w:sz w:val="22"/>
                <w:szCs w:val="22"/>
              </w:rPr>
            </w:pPr>
            <w:r w:rsidRPr="00FA5595">
              <w:rPr>
                <w:rFonts w:eastAsia="Times New Roman"/>
                <w:color w:val="000000"/>
                <w:sz w:val="22"/>
                <w:szCs w:val="22"/>
              </w:rPr>
              <w:t>0.080</w:t>
            </w:r>
          </w:p>
        </w:tc>
        <w:tc>
          <w:tcPr>
            <w:tcW w:w="1206" w:type="dxa"/>
            <w:shd w:val="clear" w:color="auto" w:fill="auto"/>
            <w:noWrap/>
            <w:vAlign w:val="bottom"/>
            <w:hideMark/>
          </w:tcPr>
          <w:p w14:paraId="5269031D" w14:textId="1B32A7B4" w:rsidR="00FA5595" w:rsidRPr="00FA5595" w:rsidRDefault="00FA5595" w:rsidP="008B0224">
            <w:pPr>
              <w:jc w:val="right"/>
              <w:rPr>
                <w:rFonts w:eastAsia="Times New Roman"/>
                <w:sz w:val="22"/>
                <w:szCs w:val="22"/>
              </w:rPr>
            </w:pPr>
            <w:r w:rsidRPr="00FA5595">
              <w:rPr>
                <w:rFonts w:eastAsia="Times New Roman"/>
                <w:color w:val="000000"/>
                <w:sz w:val="22"/>
                <w:szCs w:val="22"/>
              </w:rPr>
              <w:t>0.057</w:t>
            </w:r>
          </w:p>
        </w:tc>
        <w:tc>
          <w:tcPr>
            <w:tcW w:w="1268" w:type="dxa"/>
            <w:shd w:val="clear" w:color="auto" w:fill="auto"/>
            <w:noWrap/>
            <w:vAlign w:val="bottom"/>
            <w:hideMark/>
          </w:tcPr>
          <w:p w14:paraId="21A93F7C" w14:textId="357D4DD4" w:rsidR="00FA5595" w:rsidRPr="00FA5595" w:rsidRDefault="00FA5595" w:rsidP="008B0224">
            <w:pPr>
              <w:jc w:val="right"/>
              <w:rPr>
                <w:rFonts w:eastAsia="Times New Roman"/>
                <w:sz w:val="22"/>
                <w:szCs w:val="22"/>
              </w:rPr>
            </w:pPr>
            <w:r w:rsidRPr="00FA5595">
              <w:rPr>
                <w:rFonts w:eastAsia="Times New Roman"/>
                <w:color w:val="000000"/>
                <w:sz w:val="22"/>
                <w:szCs w:val="22"/>
              </w:rPr>
              <w:t>0.097</w:t>
            </w:r>
          </w:p>
        </w:tc>
        <w:tc>
          <w:tcPr>
            <w:tcW w:w="1235" w:type="dxa"/>
            <w:shd w:val="clear" w:color="auto" w:fill="auto"/>
            <w:noWrap/>
            <w:vAlign w:val="bottom"/>
            <w:hideMark/>
          </w:tcPr>
          <w:p w14:paraId="74F54A9D" w14:textId="0E92E3E1" w:rsidR="00FA5595" w:rsidRPr="00FA5595" w:rsidRDefault="00FA5595" w:rsidP="008B0224">
            <w:pPr>
              <w:jc w:val="right"/>
              <w:rPr>
                <w:rFonts w:eastAsia="Times New Roman"/>
                <w:sz w:val="22"/>
                <w:szCs w:val="22"/>
              </w:rPr>
            </w:pPr>
            <w:r w:rsidRPr="00FA5595">
              <w:rPr>
                <w:rFonts w:eastAsia="Times New Roman"/>
                <w:color w:val="000000"/>
                <w:sz w:val="22"/>
                <w:szCs w:val="22"/>
              </w:rPr>
              <w:t>0.145</w:t>
            </w:r>
          </w:p>
        </w:tc>
      </w:tr>
      <w:tr w:rsidR="00FA5595" w:rsidRPr="00C12768" w14:paraId="3EA0408E" w14:textId="77777777" w:rsidTr="008F1EE3">
        <w:trPr>
          <w:trHeight w:val="288"/>
          <w:jc w:val="center"/>
        </w:trPr>
        <w:tc>
          <w:tcPr>
            <w:tcW w:w="2016" w:type="dxa"/>
            <w:shd w:val="clear" w:color="auto" w:fill="auto"/>
            <w:noWrap/>
            <w:vAlign w:val="bottom"/>
          </w:tcPr>
          <w:p w14:paraId="06954FCA" w14:textId="52B82F85" w:rsidR="00FA5595" w:rsidRPr="00C12768" w:rsidRDefault="00FA5595" w:rsidP="00855148">
            <w:pPr>
              <w:rPr>
                <w:rFonts w:eastAsia="Times New Roman"/>
                <w:i/>
                <w:sz w:val="22"/>
                <w:szCs w:val="22"/>
              </w:rPr>
            </w:pPr>
            <w:r>
              <w:rPr>
                <w:i/>
                <w:sz w:val="22"/>
                <w:szCs w:val="22"/>
              </w:rPr>
              <w:t>LogAT</w:t>
            </w:r>
            <w:r w:rsidRPr="00C12768">
              <w:rPr>
                <w:i/>
                <w:sz w:val="22"/>
                <w:szCs w:val="22"/>
                <w:vertAlign w:val="subscript"/>
              </w:rPr>
              <w:t>t-</w:t>
            </w:r>
            <w:r>
              <w:rPr>
                <w:i/>
                <w:sz w:val="22"/>
                <w:szCs w:val="22"/>
                <w:vertAlign w:val="subscript"/>
              </w:rPr>
              <w:t>1</w:t>
            </w:r>
          </w:p>
        </w:tc>
        <w:tc>
          <w:tcPr>
            <w:tcW w:w="1624" w:type="dxa"/>
            <w:shd w:val="clear" w:color="auto" w:fill="auto"/>
            <w:noWrap/>
            <w:vAlign w:val="bottom"/>
          </w:tcPr>
          <w:p w14:paraId="2922A93D" w14:textId="1E6EAD47" w:rsidR="00FA5595" w:rsidRPr="00FA5595" w:rsidRDefault="00FA5595" w:rsidP="008B0224">
            <w:pPr>
              <w:jc w:val="right"/>
              <w:rPr>
                <w:rFonts w:eastAsia="Times New Roman"/>
                <w:sz w:val="22"/>
                <w:szCs w:val="22"/>
              </w:rPr>
            </w:pPr>
            <w:r w:rsidRPr="00FA5595">
              <w:rPr>
                <w:rFonts w:eastAsia="Times New Roman"/>
                <w:color w:val="000000"/>
                <w:sz w:val="22"/>
                <w:szCs w:val="22"/>
              </w:rPr>
              <w:t>21.20</w:t>
            </w:r>
          </w:p>
        </w:tc>
        <w:tc>
          <w:tcPr>
            <w:tcW w:w="1206" w:type="dxa"/>
            <w:vAlign w:val="bottom"/>
          </w:tcPr>
          <w:p w14:paraId="31C3589E" w14:textId="1714D900" w:rsidR="00FA5595" w:rsidRPr="00FA5595" w:rsidRDefault="00FA5595" w:rsidP="008B0224">
            <w:pPr>
              <w:jc w:val="right"/>
              <w:rPr>
                <w:rFonts w:eastAsia="Times New Roman"/>
                <w:sz w:val="22"/>
                <w:szCs w:val="22"/>
              </w:rPr>
            </w:pPr>
            <w:r w:rsidRPr="00FA5595">
              <w:rPr>
                <w:rFonts w:eastAsia="Times New Roman"/>
                <w:color w:val="000000"/>
                <w:sz w:val="22"/>
                <w:szCs w:val="22"/>
              </w:rPr>
              <w:t>1.951</w:t>
            </w:r>
          </w:p>
        </w:tc>
        <w:tc>
          <w:tcPr>
            <w:tcW w:w="1206" w:type="dxa"/>
            <w:shd w:val="clear" w:color="auto" w:fill="auto"/>
            <w:noWrap/>
            <w:vAlign w:val="bottom"/>
          </w:tcPr>
          <w:p w14:paraId="2E2B7C94" w14:textId="3D0C748B" w:rsidR="00FA5595" w:rsidRPr="00FA5595" w:rsidRDefault="00FA5595" w:rsidP="008B0224">
            <w:pPr>
              <w:jc w:val="right"/>
              <w:rPr>
                <w:rFonts w:eastAsia="Times New Roman"/>
                <w:sz w:val="22"/>
                <w:szCs w:val="22"/>
              </w:rPr>
            </w:pPr>
            <w:r w:rsidRPr="00FA5595">
              <w:rPr>
                <w:rFonts w:eastAsia="Times New Roman"/>
                <w:color w:val="000000"/>
                <w:sz w:val="22"/>
                <w:szCs w:val="22"/>
              </w:rPr>
              <w:t>19.74</w:t>
            </w:r>
          </w:p>
        </w:tc>
        <w:tc>
          <w:tcPr>
            <w:tcW w:w="1268" w:type="dxa"/>
            <w:shd w:val="clear" w:color="auto" w:fill="auto"/>
            <w:noWrap/>
            <w:vAlign w:val="bottom"/>
          </w:tcPr>
          <w:p w14:paraId="55570D6C" w14:textId="2186CB13" w:rsidR="00FA5595" w:rsidRPr="00FA5595" w:rsidRDefault="00FA5595" w:rsidP="008B0224">
            <w:pPr>
              <w:jc w:val="right"/>
              <w:rPr>
                <w:rFonts w:eastAsia="Times New Roman"/>
                <w:sz w:val="22"/>
                <w:szCs w:val="22"/>
              </w:rPr>
            </w:pPr>
            <w:r w:rsidRPr="00FA5595">
              <w:rPr>
                <w:rFonts w:eastAsia="Times New Roman"/>
                <w:color w:val="000000"/>
                <w:sz w:val="22"/>
                <w:szCs w:val="22"/>
              </w:rPr>
              <w:t>21.17</w:t>
            </w:r>
          </w:p>
        </w:tc>
        <w:tc>
          <w:tcPr>
            <w:tcW w:w="1235" w:type="dxa"/>
            <w:shd w:val="clear" w:color="auto" w:fill="auto"/>
            <w:noWrap/>
            <w:vAlign w:val="bottom"/>
          </w:tcPr>
          <w:p w14:paraId="07AACDA7" w14:textId="0ABC1439" w:rsidR="00FA5595" w:rsidRPr="00FA5595" w:rsidRDefault="00FA5595" w:rsidP="008B0224">
            <w:pPr>
              <w:jc w:val="right"/>
              <w:rPr>
                <w:rFonts w:eastAsia="Times New Roman"/>
                <w:sz w:val="22"/>
                <w:szCs w:val="22"/>
              </w:rPr>
            </w:pPr>
            <w:r w:rsidRPr="00FA5595">
              <w:rPr>
                <w:rFonts w:eastAsia="Times New Roman"/>
                <w:color w:val="000000"/>
                <w:sz w:val="22"/>
                <w:szCs w:val="22"/>
              </w:rPr>
              <w:t>22.54</w:t>
            </w:r>
          </w:p>
        </w:tc>
      </w:tr>
      <w:tr w:rsidR="00FA5595" w:rsidRPr="00C12768" w14:paraId="1480EADE" w14:textId="77777777" w:rsidTr="008F1EE3">
        <w:trPr>
          <w:trHeight w:val="288"/>
          <w:jc w:val="center"/>
        </w:trPr>
        <w:tc>
          <w:tcPr>
            <w:tcW w:w="2016" w:type="dxa"/>
            <w:shd w:val="clear" w:color="auto" w:fill="auto"/>
            <w:noWrap/>
            <w:vAlign w:val="bottom"/>
          </w:tcPr>
          <w:p w14:paraId="7DAFED54" w14:textId="06A86DF7" w:rsidR="00FA5595" w:rsidRPr="00C12768" w:rsidRDefault="00FA5595" w:rsidP="008B0224">
            <w:pPr>
              <w:rPr>
                <w:rFonts w:eastAsia="Times New Roman"/>
                <w:i/>
                <w:sz w:val="22"/>
                <w:szCs w:val="22"/>
              </w:rPr>
            </w:pPr>
            <w:r>
              <w:rPr>
                <w:i/>
                <w:sz w:val="22"/>
                <w:szCs w:val="22"/>
              </w:rPr>
              <w:t>ROA</w:t>
            </w:r>
            <w:r w:rsidRPr="00C12768">
              <w:rPr>
                <w:i/>
                <w:sz w:val="22"/>
                <w:szCs w:val="22"/>
                <w:vertAlign w:val="subscript"/>
              </w:rPr>
              <w:t>t-1</w:t>
            </w:r>
          </w:p>
        </w:tc>
        <w:tc>
          <w:tcPr>
            <w:tcW w:w="1624" w:type="dxa"/>
            <w:shd w:val="clear" w:color="auto" w:fill="auto"/>
            <w:noWrap/>
            <w:vAlign w:val="bottom"/>
          </w:tcPr>
          <w:p w14:paraId="6130B868" w14:textId="4EF0456A" w:rsidR="00FA5595" w:rsidRPr="00FA5595" w:rsidRDefault="00FA5595" w:rsidP="008B0224">
            <w:pPr>
              <w:jc w:val="right"/>
              <w:rPr>
                <w:rFonts w:eastAsia="Times New Roman"/>
                <w:sz w:val="22"/>
                <w:szCs w:val="22"/>
              </w:rPr>
            </w:pPr>
            <w:r w:rsidRPr="00FA5595">
              <w:rPr>
                <w:rFonts w:eastAsia="Times New Roman"/>
                <w:color w:val="000000"/>
                <w:sz w:val="22"/>
                <w:szCs w:val="22"/>
              </w:rPr>
              <w:t>0.057</w:t>
            </w:r>
          </w:p>
        </w:tc>
        <w:tc>
          <w:tcPr>
            <w:tcW w:w="1206" w:type="dxa"/>
            <w:vAlign w:val="bottom"/>
          </w:tcPr>
          <w:p w14:paraId="251F6897" w14:textId="147379B1" w:rsidR="00FA5595" w:rsidRPr="00FA5595" w:rsidRDefault="00FA5595" w:rsidP="008B0224">
            <w:pPr>
              <w:jc w:val="right"/>
              <w:rPr>
                <w:rFonts w:eastAsia="Times New Roman"/>
                <w:sz w:val="22"/>
                <w:szCs w:val="22"/>
              </w:rPr>
            </w:pPr>
            <w:r w:rsidRPr="00FA5595">
              <w:rPr>
                <w:rFonts w:eastAsia="Times New Roman"/>
                <w:color w:val="000000"/>
                <w:sz w:val="22"/>
                <w:szCs w:val="22"/>
              </w:rPr>
              <w:t>0.074</w:t>
            </w:r>
          </w:p>
        </w:tc>
        <w:tc>
          <w:tcPr>
            <w:tcW w:w="1206" w:type="dxa"/>
            <w:shd w:val="clear" w:color="auto" w:fill="auto"/>
            <w:noWrap/>
            <w:vAlign w:val="bottom"/>
          </w:tcPr>
          <w:p w14:paraId="40FC3788" w14:textId="62CDC3B8" w:rsidR="00FA5595" w:rsidRPr="00FA5595" w:rsidRDefault="00FA5595" w:rsidP="008B0224">
            <w:pPr>
              <w:jc w:val="right"/>
              <w:rPr>
                <w:rFonts w:eastAsia="Times New Roman"/>
                <w:sz w:val="22"/>
                <w:szCs w:val="22"/>
              </w:rPr>
            </w:pPr>
            <w:r w:rsidRPr="00FA5595">
              <w:rPr>
                <w:rFonts w:eastAsia="Times New Roman"/>
                <w:color w:val="000000"/>
                <w:sz w:val="22"/>
                <w:szCs w:val="22"/>
              </w:rPr>
              <w:t>0.022</w:t>
            </w:r>
          </w:p>
        </w:tc>
        <w:tc>
          <w:tcPr>
            <w:tcW w:w="1268" w:type="dxa"/>
            <w:shd w:val="clear" w:color="auto" w:fill="auto"/>
            <w:noWrap/>
            <w:vAlign w:val="bottom"/>
          </w:tcPr>
          <w:p w14:paraId="26EB2B9B" w14:textId="7554805C" w:rsidR="00FA5595" w:rsidRPr="00FA5595" w:rsidRDefault="00FA5595" w:rsidP="008B0224">
            <w:pPr>
              <w:jc w:val="right"/>
              <w:rPr>
                <w:rFonts w:eastAsia="Times New Roman"/>
                <w:sz w:val="22"/>
                <w:szCs w:val="22"/>
              </w:rPr>
            </w:pPr>
            <w:r w:rsidRPr="00FA5595">
              <w:rPr>
                <w:rFonts w:eastAsia="Times New Roman"/>
                <w:color w:val="000000"/>
                <w:sz w:val="22"/>
                <w:szCs w:val="22"/>
              </w:rPr>
              <w:t>0.052</w:t>
            </w:r>
          </w:p>
        </w:tc>
        <w:tc>
          <w:tcPr>
            <w:tcW w:w="1235" w:type="dxa"/>
            <w:shd w:val="clear" w:color="auto" w:fill="auto"/>
            <w:noWrap/>
            <w:vAlign w:val="bottom"/>
          </w:tcPr>
          <w:p w14:paraId="26F4B2ED" w14:textId="6EA85B37" w:rsidR="00FA5595" w:rsidRPr="00FA5595" w:rsidRDefault="00FA5595" w:rsidP="008B0224">
            <w:pPr>
              <w:jc w:val="right"/>
              <w:rPr>
                <w:rFonts w:eastAsia="Times New Roman"/>
                <w:sz w:val="22"/>
                <w:szCs w:val="22"/>
              </w:rPr>
            </w:pPr>
            <w:r w:rsidRPr="00FA5595">
              <w:rPr>
                <w:rFonts w:eastAsia="Times New Roman"/>
                <w:color w:val="000000"/>
                <w:sz w:val="22"/>
                <w:szCs w:val="22"/>
              </w:rPr>
              <w:t>0.090</w:t>
            </w:r>
          </w:p>
        </w:tc>
      </w:tr>
      <w:tr w:rsidR="00FA5595" w:rsidRPr="00C12768" w14:paraId="09FC3687" w14:textId="77777777" w:rsidTr="008F1EE3">
        <w:trPr>
          <w:trHeight w:val="288"/>
          <w:jc w:val="center"/>
        </w:trPr>
        <w:tc>
          <w:tcPr>
            <w:tcW w:w="2016" w:type="dxa"/>
            <w:shd w:val="clear" w:color="auto" w:fill="auto"/>
            <w:noWrap/>
            <w:vAlign w:val="bottom"/>
          </w:tcPr>
          <w:p w14:paraId="232CEBA0" w14:textId="592CD7CC" w:rsidR="00FA5595" w:rsidRPr="00C12768" w:rsidRDefault="00FA5595" w:rsidP="008B0224">
            <w:pPr>
              <w:rPr>
                <w:rFonts w:eastAsia="Times New Roman"/>
                <w:i/>
                <w:sz w:val="22"/>
                <w:szCs w:val="22"/>
              </w:rPr>
            </w:pPr>
            <w:r w:rsidRPr="00C12768">
              <w:rPr>
                <w:rFonts w:eastAsia="Times New Roman"/>
                <w:i/>
                <w:sz w:val="22"/>
                <w:szCs w:val="22"/>
              </w:rPr>
              <w:t>G</w:t>
            </w:r>
          </w:p>
        </w:tc>
        <w:tc>
          <w:tcPr>
            <w:tcW w:w="1624" w:type="dxa"/>
            <w:shd w:val="clear" w:color="auto" w:fill="auto"/>
            <w:noWrap/>
            <w:vAlign w:val="bottom"/>
          </w:tcPr>
          <w:p w14:paraId="0D582A47" w14:textId="2A02058C" w:rsidR="00FA5595" w:rsidRPr="00FA5595" w:rsidRDefault="00FA5595" w:rsidP="008B0224">
            <w:pPr>
              <w:jc w:val="right"/>
              <w:rPr>
                <w:rFonts w:eastAsia="Times New Roman"/>
                <w:sz w:val="22"/>
                <w:szCs w:val="22"/>
              </w:rPr>
            </w:pPr>
            <w:r w:rsidRPr="00FA5595">
              <w:rPr>
                <w:rFonts w:eastAsia="Times New Roman"/>
                <w:color w:val="000000"/>
                <w:sz w:val="22"/>
                <w:szCs w:val="22"/>
              </w:rPr>
              <w:t>0.198</w:t>
            </w:r>
          </w:p>
        </w:tc>
        <w:tc>
          <w:tcPr>
            <w:tcW w:w="1206" w:type="dxa"/>
            <w:vAlign w:val="bottom"/>
          </w:tcPr>
          <w:p w14:paraId="0A5A8E68" w14:textId="2C7360C4" w:rsidR="00FA5595" w:rsidRPr="00FA5595" w:rsidRDefault="00FA5595" w:rsidP="008B0224">
            <w:pPr>
              <w:jc w:val="right"/>
              <w:rPr>
                <w:rFonts w:eastAsia="Times New Roman"/>
                <w:sz w:val="22"/>
                <w:szCs w:val="22"/>
              </w:rPr>
            </w:pPr>
            <w:r w:rsidRPr="00FA5595">
              <w:rPr>
                <w:rFonts w:eastAsia="Times New Roman"/>
                <w:color w:val="000000"/>
                <w:sz w:val="22"/>
                <w:szCs w:val="22"/>
              </w:rPr>
              <w:t>3.799</w:t>
            </w:r>
          </w:p>
        </w:tc>
        <w:tc>
          <w:tcPr>
            <w:tcW w:w="1206" w:type="dxa"/>
            <w:shd w:val="clear" w:color="auto" w:fill="auto"/>
            <w:noWrap/>
            <w:vAlign w:val="bottom"/>
          </w:tcPr>
          <w:p w14:paraId="4F15F07D" w14:textId="70EFFC93" w:rsidR="00FA5595" w:rsidRPr="00FA5595" w:rsidRDefault="00FA5595" w:rsidP="008B0224">
            <w:pPr>
              <w:jc w:val="right"/>
              <w:rPr>
                <w:rFonts w:eastAsia="Times New Roman"/>
                <w:sz w:val="22"/>
                <w:szCs w:val="22"/>
              </w:rPr>
            </w:pPr>
            <w:r w:rsidRPr="00FA5595">
              <w:rPr>
                <w:rFonts w:eastAsia="Times New Roman"/>
                <w:color w:val="000000"/>
                <w:sz w:val="22"/>
                <w:szCs w:val="22"/>
              </w:rPr>
              <w:t>-0.277</w:t>
            </w:r>
          </w:p>
        </w:tc>
        <w:tc>
          <w:tcPr>
            <w:tcW w:w="1268" w:type="dxa"/>
            <w:shd w:val="clear" w:color="auto" w:fill="auto"/>
            <w:noWrap/>
            <w:vAlign w:val="bottom"/>
          </w:tcPr>
          <w:p w14:paraId="17B7DAE8" w14:textId="02C8C807" w:rsidR="00FA5595" w:rsidRPr="00FA5595" w:rsidRDefault="00FA5595" w:rsidP="008B0224">
            <w:pPr>
              <w:jc w:val="right"/>
              <w:rPr>
                <w:rFonts w:eastAsia="Times New Roman"/>
                <w:sz w:val="22"/>
                <w:szCs w:val="22"/>
              </w:rPr>
            </w:pPr>
            <w:r w:rsidRPr="00FA5595">
              <w:rPr>
                <w:rFonts w:eastAsia="Times New Roman"/>
                <w:color w:val="000000"/>
                <w:sz w:val="22"/>
                <w:szCs w:val="22"/>
              </w:rPr>
              <w:t>0.082</w:t>
            </w:r>
          </w:p>
        </w:tc>
        <w:tc>
          <w:tcPr>
            <w:tcW w:w="1235" w:type="dxa"/>
            <w:shd w:val="clear" w:color="auto" w:fill="auto"/>
            <w:noWrap/>
            <w:vAlign w:val="bottom"/>
          </w:tcPr>
          <w:p w14:paraId="0355B48D" w14:textId="1E7FE67B" w:rsidR="00FA5595" w:rsidRPr="00FA5595" w:rsidRDefault="00FA5595" w:rsidP="008B0224">
            <w:pPr>
              <w:jc w:val="right"/>
              <w:rPr>
                <w:rFonts w:eastAsia="Times New Roman"/>
                <w:sz w:val="22"/>
                <w:szCs w:val="22"/>
              </w:rPr>
            </w:pPr>
            <w:r w:rsidRPr="00FA5595">
              <w:rPr>
                <w:rFonts w:eastAsia="Times New Roman"/>
                <w:color w:val="000000"/>
                <w:sz w:val="22"/>
                <w:szCs w:val="22"/>
              </w:rPr>
              <w:t>0.480</w:t>
            </w:r>
          </w:p>
        </w:tc>
      </w:tr>
    </w:tbl>
    <w:p w14:paraId="0FA05D8E" w14:textId="77777777" w:rsidR="00A7168C" w:rsidRDefault="00A7168C">
      <w:pPr>
        <w:rPr>
          <w:sz w:val="22"/>
          <w:szCs w:val="22"/>
        </w:rPr>
      </w:pPr>
    </w:p>
    <w:p w14:paraId="5E040E71" w14:textId="393D29FE" w:rsidR="00F66523" w:rsidRPr="00D40129" w:rsidRDefault="002E237C" w:rsidP="0098351A">
      <w:pPr>
        <w:jc w:val="both"/>
        <w:rPr>
          <w:sz w:val="22"/>
          <w:szCs w:val="22"/>
        </w:rPr>
      </w:pPr>
      <w:r>
        <w:rPr>
          <w:sz w:val="22"/>
          <w:szCs w:val="22"/>
        </w:rPr>
        <w:t xml:space="preserve">Table </w:t>
      </w:r>
      <w:r w:rsidR="00A7168C">
        <w:rPr>
          <w:sz w:val="22"/>
          <w:szCs w:val="22"/>
        </w:rPr>
        <w:t>5</w:t>
      </w:r>
      <w:r>
        <w:rPr>
          <w:sz w:val="22"/>
          <w:szCs w:val="22"/>
        </w:rPr>
        <w:t xml:space="preserve"> presents descriptive information for the sample used to estimate equation </w:t>
      </w:r>
      <w:r w:rsidR="004B01E0">
        <w:rPr>
          <w:sz w:val="22"/>
          <w:szCs w:val="22"/>
        </w:rPr>
        <w:t>(2)</w:t>
      </w:r>
      <w:r>
        <w:rPr>
          <w:sz w:val="22"/>
          <w:szCs w:val="22"/>
        </w:rPr>
        <w:t xml:space="preserve"> and</w:t>
      </w:r>
      <w:r w:rsidRPr="00A7168C">
        <w:rPr>
          <w:sz w:val="22"/>
          <w:szCs w:val="22"/>
        </w:rPr>
        <w:t xml:space="preserve"> </w:t>
      </w:r>
      <w:r w:rsidR="00A7168C" w:rsidRPr="00A7168C">
        <w:rPr>
          <w:sz w:val="22"/>
          <w:szCs w:val="22"/>
        </w:rPr>
        <w:t>test our hypothesis</w:t>
      </w:r>
      <w:r>
        <w:rPr>
          <w:sz w:val="22"/>
          <w:szCs w:val="22"/>
        </w:rPr>
        <w:t xml:space="preserve">. Panel A provides descriptive statistics. </w:t>
      </w:r>
      <w:r w:rsidR="008A7855">
        <w:rPr>
          <w:sz w:val="22"/>
          <w:szCs w:val="22"/>
        </w:rPr>
        <w:t xml:space="preserve">The firm-year sample includes </w:t>
      </w:r>
      <w:r w:rsidR="004F241B">
        <w:rPr>
          <w:sz w:val="22"/>
          <w:szCs w:val="22"/>
        </w:rPr>
        <w:t>21</w:t>
      </w:r>
      <w:r w:rsidR="008A7855">
        <w:rPr>
          <w:sz w:val="22"/>
          <w:szCs w:val="22"/>
        </w:rPr>
        <w:t>,</w:t>
      </w:r>
      <w:r w:rsidR="004F241B">
        <w:rPr>
          <w:sz w:val="22"/>
          <w:szCs w:val="22"/>
        </w:rPr>
        <w:t xml:space="preserve">306 </w:t>
      </w:r>
      <w:r w:rsidR="008A7855">
        <w:rPr>
          <w:sz w:val="22"/>
          <w:szCs w:val="22"/>
        </w:rPr>
        <w:t xml:space="preserve">firm-years from </w:t>
      </w:r>
      <w:proofErr w:type="spellStart"/>
      <w:r w:rsidR="008A7855" w:rsidRPr="00D251D2">
        <w:rPr>
          <w:i/>
          <w:sz w:val="22"/>
          <w:szCs w:val="22"/>
        </w:rPr>
        <w:t>Compustat</w:t>
      </w:r>
      <w:proofErr w:type="spellEnd"/>
      <w:r w:rsidR="008A7855" w:rsidRPr="00D251D2">
        <w:rPr>
          <w:i/>
          <w:sz w:val="22"/>
          <w:szCs w:val="22"/>
        </w:rPr>
        <w:t xml:space="preserve"> North America</w:t>
      </w:r>
      <w:r w:rsidR="008A7855">
        <w:rPr>
          <w:sz w:val="22"/>
          <w:szCs w:val="22"/>
        </w:rPr>
        <w:t xml:space="preserve"> and </w:t>
      </w:r>
      <w:r w:rsidR="008A7855" w:rsidRPr="00D251D2">
        <w:rPr>
          <w:i/>
          <w:sz w:val="22"/>
          <w:szCs w:val="22"/>
        </w:rPr>
        <w:t>Global</w:t>
      </w:r>
      <w:r w:rsidR="008A7855">
        <w:rPr>
          <w:sz w:val="22"/>
          <w:szCs w:val="22"/>
        </w:rPr>
        <w:t xml:space="preserve"> with non-missing data required for estimation, representing 2,</w:t>
      </w:r>
      <w:r w:rsidR="004F241B">
        <w:rPr>
          <w:sz w:val="22"/>
          <w:szCs w:val="22"/>
        </w:rPr>
        <w:t xml:space="preserve">094 </w:t>
      </w:r>
      <w:r w:rsidR="008A7855">
        <w:rPr>
          <w:sz w:val="22"/>
          <w:szCs w:val="22"/>
        </w:rPr>
        <w:t xml:space="preserve">unique controlled firms. </w:t>
      </w:r>
      <w:r>
        <w:rPr>
          <w:sz w:val="22"/>
          <w:szCs w:val="22"/>
        </w:rPr>
        <w:t>All varia</w:t>
      </w:r>
      <w:r w:rsidRPr="003C3481">
        <w:rPr>
          <w:sz w:val="22"/>
          <w:szCs w:val="22"/>
        </w:rPr>
        <w:t xml:space="preserve">bles are obtained from the </w:t>
      </w:r>
      <w:proofErr w:type="spellStart"/>
      <w:r w:rsidR="00B943D0" w:rsidRPr="00D251D2">
        <w:rPr>
          <w:i/>
          <w:sz w:val="22"/>
          <w:szCs w:val="22"/>
        </w:rPr>
        <w:t>Compustat</w:t>
      </w:r>
      <w:proofErr w:type="spellEnd"/>
      <w:r w:rsidR="00B943D0" w:rsidRPr="00D251D2">
        <w:rPr>
          <w:i/>
          <w:sz w:val="22"/>
          <w:szCs w:val="22"/>
        </w:rPr>
        <w:t xml:space="preserve"> North America</w:t>
      </w:r>
      <w:r w:rsidR="00B943D0">
        <w:rPr>
          <w:sz w:val="22"/>
          <w:szCs w:val="22"/>
        </w:rPr>
        <w:t xml:space="preserve"> and </w:t>
      </w:r>
      <w:r w:rsidR="00B943D0" w:rsidRPr="00D251D2">
        <w:rPr>
          <w:i/>
          <w:sz w:val="22"/>
          <w:szCs w:val="22"/>
        </w:rPr>
        <w:t>Global</w:t>
      </w:r>
      <w:r w:rsidRPr="003C3481">
        <w:rPr>
          <w:sz w:val="22"/>
          <w:szCs w:val="22"/>
        </w:rPr>
        <w:t xml:space="preserve"> database</w:t>
      </w:r>
      <w:r w:rsidR="00B943D0">
        <w:rPr>
          <w:sz w:val="22"/>
          <w:szCs w:val="22"/>
        </w:rPr>
        <w:t>s,</w:t>
      </w:r>
      <w:r w:rsidRPr="003C3481">
        <w:rPr>
          <w:sz w:val="22"/>
          <w:szCs w:val="22"/>
        </w:rPr>
        <w:t xml:space="preserve"> dollar values are reported in $USD </w:t>
      </w:r>
      <w:proofErr w:type="gramStart"/>
      <w:r w:rsidRPr="003C3481">
        <w:rPr>
          <w:sz w:val="22"/>
          <w:szCs w:val="22"/>
        </w:rPr>
        <w:t>millions</w:t>
      </w:r>
      <w:r w:rsidR="00B943D0">
        <w:rPr>
          <w:sz w:val="22"/>
          <w:szCs w:val="22"/>
        </w:rPr>
        <w:t>,</w:t>
      </w:r>
      <w:proofErr w:type="gramEnd"/>
      <w:r w:rsidR="00B943D0">
        <w:rPr>
          <w:sz w:val="22"/>
          <w:szCs w:val="22"/>
        </w:rPr>
        <w:t xml:space="preserve"> and values are measured in year </w:t>
      </w:r>
      <w:r w:rsidR="00B943D0">
        <w:rPr>
          <w:i/>
          <w:sz w:val="22"/>
          <w:szCs w:val="22"/>
        </w:rPr>
        <w:t>t</w:t>
      </w:r>
      <w:r w:rsidRPr="003C3481">
        <w:rPr>
          <w:sz w:val="22"/>
          <w:szCs w:val="22"/>
        </w:rPr>
        <w:t xml:space="preserve"> unless otherwise noted. </w:t>
      </w:r>
      <w:proofErr w:type="spellStart"/>
      <w:r w:rsidR="00B943D0" w:rsidRPr="001D7148">
        <w:rPr>
          <w:i/>
          <w:sz w:val="22"/>
          <w:szCs w:val="22"/>
        </w:rPr>
        <w:t>CapEx</w:t>
      </w:r>
      <w:proofErr w:type="spellEnd"/>
      <w:r w:rsidRPr="001D7148">
        <w:rPr>
          <w:sz w:val="22"/>
          <w:szCs w:val="22"/>
        </w:rPr>
        <w:t xml:space="preserve"> is </w:t>
      </w:r>
      <w:r w:rsidR="00B943D0" w:rsidRPr="001D7148">
        <w:rPr>
          <w:sz w:val="22"/>
          <w:szCs w:val="22"/>
        </w:rPr>
        <w:t>capital expenditures</w:t>
      </w:r>
      <w:r w:rsidRPr="001D7148">
        <w:rPr>
          <w:sz w:val="22"/>
          <w:szCs w:val="22"/>
        </w:rPr>
        <w:t xml:space="preserve"> (</w:t>
      </w:r>
      <w:r w:rsidR="00B943D0" w:rsidRPr="001D7148">
        <w:rPr>
          <w:i/>
          <w:sz w:val="22"/>
          <w:szCs w:val="22"/>
        </w:rPr>
        <w:t>CAPX</w:t>
      </w:r>
      <w:r w:rsidRPr="001D7148">
        <w:rPr>
          <w:sz w:val="22"/>
          <w:szCs w:val="22"/>
        </w:rPr>
        <w:t xml:space="preserve">). </w:t>
      </w:r>
      <w:r w:rsidR="0098351A">
        <w:rPr>
          <w:i/>
          <w:sz w:val="22"/>
          <w:szCs w:val="22"/>
        </w:rPr>
        <w:t>AT</w:t>
      </w:r>
      <w:r w:rsidRPr="001D7148">
        <w:rPr>
          <w:i/>
          <w:sz w:val="22"/>
          <w:szCs w:val="22"/>
        </w:rPr>
        <w:t xml:space="preserve"> </w:t>
      </w:r>
      <w:r w:rsidRPr="001D7148">
        <w:rPr>
          <w:sz w:val="22"/>
          <w:szCs w:val="22"/>
        </w:rPr>
        <w:t xml:space="preserve">is </w:t>
      </w:r>
      <w:r w:rsidR="00B943D0" w:rsidRPr="001D7148">
        <w:rPr>
          <w:sz w:val="22"/>
          <w:szCs w:val="22"/>
        </w:rPr>
        <w:t>total assets</w:t>
      </w:r>
      <w:r w:rsidRPr="001D7148">
        <w:rPr>
          <w:sz w:val="22"/>
          <w:szCs w:val="22"/>
        </w:rPr>
        <w:t xml:space="preserve"> (</w:t>
      </w:r>
      <w:r w:rsidR="00B943D0" w:rsidRPr="001D7148">
        <w:rPr>
          <w:i/>
          <w:sz w:val="22"/>
          <w:szCs w:val="22"/>
        </w:rPr>
        <w:t>AT</w:t>
      </w:r>
      <w:r w:rsidRPr="001D7148">
        <w:rPr>
          <w:i/>
          <w:sz w:val="22"/>
          <w:szCs w:val="22"/>
        </w:rPr>
        <w:t xml:space="preserve">). </w:t>
      </w:r>
      <w:r w:rsidR="00B943D0" w:rsidRPr="001D7148">
        <w:rPr>
          <w:i/>
          <w:sz w:val="22"/>
          <w:szCs w:val="22"/>
        </w:rPr>
        <w:t>PPE</w:t>
      </w:r>
      <w:r w:rsidR="00FA5595">
        <w:rPr>
          <w:i/>
          <w:sz w:val="22"/>
          <w:szCs w:val="22"/>
        </w:rPr>
        <w:t>NT</w:t>
      </w:r>
      <w:r w:rsidR="00B943D0" w:rsidRPr="001D7148">
        <w:rPr>
          <w:i/>
          <w:sz w:val="22"/>
          <w:szCs w:val="22"/>
          <w:vertAlign w:val="subscript"/>
        </w:rPr>
        <w:t>t-1</w:t>
      </w:r>
      <w:r w:rsidRPr="001D7148">
        <w:rPr>
          <w:i/>
          <w:sz w:val="22"/>
          <w:szCs w:val="22"/>
        </w:rPr>
        <w:t xml:space="preserve"> </w:t>
      </w:r>
      <w:r w:rsidRPr="001D7148">
        <w:rPr>
          <w:sz w:val="22"/>
          <w:szCs w:val="22"/>
        </w:rPr>
        <w:t xml:space="preserve">is </w:t>
      </w:r>
      <w:r w:rsidR="00D338A6" w:rsidRPr="001D7148">
        <w:rPr>
          <w:sz w:val="22"/>
          <w:szCs w:val="22"/>
        </w:rPr>
        <w:t>net property, plant, and equipment (</w:t>
      </w:r>
      <w:r w:rsidR="00D338A6" w:rsidRPr="001D7148">
        <w:rPr>
          <w:i/>
          <w:sz w:val="22"/>
          <w:szCs w:val="22"/>
        </w:rPr>
        <w:t>PPENT</w:t>
      </w:r>
      <w:r w:rsidR="00D338A6" w:rsidRPr="001D7148">
        <w:rPr>
          <w:sz w:val="22"/>
          <w:szCs w:val="22"/>
        </w:rPr>
        <w:t xml:space="preserve">) in year </w:t>
      </w:r>
      <w:r w:rsidR="00D338A6" w:rsidRPr="001D7148">
        <w:rPr>
          <w:i/>
          <w:sz w:val="22"/>
          <w:szCs w:val="22"/>
        </w:rPr>
        <w:t>t-1</w:t>
      </w:r>
      <w:r w:rsidRPr="001D7148">
        <w:rPr>
          <w:sz w:val="22"/>
          <w:szCs w:val="22"/>
        </w:rPr>
        <w:t xml:space="preserve">. </w:t>
      </w:r>
      <w:r w:rsidR="00D338A6" w:rsidRPr="001D7148">
        <w:rPr>
          <w:i/>
          <w:sz w:val="22"/>
          <w:szCs w:val="22"/>
        </w:rPr>
        <w:t xml:space="preserve">CFO </w:t>
      </w:r>
      <w:r w:rsidR="00D338A6" w:rsidRPr="001D7148">
        <w:rPr>
          <w:sz w:val="22"/>
          <w:szCs w:val="22"/>
        </w:rPr>
        <w:t>is cash flow from operation (</w:t>
      </w:r>
      <w:r w:rsidR="00D338A6" w:rsidRPr="001D7148">
        <w:rPr>
          <w:i/>
          <w:sz w:val="22"/>
          <w:szCs w:val="22"/>
        </w:rPr>
        <w:t xml:space="preserve">OANCF) </w:t>
      </w:r>
      <w:r w:rsidR="001D7148" w:rsidRPr="001D7148">
        <w:rPr>
          <w:sz w:val="22"/>
          <w:szCs w:val="22"/>
        </w:rPr>
        <w:t xml:space="preserve">if reported; </w:t>
      </w:r>
      <w:r w:rsidR="007E0C9E">
        <w:rPr>
          <w:sz w:val="22"/>
          <w:szCs w:val="22"/>
        </w:rPr>
        <w:t>i</w:t>
      </w:r>
      <w:r w:rsidR="001D7148" w:rsidRPr="001D7148">
        <w:rPr>
          <w:sz w:val="22"/>
          <w:szCs w:val="22"/>
        </w:rPr>
        <w:t xml:space="preserve">f </w:t>
      </w:r>
      <w:r w:rsidR="001D7148" w:rsidRPr="001D7148">
        <w:rPr>
          <w:i/>
          <w:sz w:val="22"/>
          <w:szCs w:val="22"/>
        </w:rPr>
        <w:t>OANCF</w:t>
      </w:r>
      <w:r w:rsidR="001D7148" w:rsidRPr="001D7148">
        <w:rPr>
          <w:sz w:val="22"/>
          <w:szCs w:val="22"/>
        </w:rPr>
        <w:t xml:space="preserve"> is missing, cash flow from operations equals (operating income after depreciation – (change in current assets – change in cash) – (change in current liabilities – change in debt in current liabilities – change in taxes payable) – </w:t>
      </w:r>
      <w:r w:rsidR="001D7148" w:rsidRPr="001D7148">
        <w:rPr>
          <w:i/>
          <w:sz w:val="22"/>
          <w:szCs w:val="22"/>
        </w:rPr>
        <w:t>DEPR</w:t>
      </w:r>
      <w:r w:rsidR="001D7148" w:rsidRPr="001D7148">
        <w:rPr>
          <w:sz w:val="22"/>
          <w:szCs w:val="22"/>
        </w:rPr>
        <w:t>). Change is current assets is (</w:t>
      </w:r>
      <w:proofErr w:type="spellStart"/>
      <w:r w:rsidR="001D7148" w:rsidRPr="001D7148">
        <w:rPr>
          <w:i/>
          <w:sz w:val="22"/>
          <w:szCs w:val="22"/>
        </w:rPr>
        <w:t>ACT</w:t>
      </w:r>
      <w:r w:rsidR="001D7148" w:rsidRPr="001D7148">
        <w:rPr>
          <w:i/>
          <w:sz w:val="22"/>
          <w:szCs w:val="22"/>
          <w:vertAlign w:val="subscript"/>
        </w:rPr>
        <w:t>t</w:t>
      </w:r>
      <w:proofErr w:type="spellEnd"/>
      <w:r w:rsidR="001D7148" w:rsidRPr="001D7148">
        <w:rPr>
          <w:i/>
          <w:sz w:val="22"/>
          <w:szCs w:val="22"/>
        </w:rPr>
        <w:t xml:space="preserve"> - ACT</w:t>
      </w:r>
      <w:r w:rsidR="001D7148" w:rsidRPr="001D7148">
        <w:rPr>
          <w:i/>
          <w:sz w:val="22"/>
          <w:szCs w:val="22"/>
          <w:vertAlign w:val="subscript"/>
        </w:rPr>
        <w:t>t-1</w:t>
      </w:r>
      <w:r w:rsidR="001D7148" w:rsidRPr="001D7148">
        <w:rPr>
          <w:sz w:val="22"/>
          <w:szCs w:val="22"/>
        </w:rPr>
        <w:t>). Change in cash is (</w:t>
      </w:r>
      <w:proofErr w:type="spellStart"/>
      <w:r w:rsidR="001D7148" w:rsidRPr="001D7148">
        <w:rPr>
          <w:i/>
          <w:sz w:val="22"/>
          <w:szCs w:val="22"/>
        </w:rPr>
        <w:t>CASH</w:t>
      </w:r>
      <w:r w:rsidR="001D7148" w:rsidRPr="001D7148">
        <w:rPr>
          <w:i/>
          <w:sz w:val="22"/>
          <w:szCs w:val="22"/>
          <w:vertAlign w:val="subscript"/>
        </w:rPr>
        <w:t>t</w:t>
      </w:r>
      <w:proofErr w:type="spellEnd"/>
      <w:r w:rsidR="001D7148" w:rsidRPr="001D7148">
        <w:rPr>
          <w:i/>
          <w:sz w:val="22"/>
          <w:szCs w:val="22"/>
        </w:rPr>
        <w:t xml:space="preserve"> - CASH</w:t>
      </w:r>
      <w:r w:rsidR="001D7148" w:rsidRPr="001D7148">
        <w:rPr>
          <w:i/>
          <w:sz w:val="22"/>
          <w:szCs w:val="22"/>
          <w:vertAlign w:val="subscript"/>
        </w:rPr>
        <w:t>t-1</w:t>
      </w:r>
      <w:r w:rsidR="001D7148" w:rsidRPr="001D7148">
        <w:rPr>
          <w:sz w:val="22"/>
          <w:szCs w:val="22"/>
        </w:rPr>
        <w:t>). Change in current liabilities is (</w:t>
      </w:r>
      <w:proofErr w:type="spellStart"/>
      <w:r w:rsidR="001D7148" w:rsidRPr="001D7148">
        <w:rPr>
          <w:i/>
          <w:sz w:val="22"/>
          <w:szCs w:val="22"/>
        </w:rPr>
        <w:t>LCT</w:t>
      </w:r>
      <w:r w:rsidR="001D7148" w:rsidRPr="001D7148">
        <w:rPr>
          <w:i/>
          <w:sz w:val="22"/>
          <w:szCs w:val="22"/>
          <w:vertAlign w:val="subscript"/>
        </w:rPr>
        <w:t>t</w:t>
      </w:r>
      <w:proofErr w:type="spellEnd"/>
      <w:r w:rsidR="001D7148" w:rsidRPr="001D7148">
        <w:rPr>
          <w:i/>
          <w:sz w:val="22"/>
          <w:szCs w:val="22"/>
        </w:rPr>
        <w:t xml:space="preserve"> – LCT</w:t>
      </w:r>
      <w:r w:rsidR="001D7148" w:rsidRPr="001D7148">
        <w:rPr>
          <w:i/>
          <w:sz w:val="22"/>
          <w:szCs w:val="22"/>
          <w:vertAlign w:val="subscript"/>
        </w:rPr>
        <w:t>t-1</w:t>
      </w:r>
      <w:r w:rsidR="001D7148" w:rsidRPr="001D7148">
        <w:rPr>
          <w:sz w:val="22"/>
          <w:szCs w:val="22"/>
        </w:rPr>
        <w:t>). Change in debt in currently liabilities is (</w:t>
      </w:r>
      <w:proofErr w:type="spellStart"/>
      <w:r w:rsidR="001D7148" w:rsidRPr="001D7148">
        <w:rPr>
          <w:i/>
          <w:sz w:val="22"/>
          <w:szCs w:val="22"/>
        </w:rPr>
        <w:t>DLC</w:t>
      </w:r>
      <w:r w:rsidR="001D7148" w:rsidRPr="001D7148">
        <w:rPr>
          <w:i/>
          <w:sz w:val="22"/>
          <w:szCs w:val="22"/>
          <w:vertAlign w:val="subscript"/>
        </w:rPr>
        <w:t>t</w:t>
      </w:r>
      <w:proofErr w:type="spellEnd"/>
      <w:r w:rsidR="001D7148" w:rsidRPr="001D7148">
        <w:rPr>
          <w:i/>
          <w:sz w:val="22"/>
          <w:szCs w:val="22"/>
        </w:rPr>
        <w:t xml:space="preserve"> – DLC</w:t>
      </w:r>
      <w:r w:rsidR="001D7148" w:rsidRPr="001D7148">
        <w:rPr>
          <w:i/>
          <w:sz w:val="22"/>
          <w:szCs w:val="22"/>
          <w:vertAlign w:val="subscript"/>
        </w:rPr>
        <w:t>t-1</w:t>
      </w:r>
      <w:r w:rsidR="001D7148" w:rsidRPr="001D7148">
        <w:rPr>
          <w:sz w:val="22"/>
          <w:szCs w:val="22"/>
        </w:rPr>
        <w:t>). Change in taxes payable is (</w:t>
      </w:r>
      <w:r w:rsidR="001D7148" w:rsidRPr="001D7148">
        <w:rPr>
          <w:i/>
          <w:sz w:val="22"/>
          <w:szCs w:val="22"/>
        </w:rPr>
        <w:t>TXP</w:t>
      </w:r>
      <w:r w:rsidR="001D7148" w:rsidRPr="001D7148">
        <w:rPr>
          <w:i/>
          <w:sz w:val="22"/>
          <w:szCs w:val="22"/>
          <w:vertAlign w:val="subscript"/>
        </w:rPr>
        <w:t>t</w:t>
      </w:r>
      <w:r w:rsidR="001D7148" w:rsidRPr="001D7148">
        <w:rPr>
          <w:i/>
          <w:sz w:val="22"/>
          <w:szCs w:val="22"/>
        </w:rPr>
        <w:t>-TXP</w:t>
      </w:r>
      <w:r w:rsidR="001D7148" w:rsidRPr="001D7148">
        <w:rPr>
          <w:i/>
          <w:sz w:val="22"/>
          <w:szCs w:val="22"/>
          <w:vertAlign w:val="subscript"/>
        </w:rPr>
        <w:t>t-1</w:t>
      </w:r>
      <w:r w:rsidR="001D7148" w:rsidRPr="001D7148">
        <w:rPr>
          <w:i/>
          <w:sz w:val="22"/>
          <w:szCs w:val="22"/>
        </w:rPr>
        <w:t>).</w:t>
      </w:r>
      <w:r w:rsidR="00D338A6" w:rsidRPr="001D7148">
        <w:rPr>
          <w:sz w:val="22"/>
          <w:szCs w:val="22"/>
        </w:rPr>
        <w:t xml:space="preserve"> </w:t>
      </w:r>
      <w:r w:rsidR="0081679A">
        <w:rPr>
          <w:i/>
          <w:sz w:val="22"/>
          <w:szCs w:val="22"/>
        </w:rPr>
        <w:t>INV</w:t>
      </w:r>
      <w:r w:rsidR="004F241B">
        <w:rPr>
          <w:i/>
          <w:sz w:val="22"/>
          <w:szCs w:val="22"/>
        </w:rPr>
        <w:t>1</w:t>
      </w:r>
      <w:r w:rsidR="0081679A">
        <w:rPr>
          <w:i/>
          <w:sz w:val="22"/>
          <w:szCs w:val="22"/>
        </w:rPr>
        <w:t xml:space="preserve"> </w:t>
      </w:r>
      <w:r w:rsidR="0081679A">
        <w:rPr>
          <w:sz w:val="22"/>
          <w:szCs w:val="22"/>
        </w:rPr>
        <w:t xml:space="preserve">is </w:t>
      </w:r>
      <w:proofErr w:type="spellStart"/>
      <w:r w:rsidR="0081679A">
        <w:rPr>
          <w:i/>
          <w:sz w:val="22"/>
          <w:szCs w:val="22"/>
        </w:rPr>
        <w:t>CapExp</w:t>
      </w:r>
      <w:proofErr w:type="spellEnd"/>
      <w:r w:rsidR="0081679A">
        <w:rPr>
          <w:i/>
          <w:sz w:val="22"/>
          <w:szCs w:val="22"/>
        </w:rPr>
        <w:t xml:space="preserve"> </w:t>
      </w:r>
      <w:r w:rsidR="0081679A">
        <w:rPr>
          <w:sz w:val="22"/>
          <w:szCs w:val="22"/>
        </w:rPr>
        <w:t xml:space="preserve">scaled by </w:t>
      </w:r>
      <w:r w:rsidR="0081679A" w:rsidRPr="001D7148">
        <w:rPr>
          <w:i/>
          <w:sz w:val="22"/>
          <w:szCs w:val="22"/>
        </w:rPr>
        <w:t>PPE</w:t>
      </w:r>
      <w:r w:rsidR="00FA5595">
        <w:rPr>
          <w:i/>
          <w:sz w:val="22"/>
          <w:szCs w:val="22"/>
        </w:rPr>
        <w:t>NT</w:t>
      </w:r>
      <w:r w:rsidR="0081679A" w:rsidRPr="001D7148">
        <w:rPr>
          <w:i/>
          <w:sz w:val="22"/>
          <w:szCs w:val="22"/>
          <w:vertAlign w:val="subscript"/>
        </w:rPr>
        <w:t>t-1</w:t>
      </w:r>
      <w:r w:rsidR="0081679A">
        <w:rPr>
          <w:sz w:val="22"/>
          <w:szCs w:val="22"/>
        </w:rPr>
        <w:t>.</w:t>
      </w:r>
      <w:r w:rsidR="0081679A" w:rsidRPr="00C7273D">
        <w:rPr>
          <w:sz w:val="22"/>
          <w:szCs w:val="22"/>
        </w:rPr>
        <w:t xml:space="preserve"> </w:t>
      </w:r>
      <w:r w:rsidR="004F241B">
        <w:rPr>
          <w:i/>
          <w:iCs/>
          <w:sz w:val="22"/>
          <w:szCs w:val="22"/>
        </w:rPr>
        <w:t xml:space="preserve">INV2 </w:t>
      </w:r>
      <w:r w:rsidR="004F241B">
        <w:rPr>
          <w:sz w:val="22"/>
          <w:szCs w:val="22"/>
        </w:rPr>
        <w:t xml:space="preserve">is </w:t>
      </w:r>
      <w:proofErr w:type="spellStart"/>
      <w:r w:rsidR="00A9124E">
        <w:rPr>
          <w:i/>
          <w:sz w:val="22"/>
          <w:szCs w:val="22"/>
        </w:rPr>
        <w:t>PPEG</w:t>
      </w:r>
      <w:r w:rsidR="0098351A">
        <w:rPr>
          <w:i/>
          <w:sz w:val="22"/>
          <w:szCs w:val="22"/>
        </w:rPr>
        <w:t>T</w:t>
      </w:r>
      <w:r w:rsidR="004F241B" w:rsidRPr="009133F4">
        <w:rPr>
          <w:i/>
          <w:sz w:val="22"/>
          <w:szCs w:val="22"/>
          <w:vertAlign w:val="subscript"/>
        </w:rPr>
        <w:t>t</w:t>
      </w:r>
      <w:proofErr w:type="spellEnd"/>
      <w:r w:rsidR="004F241B" w:rsidRPr="001D7148">
        <w:rPr>
          <w:i/>
          <w:sz w:val="22"/>
          <w:szCs w:val="22"/>
        </w:rPr>
        <w:t xml:space="preserve"> </w:t>
      </w:r>
      <w:r w:rsidR="004F241B">
        <w:rPr>
          <w:iCs/>
          <w:sz w:val="22"/>
          <w:szCs w:val="22"/>
        </w:rPr>
        <w:t xml:space="preserve">less </w:t>
      </w:r>
      <w:r w:rsidR="00A9124E">
        <w:rPr>
          <w:i/>
          <w:sz w:val="22"/>
          <w:szCs w:val="22"/>
        </w:rPr>
        <w:t>PPEG</w:t>
      </w:r>
      <w:r w:rsidR="0098351A">
        <w:rPr>
          <w:i/>
          <w:sz w:val="22"/>
          <w:szCs w:val="22"/>
        </w:rPr>
        <w:t>T</w:t>
      </w:r>
      <w:r w:rsidR="004F241B" w:rsidRPr="009133F4">
        <w:rPr>
          <w:i/>
          <w:sz w:val="22"/>
          <w:szCs w:val="22"/>
          <w:vertAlign w:val="subscript"/>
        </w:rPr>
        <w:t>t-1</w:t>
      </w:r>
      <w:r w:rsidR="004F241B">
        <w:rPr>
          <w:iCs/>
          <w:sz w:val="22"/>
          <w:szCs w:val="22"/>
        </w:rPr>
        <w:t xml:space="preserve">, scaled by </w:t>
      </w:r>
      <w:r w:rsidR="0098351A">
        <w:rPr>
          <w:i/>
          <w:sz w:val="22"/>
          <w:szCs w:val="22"/>
        </w:rPr>
        <w:t>AT</w:t>
      </w:r>
      <w:r w:rsidR="004F241B" w:rsidRPr="009133F4">
        <w:rPr>
          <w:i/>
          <w:sz w:val="22"/>
          <w:szCs w:val="22"/>
          <w:vertAlign w:val="subscript"/>
        </w:rPr>
        <w:t>t-1</w:t>
      </w:r>
      <w:r w:rsidR="004F241B">
        <w:rPr>
          <w:i/>
          <w:sz w:val="22"/>
          <w:szCs w:val="22"/>
        </w:rPr>
        <w:t>.</w:t>
      </w:r>
      <w:r w:rsidR="004F241B" w:rsidRPr="001D7148">
        <w:rPr>
          <w:i/>
          <w:sz w:val="22"/>
          <w:szCs w:val="22"/>
        </w:rPr>
        <w:t xml:space="preserve"> </w:t>
      </w:r>
      <w:r w:rsidR="00FA5595" w:rsidRPr="00C7273D">
        <w:rPr>
          <w:i/>
          <w:sz w:val="22"/>
          <w:szCs w:val="22"/>
        </w:rPr>
        <w:t>Q</w:t>
      </w:r>
      <w:r w:rsidR="00FA5595">
        <w:rPr>
          <w:i/>
          <w:sz w:val="22"/>
          <w:szCs w:val="22"/>
          <w:vertAlign w:val="subscript"/>
        </w:rPr>
        <w:t>t-1</w:t>
      </w:r>
      <w:r w:rsidR="00FA5595" w:rsidRPr="00C7273D">
        <w:rPr>
          <w:sz w:val="22"/>
          <w:szCs w:val="22"/>
        </w:rPr>
        <w:t xml:space="preserve"> is </w:t>
      </w:r>
      <w:r w:rsidR="00FA5595">
        <w:rPr>
          <w:sz w:val="22"/>
          <w:szCs w:val="22"/>
        </w:rPr>
        <w:t xml:space="preserve">firm-year </w:t>
      </w:r>
      <w:r w:rsidR="00FA5595" w:rsidRPr="00C7273D">
        <w:rPr>
          <w:sz w:val="22"/>
          <w:szCs w:val="22"/>
        </w:rPr>
        <w:t xml:space="preserve">market value of equity in year </w:t>
      </w:r>
      <w:r w:rsidR="00FA5595" w:rsidRPr="00C7273D">
        <w:rPr>
          <w:i/>
          <w:sz w:val="22"/>
          <w:szCs w:val="22"/>
        </w:rPr>
        <w:t>t</w:t>
      </w:r>
      <w:r w:rsidR="00FA5595">
        <w:rPr>
          <w:i/>
          <w:sz w:val="22"/>
          <w:szCs w:val="22"/>
        </w:rPr>
        <w:t>-1</w:t>
      </w:r>
      <w:r w:rsidR="00FA5595" w:rsidRPr="00C7273D">
        <w:rPr>
          <w:i/>
          <w:sz w:val="22"/>
          <w:szCs w:val="22"/>
        </w:rPr>
        <w:t xml:space="preserve"> </w:t>
      </w:r>
      <w:r w:rsidR="00FA5595" w:rsidRPr="00C7273D">
        <w:rPr>
          <w:sz w:val="22"/>
          <w:szCs w:val="22"/>
        </w:rPr>
        <w:t>(</w:t>
      </w:r>
      <w:r w:rsidR="00FA5595" w:rsidRPr="00C7273D">
        <w:rPr>
          <w:i/>
          <w:sz w:val="22"/>
          <w:szCs w:val="22"/>
        </w:rPr>
        <w:t>PRCC_F*CSHO</w:t>
      </w:r>
      <w:r w:rsidR="00FA5595" w:rsidRPr="00C7273D">
        <w:rPr>
          <w:sz w:val="22"/>
          <w:szCs w:val="22"/>
        </w:rPr>
        <w:t>)</w:t>
      </w:r>
      <w:r w:rsidR="00FA5595" w:rsidRPr="00C7273D">
        <w:rPr>
          <w:i/>
          <w:sz w:val="22"/>
          <w:szCs w:val="22"/>
        </w:rPr>
        <w:t xml:space="preserve"> </w:t>
      </w:r>
      <w:r w:rsidR="00FA5595" w:rsidRPr="00C7273D">
        <w:rPr>
          <w:sz w:val="22"/>
          <w:szCs w:val="22"/>
        </w:rPr>
        <w:t xml:space="preserve">plus </w:t>
      </w:r>
      <w:r w:rsidR="0098351A">
        <w:rPr>
          <w:i/>
          <w:sz w:val="22"/>
          <w:szCs w:val="22"/>
        </w:rPr>
        <w:t>AT</w:t>
      </w:r>
      <w:r w:rsidR="00FA5595" w:rsidRPr="00C7273D">
        <w:rPr>
          <w:sz w:val="22"/>
          <w:szCs w:val="22"/>
        </w:rPr>
        <w:t xml:space="preserve"> in year </w:t>
      </w:r>
      <w:r w:rsidR="00FA5595" w:rsidRPr="00C7273D">
        <w:rPr>
          <w:i/>
          <w:sz w:val="22"/>
          <w:szCs w:val="22"/>
        </w:rPr>
        <w:t>t</w:t>
      </w:r>
      <w:r w:rsidR="00FA5595">
        <w:rPr>
          <w:i/>
          <w:sz w:val="22"/>
          <w:szCs w:val="22"/>
        </w:rPr>
        <w:t>-1</w:t>
      </w:r>
      <w:r w:rsidR="00FA5595" w:rsidRPr="00C7273D">
        <w:rPr>
          <w:i/>
          <w:sz w:val="22"/>
          <w:szCs w:val="22"/>
        </w:rPr>
        <w:t xml:space="preserve"> </w:t>
      </w:r>
      <w:r w:rsidR="00FA5595" w:rsidRPr="00C7273D">
        <w:rPr>
          <w:sz w:val="22"/>
          <w:szCs w:val="22"/>
        </w:rPr>
        <w:t xml:space="preserve">less </w:t>
      </w:r>
      <w:r w:rsidR="00FA5595" w:rsidRPr="00C7273D">
        <w:rPr>
          <w:i/>
          <w:sz w:val="22"/>
          <w:szCs w:val="22"/>
        </w:rPr>
        <w:t>CEQ</w:t>
      </w:r>
      <w:r w:rsidR="00FA5595" w:rsidRPr="00C7273D">
        <w:rPr>
          <w:i/>
          <w:sz w:val="22"/>
          <w:szCs w:val="22"/>
          <w:vertAlign w:val="subscript"/>
        </w:rPr>
        <w:t xml:space="preserve"> </w:t>
      </w:r>
      <w:r w:rsidR="00FA5595" w:rsidRPr="00C7273D">
        <w:rPr>
          <w:sz w:val="22"/>
          <w:szCs w:val="22"/>
        </w:rPr>
        <w:t xml:space="preserve">in year </w:t>
      </w:r>
      <w:r w:rsidR="00FA5595" w:rsidRPr="00C7273D">
        <w:rPr>
          <w:i/>
          <w:sz w:val="22"/>
          <w:szCs w:val="22"/>
        </w:rPr>
        <w:t>t</w:t>
      </w:r>
      <w:r w:rsidR="00FA5595">
        <w:rPr>
          <w:i/>
          <w:sz w:val="22"/>
          <w:szCs w:val="22"/>
        </w:rPr>
        <w:t>-1</w:t>
      </w:r>
      <w:r w:rsidR="00FA5595" w:rsidRPr="00C7273D">
        <w:rPr>
          <w:i/>
          <w:sz w:val="22"/>
          <w:szCs w:val="22"/>
        </w:rPr>
        <w:t xml:space="preserve">, </w:t>
      </w:r>
      <w:r w:rsidR="00FA5595" w:rsidRPr="00C7273D">
        <w:rPr>
          <w:sz w:val="22"/>
          <w:szCs w:val="22"/>
        </w:rPr>
        <w:t xml:space="preserve">scaled by </w:t>
      </w:r>
      <w:r w:rsidR="0098351A">
        <w:rPr>
          <w:i/>
          <w:sz w:val="22"/>
          <w:szCs w:val="22"/>
        </w:rPr>
        <w:t>AT</w:t>
      </w:r>
      <w:r w:rsidR="00FA5595" w:rsidRPr="00C7273D">
        <w:rPr>
          <w:i/>
          <w:sz w:val="22"/>
          <w:szCs w:val="22"/>
        </w:rPr>
        <w:t xml:space="preserve"> </w:t>
      </w:r>
      <w:r w:rsidR="00FA5595" w:rsidRPr="00C7273D">
        <w:rPr>
          <w:sz w:val="22"/>
          <w:szCs w:val="22"/>
        </w:rPr>
        <w:t xml:space="preserve">in year </w:t>
      </w:r>
      <w:r w:rsidR="00FA5595" w:rsidRPr="00C7273D">
        <w:rPr>
          <w:i/>
          <w:sz w:val="22"/>
          <w:szCs w:val="22"/>
        </w:rPr>
        <w:t>t</w:t>
      </w:r>
      <w:r w:rsidR="00FA5595">
        <w:rPr>
          <w:i/>
          <w:sz w:val="22"/>
          <w:szCs w:val="22"/>
        </w:rPr>
        <w:t>-1</w:t>
      </w:r>
      <w:r w:rsidR="00FA5595" w:rsidRPr="00C7273D">
        <w:rPr>
          <w:sz w:val="22"/>
          <w:szCs w:val="22"/>
        </w:rPr>
        <w:t xml:space="preserve">. </w:t>
      </w:r>
      <w:r w:rsidR="004F241B">
        <w:rPr>
          <w:i/>
          <w:sz w:val="22"/>
          <w:szCs w:val="22"/>
        </w:rPr>
        <w:t>Mean</w:t>
      </w:r>
      <w:r w:rsidR="0081679A" w:rsidRPr="00C7273D">
        <w:rPr>
          <w:i/>
          <w:sz w:val="22"/>
          <w:szCs w:val="22"/>
        </w:rPr>
        <w:t>Q</w:t>
      </w:r>
      <w:r w:rsidR="004F241B">
        <w:rPr>
          <w:i/>
          <w:sz w:val="22"/>
          <w:szCs w:val="22"/>
          <w:vertAlign w:val="subscript"/>
        </w:rPr>
        <w:t>t-1</w:t>
      </w:r>
      <w:r w:rsidR="0081679A" w:rsidRPr="00C7273D">
        <w:rPr>
          <w:sz w:val="22"/>
          <w:szCs w:val="22"/>
        </w:rPr>
        <w:t xml:space="preserve"> is the </w:t>
      </w:r>
      <w:r w:rsidR="004F241B">
        <w:rPr>
          <w:sz w:val="22"/>
          <w:szCs w:val="22"/>
        </w:rPr>
        <w:t xml:space="preserve">country-industry-year mean </w:t>
      </w:r>
      <w:r w:rsidR="0081679A" w:rsidRPr="00C7273D">
        <w:rPr>
          <w:sz w:val="22"/>
          <w:szCs w:val="22"/>
        </w:rPr>
        <w:t xml:space="preserve">market value of equity in year </w:t>
      </w:r>
      <w:r w:rsidR="0081679A" w:rsidRPr="00C7273D">
        <w:rPr>
          <w:i/>
          <w:sz w:val="22"/>
          <w:szCs w:val="22"/>
        </w:rPr>
        <w:t>t</w:t>
      </w:r>
      <w:r w:rsidR="004F241B">
        <w:rPr>
          <w:i/>
          <w:sz w:val="22"/>
          <w:szCs w:val="22"/>
        </w:rPr>
        <w:t>-1</w:t>
      </w:r>
      <w:r w:rsidR="0081679A" w:rsidRPr="00C7273D">
        <w:rPr>
          <w:i/>
          <w:sz w:val="22"/>
          <w:szCs w:val="22"/>
        </w:rPr>
        <w:t xml:space="preserve"> </w:t>
      </w:r>
      <w:r w:rsidR="0081679A" w:rsidRPr="00C7273D">
        <w:rPr>
          <w:sz w:val="22"/>
          <w:szCs w:val="22"/>
        </w:rPr>
        <w:t>(</w:t>
      </w:r>
      <w:r w:rsidR="0081679A" w:rsidRPr="00C7273D">
        <w:rPr>
          <w:i/>
          <w:sz w:val="22"/>
          <w:szCs w:val="22"/>
        </w:rPr>
        <w:t>PRCC_F*CSHO</w:t>
      </w:r>
      <w:r w:rsidR="0081679A" w:rsidRPr="00C7273D">
        <w:rPr>
          <w:sz w:val="22"/>
          <w:szCs w:val="22"/>
        </w:rPr>
        <w:t>)</w:t>
      </w:r>
      <w:r w:rsidR="0081679A" w:rsidRPr="00C7273D">
        <w:rPr>
          <w:i/>
          <w:sz w:val="22"/>
          <w:szCs w:val="22"/>
        </w:rPr>
        <w:t xml:space="preserve"> </w:t>
      </w:r>
      <w:r w:rsidR="0081679A" w:rsidRPr="00C7273D">
        <w:rPr>
          <w:sz w:val="22"/>
          <w:szCs w:val="22"/>
        </w:rPr>
        <w:t xml:space="preserve">plus </w:t>
      </w:r>
      <w:r w:rsidR="0098351A">
        <w:rPr>
          <w:i/>
          <w:sz w:val="22"/>
          <w:szCs w:val="22"/>
        </w:rPr>
        <w:t>AT</w:t>
      </w:r>
      <w:r w:rsidR="0098351A" w:rsidRPr="00C7273D">
        <w:rPr>
          <w:sz w:val="22"/>
          <w:szCs w:val="22"/>
        </w:rPr>
        <w:t xml:space="preserve"> </w:t>
      </w:r>
      <w:r w:rsidR="0081679A" w:rsidRPr="00C7273D">
        <w:rPr>
          <w:sz w:val="22"/>
          <w:szCs w:val="22"/>
        </w:rPr>
        <w:t xml:space="preserve">in year </w:t>
      </w:r>
      <w:r w:rsidR="0081679A" w:rsidRPr="00C7273D">
        <w:rPr>
          <w:i/>
          <w:sz w:val="22"/>
          <w:szCs w:val="22"/>
        </w:rPr>
        <w:t>t</w:t>
      </w:r>
      <w:r w:rsidR="004F241B">
        <w:rPr>
          <w:i/>
          <w:sz w:val="22"/>
          <w:szCs w:val="22"/>
        </w:rPr>
        <w:t>-1</w:t>
      </w:r>
      <w:r w:rsidR="0081679A" w:rsidRPr="00C7273D">
        <w:rPr>
          <w:i/>
          <w:sz w:val="22"/>
          <w:szCs w:val="22"/>
        </w:rPr>
        <w:t xml:space="preserve"> </w:t>
      </w:r>
      <w:r w:rsidR="0081679A" w:rsidRPr="00C7273D">
        <w:rPr>
          <w:sz w:val="22"/>
          <w:szCs w:val="22"/>
        </w:rPr>
        <w:t xml:space="preserve">less </w:t>
      </w:r>
      <w:r w:rsidR="0081679A" w:rsidRPr="00C7273D">
        <w:rPr>
          <w:i/>
          <w:sz w:val="22"/>
          <w:szCs w:val="22"/>
        </w:rPr>
        <w:t>CEQ</w:t>
      </w:r>
      <w:r w:rsidR="0081679A" w:rsidRPr="00C7273D">
        <w:rPr>
          <w:i/>
          <w:sz w:val="22"/>
          <w:szCs w:val="22"/>
          <w:vertAlign w:val="subscript"/>
        </w:rPr>
        <w:t xml:space="preserve"> </w:t>
      </w:r>
      <w:r w:rsidR="0081679A" w:rsidRPr="00C7273D">
        <w:rPr>
          <w:sz w:val="22"/>
          <w:szCs w:val="22"/>
        </w:rPr>
        <w:t xml:space="preserve">in year </w:t>
      </w:r>
      <w:r w:rsidR="0081679A" w:rsidRPr="00C7273D">
        <w:rPr>
          <w:i/>
          <w:sz w:val="22"/>
          <w:szCs w:val="22"/>
        </w:rPr>
        <w:t>t</w:t>
      </w:r>
      <w:r w:rsidR="004F241B">
        <w:rPr>
          <w:i/>
          <w:sz w:val="22"/>
          <w:szCs w:val="22"/>
        </w:rPr>
        <w:t>-1</w:t>
      </w:r>
      <w:r w:rsidR="0081679A" w:rsidRPr="00C7273D">
        <w:rPr>
          <w:i/>
          <w:sz w:val="22"/>
          <w:szCs w:val="22"/>
        </w:rPr>
        <w:t xml:space="preserve">, </w:t>
      </w:r>
      <w:r w:rsidR="0081679A" w:rsidRPr="00C7273D">
        <w:rPr>
          <w:sz w:val="22"/>
          <w:szCs w:val="22"/>
        </w:rPr>
        <w:t xml:space="preserve">scaled by </w:t>
      </w:r>
      <w:r w:rsidR="0098351A">
        <w:rPr>
          <w:i/>
          <w:sz w:val="22"/>
          <w:szCs w:val="22"/>
        </w:rPr>
        <w:t>AT</w:t>
      </w:r>
      <w:r w:rsidR="0098351A" w:rsidRPr="00C7273D">
        <w:rPr>
          <w:i/>
          <w:sz w:val="22"/>
          <w:szCs w:val="22"/>
        </w:rPr>
        <w:t xml:space="preserve"> </w:t>
      </w:r>
      <w:r w:rsidR="00C7273D" w:rsidRPr="00C7273D">
        <w:rPr>
          <w:sz w:val="22"/>
          <w:szCs w:val="22"/>
        </w:rPr>
        <w:t xml:space="preserve">in year </w:t>
      </w:r>
      <w:r w:rsidR="00C7273D" w:rsidRPr="00C7273D">
        <w:rPr>
          <w:i/>
          <w:sz w:val="22"/>
          <w:szCs w:val="22"/>
        </w:rPr>
        <w:t>t</w:t>
      </w:r>
      <w:r w:rsidR="004F241B">
        <w:rPr>
          <w:i/>
          <w:sz w:val="22"/>
          <w:szCs w:val="22"/>
        </w:rPr>
        <w:t>-1</w:t>
      </w:r>
      <w:r w:rsidR="0081679A" w:rsidRPr="00C7273D">
        <w:rPr>
          <w:sz w:val="22"/>
          <w:szCs w:val="22"/>
        </w:rPr>
        <w:t xml:space="preserve">. </w:t>
      </w:r>
      <w:r w:rsidR="004F241B">
        <w:rPr>
          <w:i/>
          <w:sz w:val="22"/>
          <w:szCs w:val="22"/>
        </w:rPr>
        <w:t>Med</w:t>
      </w:r>
      <w:r w:rsidR="004F241B" w:rsidRPr="00C7273D">
        <w:rPr>
          <w:i/>
          <w:sz w:val="22"/>
          <w:szCs w:val="22"/>
        </w:rPr>
        <w:t>Q</w:t>
      </w:r>
      <w:r w:rsidR="004F241B">
        <w:rPr>
          <w:i/>
          <w:sz w:val="22"/>
          <w:szCs w:val="22"/>
          <w:vertAlign w:val="subscript"/>
        </w:rPr>
        <w:t>t-1</w:t>
      </w:r>
      <w:r w:rsidR="004F241B" w:rsidRPr="00C7273D">
        <w:rPr>
          <w:sz w:val="22"/>
          <w:szCs w:val="22"/>
        </w:rPr>
        <w:t xml:space="preserve"> is the </w:t>
      </w:r>
      <w:r w:rsidR="004F241B">
        <w:rPr>
          <w:sz w:val="22"/>
          <w:szCs w:val="22"/>
        </w:rPr>
        <w:t xml:space="preserve">country-industry-year median </w:t>
      </w:r>
      <w:r w:rsidR="004F241B" w:rsidRPr="00C7273D">
        <w:rPr>
          <w:sz w:val="22"/>
          <w:szCs w:val="22"/>
        </w:rPr>
        <w:t xml:space="preserve">market value of equity in year </w:t>
      </w:r>
      <w:r w:rsidR="004F241B" w:rsidRPr="00C7273D">
        <w:rPr>
          <w:i/>
          <w:sz w:val="22"/>
          <w:szCs w:val="22"/>
        </w:rPr>
        <w:t>t</w:t>
      </w:r>
      <w:r w:rsidR="004F241B">
        <w:rPr>
          <w:i/>
          <w:sz w:val="22"/>
          <w:szCs w:val="22"/>
        </w:rPr>
        <w:t>-1</w:t>
      </w:r>
      <w:r w:rsidR="004F241B" w:rsidRPr="00C7273D">
        <w:rPr>
          <w:i/>
          <w:sz w:val="22"/>
          <w:szCs w:val="22"/>
        </w:rPr>
        <w:t xml:space="preserve"> </w:t>
      </w:r>
      <w:r w:rsidR="004F241B" w:rsidRPr="00C7273D">
        <w:rPr>
          <w:sz w:val="22"/>
          <w:szCs w:val="22"/>
        </w:rPr>
        <w:t>(</w:t>
      </w:r>
      <w:r w:rsidR="004F241B" w:rsidRPr="00C7273D">
        <w:rPr>
          <w:i/>
          <w:sz w:val="22"/>
          <w:szCs w:val="22"/>
        </w:rPr>
        <w:t>PRCC_F*CSHO</w:t>
      </w:r>
      <w:r w:rsidR="004F241B" w:rsidRPr="00C7273D">
        <w:rPr>
          <w:sz w:val="22"/>
          <w:szCs w:val="22"/>
        </w:rPr>
        <w:t>)</w:t>
      </w:r>
      <w:r w:rsidR="004F241B" w:rsidRPr="00C7273D">
        <w:rPr>
          <w:i/>
          <w:sz w:val="22"/>
          <w:szCs w:val="22"/>
        </w:rPr>
        <w:t xml:space="preserve"> </w:t>
      </w:r>
      <w:r w:rsidR="004F241B" w:rsidRPr="00C7273D">
        <w:rPr>
          <w:sz w:val="22"/>
          <w:szCs w:val="22"/>
        </w:rPr>
        <w:t xml:space="preserve">plus </w:t>
      </w:r>
      <w:r w:rsidR="0098351A">
        <w:rPr>
          <w:i/>
          <w:sz w:val="22"/>
          <w:szCs w:val="22"/>
        </w:rPr>
        <w:t>AT</w:t>
      </w:r>
      <w:r w:rsidR="004F241B" w:rsidRPr="00C7273D">
        <w:rPr>
          <w:sz w:val="22"/>
          <w:szCs w:val="22"/>
        </w:rPr>
        <w:t xml:space="preserve"> in year </w:t>
      </w:r>
      <w:r w:rsidR="004F241B" w:rsidRPr="00C7273D">
        <w:rPr>
          <w:i/>
          <w:sz w:val="22"/>
          <w:szCs w:val="22"/>
        </w:rPr>
        <w:t>t</w:t>
      </w:r>
      <w:r w:rsidR="004F241B">
        <w:rPr>
          <w:i/>
          <w:sz w:val="22"/>
          <w:szCs w:val="22"/>
        </w:rPr>
        <w:t>-1</w:t>
      </w:r>
      <w:r w:rsidR="004F241B" w:rsidRPr="00C7273D">
        <w:rPr>
          <w:i/>
          <w:sz w:val="22"/>
          <w:szCs w:val="22"/>
        </w:rPr>
        <w:t xml:space="preserve"> </w:t>
      </w:r>
      <w:r w:rsidR="004F241B" w:rsidRPr="00C7273D">
        <w:rPr>
          <w:sz w:val="22"/>
          <w:szCs w:val="22"/>
        </w:rPr>
        <w:t xml:space="preserve">less </w:t>
      </w:r>
      <w:r w:rsidR="004F241B" w:rsidRPr="00C7273D">
        <w:rPr>
          <w:i/>
          <w:sz w:val="22"/>
          <w:szCs w:val="22"/>
        </w:rPr>
        <w:t>CEQ</w:t>
      </w:r>
      <w:r w:rsidR="004F241B" w:rsidRPr="00C7273D">
        <w:rPr>
          <w:i/>
          <w:sz w:val="22"/>
          <w:szCs w:val="22"/>
          <w:vertAlign w:val="subscript"/>
        </w:rPr>
        <w:t xml:space="preserve"> </w:t>
      </w:r>
      <w:r w:rsidR="004F241B" w:rsidRPr="00C7273D">
        <w:rPr>
          <w:sz w:val="22"/>
          <w:szCs w:val="22"/>
        </w:rPr>
        <w:t xml:space="preserve">in year </w:t>
      </w:r>
      <w:r w:rsidR="004F241B" w:rsidRPr="00C7273D">
        <w:rPr>
          <w:i/>
          <w:sz w:val="22"/>
          <w:szCs w:val="22"/>
        </w:rPr>
        <w:t>t</w:t>
      </w:r>
      <w:r w:rsidR="004F241B">
        <w:rPr>
          <w:i/>
          <w:sz w:val="22"/>
          <w:szCs w:val="22"/>
        </w:rPr>
        <w:t>-1</w:t>
      </w:r>
      <w:r w:rsidR="004F241B" w:rsidRPr="00C7273D">
        <w:rPr>
          <w:i/>
          <w:sz w:val="22"/>
          <w:szCs w:val="22"/>
        </w:rPr>
        <w:t xml:space="preserve">, </w:t>
      </w:r>
      <w:r w:rsidR="004F241B" w:rsidRPr="00C7273D">
        <w:rPr>
          <w:sz w:val="22"/>
          <w:szCs w:val="22"/>
        </w:rPr>
        <w:t xml:space="preserve">scaled by </w:t>
      </w:r>
      <w:r w:rsidR="0098351A">
        <w:rPr>
          <w:i/>
          <w:sz w:val="22"/>
          <w:szCs w:val="22"/>
        </w:rPr>
        <w:t>AT</w:t>
      </w:r>
      <w:r w:rsidR="004F241B" w:rsidRPr="00C7273D">
        <w:rPr>
          <w:i/>
          <w:sz w:val="22"/>
          <w:szCs w:val="22"/>
        </w:rPr>
        <w:t xml:space="preserve"> </w:t>
      </w:r>
      <w:r w:rsidR="004F241B" w:rsidRPr="00C7273D">
        <w:rPr>
          <w:sz w:val="22"/>
          <w:szCs w:val="22"/>
        </w:rPr>
        <w:t xml:space="preserve">in year </w:t>
      </w:r>
      <w:r w:rsidR="004F241B" w:rsidRPr="00C7273D">
        <w:rPr>
          <w:i/>
          <w:sz w:val="22"/>
          <w:szCs w:val="22"/>
        </w:rPr>
        <w:t>t</w:t>
      </w:r>
      <w:r w:rsidR="004F241B">
        <w:rPr>
          <w:i/>
          <w:sz w:val="22"/>
          <w:szCs w:val="22"/>
        </w:rPr>
        <w:t>-1</w:t>
      </w:r>
      <w:r w:rsidR="004F241B" w:rsidRPr="00C7273D">
        <w:rPr>
          <w:sz w:val="22"/>
          <w:szCs w:val="22"/>
        </w:rPr>
        <w:t xml:space="preserve">. </w:t>
      </w:r>
      <w:r w:rsidR="00ED4692">
        <w:rPr>
          <w:i/>
          <w:sz w:val="22"/>
          <w:szCs w:val="22"/>
        </w:rPr>
        <w:t>MedPE</w:t>
      </w:r>
      <w:r w:rsidR="00ED4692">
        <w:rPr>
          <w:i/>
          <w:sz w:val="22"/>
          <w:szCs w:val="22"/>
          <w:vertAlign w:val="subscript"/>
        </w:rPr>
        <w:t>t-1</w:t>
      </w:r>
      <w:r w:rsidR="00ED4692" w:rsidRPr="00C7273D">
        <w:rPr>
          <w:sz w:val="22"/>
          <w:szCs w:val="22"/>
        </w:rPr>
        <w:t xml:space="preserve"> is the </w:t>
      </w:r>
      <w:r w:rsidR="00ED4692">
        <w:rPr>
          <w:sz w:val="22"/>
          <w:szCs w:val="22"/>
        </w:rPr>
        <w:t xml:space="preserve">country-industry-year median price to earnings ratio reported by </w:t>
      </w:r>
      <w:proofErr w:type="spellStart"/>
      <w:r w:rsidR="00ED4692" w:rsidRPr="00D251D2">
        <w:rPr>
          <w:i/>
          <w:sz w:val="22"/>
          <w:szCs w:val="22"/>
        </w:rPr>
        <w:t>WorldScope</w:t>
      </w:r>
      <w:proofErr w:type="spellEnd"/>
      <w:r w:rsidR="00ED4692" w:rsidRPr="00C7273D">
        <w:rPr>
          <w:sz w:val="22"/>
          <w:szCs w:val="22"/>
        </w:rPr>
        <w:t xml:space="preserve"> in year </w:t>
      </w:r>
      <w:r w:rsidR="00ED4692" w:rsidRPr="00C7273D">
        <w:rPr>
          <w:i/>
          <w:sz w:val="22"/>
          <w:szCs w:val="22"/>
        </w:rPr>
        <w:t>t</w:t>
      </w:r>
      <w:r w:rsidR="00ED4692">
        <w:rPr>
          <w:i/>
          <w:sz w:val="22"/>
          <w:szCs w:val="22"/>
        </w:rPr>
        <w:t>-1</w:t>
      </w:r>
      <w:r w:rsidR="00ED4692" w:rsidRPr="00C7273D">
        <w:rPr>
          <w:sz w:val="22"/>
          <w:szCs w:val="22"/>
        </w:rPr>
        <w:t xml:space="preserve">. </w:t>
      </w:r>
      <w:r w:rsidR="007E0C9E">
        <w:rPr>
          <w:i/>
          <w:sz w:val="22"/>
          <w:szCs w:val="22"/>
        </w:rPr>
        <w:t>CF</w:t>
      </w:r>
      <w:r w:rsidR="00ED4692" w:rsidRPr="009133F4">
        <w:rPr>
          <w:i/>
          <w:sz w:val="22"/>
          <w:szCs w:val="22"/>
          <w:vertAlign w:val="subscript"/>
        </w:rPr>
        <w:t>t-1</w:t>
      </w:r>
      <w:r w:rsidR="007E0C9E">
        <w:rPr>
          <w:i/>
          <w:sz w:val="22"/>
          <w:szCs w:val="22"/>
        </w:rPr>
        <w:t xml:space="preserve"> </w:t>
      </w:r>
      <w:r w:rsidR="007E0C9E">
        <w:rPr>
          <w:sz w:val="22"/>
          <w:szCs w:val="22"/>
        </w:rPr>
        <w:t xml:space="preserve">is </w:t>
      </w:r>
      <w:r w:rsidR="007E0C9E">
        <w:rPr>
          <w:i/>
          <w:sz w:val="22"/>
          <w:szCs w:val="22"/>
        </w:rPr>
        <w:t>C</w:t>
      </w:r>
      <w:r w:rsidR="007E0C9E" w:rsidRPr="00F66523">
        <w:rPr>
          <w:i/>
          <w:sz w:val="22"/>
          <w:szCs w:val="22"/>
        </w:rPr>
        <w:t>FO</w:t>
      </w:r>
      <w:r w:rsidR="00ED4692" w:rsidRPr="009133F4">
        <w:rPr>
          <w:i/>
          <w:sz w:val="22"/>
          <w:szCs w:val="22"/>
          <w:vertAlign w:val="subscript"/>
        </w:rPr>
        <w:t>t-1</w:t>
      </w:r>
      <w:r w:rsidR="007E0C9E" w:rsidRPr="00F66523">
        <w:rPr>
          <w:i/>
          <w:sz w:val="22"/>
          <w:szCs w:val="22"/>
        </w:rPr>
        <w:t xml:space="preserve"> </w:t>
      </w:r>
      <w:r w:rsidR="007E0C9E" w:rsidRPr="00F66523">
        <w:rPr>
          <w:sz w:val="22"/>
          <w:szCs w:val="22"/>
        </w:rPr>
        <w:t xml:space="preserve">scaled by </w:t>
      </w:r>
      <w:r w:rsidR="0098351A">
        <w:rPr>
          <w:i/>
          <w:sz w:val="22"/>
          <w:szCs w:val="22"/>
        </w:rPr>
        <w:t>AT</w:t>
      </w:r>
      <w:r w:rsidR="007E0C9E" w:rsidRPr="00F66523">
        <w:rPr>
          <w:i/>
          <w:sz w:val="22"/>
          <w:szCs w:val="22"/>
          <w:vertAlign w:val="subscript"/>
        </w:rPr>
        <w:t>t-</w:t>
      </w:r>
      <w:r w:rsidR="00ED4692">
        <w:rPr>
          <w:i/>
          <w:sz w:val="22"/>
          <w:szCs w:val="22"/>
          <w:vertAlign w:val="subscript"/>
        </w:rPr>
        <w:t>2</w:t>
      </w:r>
      <w:r w:rsidR="007E0C9E" w:rsidRPr="00F66523">
        <w:rPr>
          <w:sz w:val="22"/>
          <w:szCs w:val="22"/>
        </w:rPr>
        <w:t>.</w:t>
      </w:r>
      <w:r w:rsidR="00215FF3" w:rsidRPr="00F66523">
        <w:rPr>
          <w:sz w:val="22"/>
          <w:szCs w:val="22"/>
        </w:rPr>
        <w:t xml:space="preserve"> </w:t>
      </w:r>
      <w:r w:rsidR="00EC7114" w:rsidRPr="009133F4">
        <w:rPr>
          <w:i/>
          <w:iCs/>
          <w:sz w:val="22"/>
          <w:szCs w:val="22"/>
        </w:rPr>
        <w:t>LogAT</w:t>
      </w:r>
      <w:r w:rsidR="00EC7114" w:rsidRPr="009133F4">
        <w:rPr>
          <w:i/>
          <w:iCs/>
          <w:sz w:val="22"/>
          <w:szCs w:val="22"/>
          <w:vertAlign w:val="subscript"/>
        </w:rPr>
        <w:t>t-1</w:t>
      </w:r>
      <w:r w:rsidR="00EC7114">
        <w:rPr>
          <w:sz w:val="22"/>
          <w:szCs w:val="22"/>
        </w:rPr>
        <w:t xml:space="preserve"> is the natural log of </w:t>
      </w:r>
      <w:r w:rsidR="0098351A">
        <w:rPr>
          <w:i/>
          <w:sz w:val="22"/>
          <w:szCs w:val="22"/>
        </w:rPr>
        <w:t>AT</w:t>
      </w:r>
      <w:r w:rsidR="00EC7114" w:rsidRPr="009133F4">
        <w:rPr>
          <w:i/>
          <w:sz w:val="22"/>
          <w:szCs w:val="22"/>
          <w:vertAlign w:val="subscript"/>
        </w:rPr>
        <w:t>t-1</w:t>
      </w:r>
      <w:r w:rsidR="00215FF3" w:rsidRPr="00F66523">
        <w:rPr>
          <w:sz w:val="22"/>
          <w:szCs w:val="22"/>
        </w:rPr>
        <w:t>.</w:t>
      </w:r>
      <w:r w:rsidR="00F66523">
        <w:rPr>
          <w:sz w:val="22"/>
          <w:szCs w:val="22"/>
        </w:rPr>
        <w:t xml:space="preserve"> </w:t>
      </w:r>
      <w:r w:rsidR="002D5126">
        <w:rPr>
          <w:i/>
          <w:iCs/>
          <w:sz w:val="22"/>
          <w:szCs w:val="22"/>
        </w:rPr>
        <w:t>ROA</w:t>
      </w:r>
      <w:r w:rsidR="002D5126" w:rsidRPr="003D3966">
        <w:rPr>
          <w:i/>
          <w:iCs/>
          <w:sz w:val="22"/>
          <w:szCs w:val="22"/>
          <w:vertAlign w:val="subscript"/>
        </w:rPr>
        <w:t>t-1</w:t>
      </w:r>
      <w:r w:rsidR="002D5126">
        <w:rPr>
          <w:sz w:val="22"/>
          <w:szCs w:val="22"/>
        </w:rPr>
        <w:t xml:space="preserve"> is income before extraordinary items (</w:t>
      </w:r>
      <w:r w:rsidR="002D5126">
        <w:rPr>
          <w:i/>
          <w:iCs/>
          <w:sz w:val="22"/>
          <w:szCs w:val="22"/>
        </w:rPr>
        <w:t>IB)</w:t>
      </w:r>
      <w:r w:rsidR="002D5126">
        <w:rPr>
          <w:sz w:val="22"/>
          <w:szCs w:val="22"/>
        </w:rPr>
        <w:t xml:space="preserve"> scaled by </w:t>
      </w:r>
      <w:r w:rsidR="0098351A">
        <w:rPr>
          <w:i/>
          <w:sz w:val="22"/>
          <w:szCs w:val="22"/>
        </w:rPr>
        <w:t>AT</w:t>
      </w:r>
      <w:r w:rsidR="002D5126" w:rsidRPr="003D3966">
        <w:rPr>
          <w:i/>
          <w:sz w:val="22"/>
          <w:szCs w:val="22"/>
          <w:vertAlign w:val="subscript"/>
        </w:rPr>
        <w:t>t-1</w:t>
      </w:r>
      <w:r w:rsidR="002D5126" w:rsidRPr="00F66523">
        <w:rPr>
          <w:sz w:val="22"/>
          <w:szCs w:val="22"/>
        </w:rPr>
        <w:t>.</w:t>
      </w:r>
      <w:r w:rsidR="002D5126">
        <w:rPr>
          <w:sz w:val="22"/>
          <w:szCs w:val="22"/>
        </w:rPr>
        <w:t xml:space="preserve"> </w:t>
      </w:r>
      <w:r w:rsidR="00F66523" w:rsidRPr="00D40129">
        <w:rPr>
          <w:i/>
          <w:sz w:val="22"/>
          <w:szCs w:val="22"/>
        </w:rPr>
        <w:t>G</w:t>
      </w:r>
      <w:r w:rsidR="00F66523" w:rsidRPr="00D40129">
        <w:rPr>
          <w:sz w:val="22"/>
          <w:szCs w:val="22"/>
        </w:rPr>
        <w:t xml:space="preserve"> is a firm-specific measure of sensitivity to tax rates calculated as </w:t>
      </w:r>
      <w:r w:rsidR="00F66523">
        <w:rPr>
          <w:sz w:val="22"/>
          <w:szCs w:val="22"/>
        </w:rPr>
        <w:t xml:space="preserve">negative one multiplied by </w:t>
      </w:r>
      <w:r w:rsidR="00F66523" w:rsidRPr="00D40129">
        <w:rPr>
          <w:sz w:val="22"/>
          <w:szCs w:val="22"/>
        </w:rPr>
        <w:t xml:space="preserve">the sum of </w:t>
      </w:r>
      <w:r w:rsidR="00F66523">
        <w:rPr>
          <w:sz w:val="22"/>
          <w:szCs w:val="22"/>
        </w:rPr>
        <w:t>estimated</w:t>
      </w:r>
      <w:r w:rsidR="00F66523" w:rsidRPr="00D40129">
        <w:rPr>
          <w:i/>
          <w:sz w:val="22"/>
          <w:szCs w:val="22"/>
        </w:rPr>
        <w:t xml:space="preserve"> β</w:t>
      </w:r>
      <w:r w:rsidR="00F66523" w:rsidRPr="00D40129">
        <w:rPr>
          <w:i/>
          <w:sz w:val="22"/>
          <w:szCs w:val="22"/>
          <w:vertAlign w:val="subscript"/>
        </w:rPr>
        <w:t>7</w:t>
      </w:r>
      <w:r w:rsidR="00F66523" w:rsidRPr="00D40129">
        <w:rPr>
          <w:sz w:val="22"/>
          <w:szCs w:val="22"/>
        </w:rPr>
        <w:t xml:space="preserve"> and</w:t>
      </w:r>
      <w:r w:rsidR="00F66523" w:rsidRPr="00D40129">
        <w:rPr>
          <w:i/>
          <w:sz w:val="22"/>
          <w:szCs w:val="22"/>
        </w:rPr>
        <w:t xml:space="preserve"> β</w:t>
      </w:r>
      <w:r w:rsidR="00F66523" w:rsidRPr="00D40129">
        <w:rPr>
          <w:i/>
          <w:sz w:val="22"/>
          <w:szCs w:val="22"/>
          <w:vertAlign w:val="subscript"/>
        </w:rPr>
        <w:t>11</w:t>
      </w:r>
      <w:r w:rsidR="00F66523" w:rsidRPr="00D40129">
        <w:rPr>
          <w:sz w:val="22"/>
          <w:szCs w:val="22"/>
        </w:rPr>
        <w:t xml:space="preserve"> from estimating the following regression using affiliate-level data: </w:t>
      </w:r>
    </w:p>
    <w:p w14:paraId="5CAADC31" w14:textId="77777777" w:rsidR="00F66523" w:rsidRPr="00D40129" w:rsidRDefault="00F66523" w:rsidP="00F66523">
      <w:pPr>
        <w:jc w:val="both"/>
        <w:rPr>
          <w:i/>
          <w:sz w:val="22"/>
          <w:szCs w:val="22"/>
        </w:rPr>
      </w:pPr>
      <w:proofErr w:type="gramStart"/>
      <w:r w:rsidRPr="00D40129">
        <w:rPr>
          <w:sz w:val="22"/>
          <w:szCs w:val="22"/>
        </w:rPr>
        <w:t>ln(</w:t>
      </w:r>
      <w:proofErr w:type="gramEnd"/>
      <w:r w:rsidRPr="00D40129">
        <w:rPr>
          <w:i/>
          <w:sz w:val="22"/>
          <w:szCs w:val="22"/>
        </w:rPr>
        <w:sym w:font="Symbol" w:char="F070"/>
      </w:r>
      <w:proofErr w:type="spellStart"/>
      <w:r w:rsidRPr="00D40129">
        <w:rPr>
          <w:i/>
          <w:sz w:val="22"/>
          <w:szCs w:val="22"/>
          <w:vertAlign w:val="subscript"/>
        </w:rPr>
        <w:t>i</w:t>
      </w:r>
      <w:proofErr w:type="spellEnd"/>
      <w:r w:rsidRPr="00D40129">
        <w:rPr>
          <w:sz w:val="22"/>
          <w:szCs w:val="22"/>
        </w:rPr>
        <w:t xml:space="preserve"> + 1) = </w:t>
      </w:r>
      <w:r w:rsidRPr="00D40129">
        <w:rPr>
          <w:i/>
          <w:sz w:val="22"/>
          <w:szCs w:val="22"/>
        </w:rPr>
        <w:t>β</w:t>
      </w:r>
      <w:r w:rsidRPr="00D40129">
        <w:rPr>
          <w:i/>
          <w:sz w:val="22"/>
          <w:szCs w:val="22"/>
          <w:vertAlign w:val="subscript"/>
        </w:rPr>
        <w:t>0</w:t>
      </w:r>
      <w:r w:rsidRPr="00D40129">
        <w:rPr>
          <w:sz w:val="22"/>
          <w:szCs w:val="22"/>
        </w:rPr>
        <w:t xml:space="preserve"> + </w:t>
      </w:r>
      <w:r w:rsidRPr="00D40129">
        <w:rPr>
          <w:i/>
          <w:sz w:val="22"/>
          <w:szCs w:val="22"/>
        </w:rPr>
        <w:t>β</w:t>
      </w:r>
      <w:r w:rsidRPr="00D40129">
        <w:rPr>
          <w:i/>
          <w:sz w:val="22"/>
          <w:szCs w:val="22"/>
          <w:vertAlign w:val="subscript"/>
        </w:rPr>
        <w:t>1</w:t>
      </w:r>
      <w:r w:rsidRPr="00D40129">
        <w:rPr>
          <w:i/>
          <w:sz w:val="22"/>
          <w:szCs w:val="22"/>
        </w:rPr>
        <w:t>*</w:t>
      </w:r>
      <w:r w:rsidRPr="00D40129">
        <w:rPr>
          <w:sz w:val="22"/>
          <w:szCs w:val="22"/>
        </w:rPr>
        <w:t>ln(</w:t>
      </w:r>
      <w:proofErr w:type="spellStart"/>
      <w:r w:rsidRPr="00D40129">
        <w:rPr>
          <w:i/>
          <w:sz w:val="22"/>
          <w:szCs w:val="22"/>
        </w:rPr>
        <w:t>TangibleAssets</w:t>
      </w:r>
      <w:r w:rsidRPr="00D40129">
        <w:rPr>
          <w:i/>
          <w:sz w:val="22"/>
          <w:szCs w:val="22"/>
          <w:vertAlign w:val="subscript"/>
        </w:rPr>
        <w:t>it</w:t>
      </w:r>
      <w:proofErr w:type="spellEnd"/>
      <w:r w:rsidRPr="00D40129">
        <w:rPr>
          <w:sz w:val="22"/>
          <w:szCs w:val="22"/>
        </w:rPr>
        <w:t xml:space="preserve">) + </w:t>
      </w:r>
      <w:r w:rsidRPr="00D40129">
        <w:rPr>
          <w:i/>
          <w:sz w:val="22"/>
          <w:szCs w:val="22"/>
        </w:rPr>
        <w:t>β</w:t>
      </w:r>
      <w:r w:rsidRPr="00D40129">
        <w:rPr>
          <w:i/>
          <w:sz w:val="22"/>
          <w:szCs w:val="22"/>
          <w:vertAlign w:val="subscript"/>
        </w:rPr>
        <w:t>2</w:t>
      </w:r>
      <w:r w:rsidRPr="00D40129">
        <w:rPr>
          <w:i/>
          <w:sz w:val="22"/>
          <w:szCs w:val="22"/>
        </w:rPr>
        <w:t>*</w:t>
      </w:r>
      <w:r w:rsidRPr="00D40129">
        <w:rPr>
          <w:sz w:val="22"/>
          <w:szCs w:val="22"/>
        </w:rPr>
        <w:t>ln(</w:t>
      </w:r>
      <w:proofErr w:type="spellStart"/>
      <w:r w:rsidRPr="00D40129">
        <w:rPr>
          <w:i/>
          <w:sz w:val="22"/>
          <w:szCs w:val="22"/>
        </w:rPr>
        <w:t>CompExp</w:t>
      </w:r>
      <w:r w:rsidRPr="00D40129">
        <w:rPr>
          <w:i/>
          <w:sz w:val="22"/>
          <w:szCs w:val="22"/>
          <w:vertAlign w:val="subscript"/>
        </w:rPr>
        <w:t>it</w:t>
      </w:r>
      <w:proofErr w:type="spellEnd"/>
      <w:r w:rsidRPr="00D40129">
        <w:rPr>
          <w:sz w:val="22"/>
          <w:szCs w:val="22"/>
        </w:rPr>
        <w:t xml:space="preserve">) + </w:t>
      </w:r>
      <w:r w:rsidRPr="00D40129">
        <w:rPr>
          <w:i/>
          <w:sz w:val="22"/>
          <w:szCs w:val="22"/>
        </w:rPr>
        <w:t>β</w:t>
      </w:r>
      <w:r w:rsidRPr="00D40129">
        <w:rPr>
          <w:i/>
          <w:sz w:val="22"/>
          <w:szCs w:val="22"/>
          <w:vertAlign w:val="subscript"/>
        </w:rPr>
        <w:t>3</w:t>
      </w:r>
      <w:r w:rsidRPr="00D40129">
        <w:rPr>
          <w:i/>
          <w:sz w:val="22"/>
          <w:szCs w:val="22"/>
        </w:rPr>
        <w:t>*</w:t>
      </w:r>
      <w:proofErr w:type="spellStart"/>
      <w:r w:rsidRPr="00D40129">
        <w:rPr>
          <w:i/>
          <w:sz w:val="22"/>
          <w:szCs w:val="22"/>
        </w:rPr>
        <w:t>IndustryROA</w:t>
      </w:r>
      <w:r w:rsidRPr="00D40129">
        <w:rPr>
          <w:i/>
          <w:sz w:val="22"/>
          <w:szCs w:val="22"/>
          <w:vertAlign w:val="subscript"/>
        </w:rPr>
        <w:t>t</w:t>
      </w:r>
      <w:proofErr w:type="spellEnd"/>
      <w:r w:rsidRPr="00D40129">
        <w:rPr>
          <w:sz w:val="22"/>
          <w:szCs w:val="22"/>
        </w:rPr>
        <w:t xml:space="preserve"> </w:t>
      </w:r>
      <w:r w:rsidRPr="00D40129">
        <w:rPr>
          <w:i/>
          <w:sz w:val="22"/>
          <w:szCs w:val="22"/>
        </w:rPr>
        <w:t>+ β</w:t>
      </w:r>
      <w:r w:rsidRPr="00D40129">
        <w:rPr>
          <w:i/>
          <w:sz w:val="22"/>
          <w:szCs w:val="22"/>
          <w:vertAlign w:val="subscript"/>
        </w:rPr>
        <w:t>4</w:t>
      </w:r>
      <w:r w:rsidRPr="00D40129">
        <w:rPr>
          <w:i/>
          <w:sz w:val="22"/>
          <w:szCs w:val="22"/>
        </w:rPr>
        <w:t>*</w:t>
      </w:r>
      <w:proofErr w:type="spellStart"/>
      <w:r w:rsidRPr="00D40129">
        <w:rPr>
          <w:i/>
          <w:sz w:val="22"/>
          <w:szCs w:val="22"/>
        </w:rPr>
        <w:t>Age</w:t>
      </w:r>
      <w:r w:rsidRPr="00D40129">
        <w:rPr>
          <w:i/>
          <w:sz w:val="22"/>
          <w:szCs w:val="22"/>
          <w:vertAlign w:val="subscript"/>
        </w:rPr>
        <w:t>it</w:t>
      </w:r>
      <w:proofErr w:type="spellEnd"/>
      <w:r w:rsidRPr="00D40129">
        <w:rPr>
          <w:i/>
          <w:sz w:val="22"/>
          <w:szCs w:val="22"/>
        </w:rPr>
        <w:t xml:space="preserve"> + β</w:t>
      </w:r>
      <w:r w:rsidRPr="00D40129">
        <w:rPr>
          <w:i/>
          <w:sz w:val="22"/>
          <w:szCs w:val="22"/>
          <w:vertAlign w:val="subscript"/>
        </w:rPr>
        <w:t>5</w:t>
      </w:r>
      <w:r w:rsidRPr="00D40129">
        <w:rPr>
          <w:i/>
          <w:sz w:val="22"/>
          <w:szCs w:val="22"/>
        </w:rPr>
        <w:t>*∆</w:t>
      </w:r>
      <w:proofErr w:type="spellStart"/>
      <w:r w:rsidRPr="00D40129">
        <w:rPr>
          <w:i/>
          <w:sz w:val="22"/>
          <w:szCs w:val="22"/>
        </w:rPr>
        <w:t>GDP</w:t>
      </w:r>
      <w:r w:rsidRPr="00D40129">
        <w:rPr>
          <w:i/>
          <w:sz w:val="22"/>
          <w:szCs w:val="22"/>
          <w:vertAlign w:val="subscript"/>
        </w:rPr>
        <w:t>t</w:t>
      </w:r>
      <w:proofErr w:type="spellEnd"/>
      <w:r w:rsidRPr="00D40129">
        <w:rPr>
          <w:i/>
          <w:sz w:val="22"/>
          <w:szCs w:val="22"/>
        </w:rPr>
        <w:t xml:space="preserve"> </w:t>
      </w:r>
    </w:p>
    <w:p w14:paraId="21CE2728" w14:textId="1946AA41" w:rsidR="00F66523" w:rsidRPr="00D40129" w:rsidRDefault="00F66523" w:rsidP="00F66523">
      <w:pPr>
        <w:jc w:val="both"/>
        <w:rPr>
          <w:sz w:val="22"/>
          <w:szCs w:val="22"/>
        </w:rPr>
      </w:pPr>
      <w:r w:rsidRPr="00D40129">
        <w:rPr>
          <w:i/>
          <w:sz w:val="22"/>
          <w:szCs w:val="22"/>
        </w:rPr>
        <w:t xml:space="preserve">   + β</w:t>
      </w:r>
      <w:r w:rsidRPr="00D40129">
        <w:rPr>
          <w:i/>
          <w:sz w:val="22"/>
          <w:szCs w:val="22"/>
          <w:vertAlign w:val="subscript"/>
        </w:rPr>
        <w:t>6</w:t>
      </w:r>
      <w:r w:rsidRPr="00D40129">
        <w:rPr>
          <w:i/>
          <w:sz w:val="22"/>
          <w:szCs w:val="22"/>
        </w:rPr>
        <w:t>*∆</w:t>
      </w:r>
      <w:proofErr w:type="spellStart"/>
      <w:r w:rsidRPr="00D40129">
        <w:rPr>
          <w:i/>
          <w:sz w:val="22"/>
          <w:szCs w:val="22"/>
        </w:rPr>
        <w:t>MarketSize</w:t>
      </w:r>
      <w:r w:rsidRPr="00D40129">
        <w:rPr>
          <w:i/>
          <w:sz w:val="22"/>
          <w:szCs w:val="22"/>
          <w:vertAlign w:val="subscript"/>
        </w:rPr>
        <w:t>t</w:t>
      </w:r>
      <w:proofErr w:type="spellEnd"/>
      <w:r w:rsidRPr="00D40129">
        <w:rPr>
          <w:i/>
          <w:sz w:val="22"/>
          <w:szCs w:val="22"/>
        </w:rPr>
        <w:t xml:space="preserve"> + β</w:t>
      </w:r>
      <w:r w:rsidRPr="00D40129">
        <w:rPr>
          <w:i/>
          <w:sz w:val="22"/>
          <w:szCs w:val="22"/>
          <w:vertAlign w:val="subscript"/>
        </w:rPr>
        <w:t>7</w:t>
      </w:r>
      <w:r w:rsidRPr="00D40129">
        <w:rPr>
          <w:i/>
          <w:sz w:val="22"/>
          <w:szCs w:val="22"/>
        </w:rPr>
        <w:t>*</w:t>
      </w:r>
      <w:proofErr w:type="spellStart"/>
      <w:r w:rsidRPr="00D40129">
        <w:rPr>
          <w:i/>
          <w:sz w:val="22"/>
          <w:szCs w:val="22"/>
        </w:rPr>
        <w:t>C</w:t>
      </w:r>
      <w:r w:rsidRPr="00D40129">
        <w:rPr>
          <w:i/>
          <w:sz w:val="22"/>
          <w:szCs w:val="22"/>
          <w:vertAlign w:val="subscript"/>
        </w:rPr>
        <w:t>it</w:t>
      </w:r>
      <w:proofErr w:type="spellEnd"/>
      <w:r w:rsidRPr="00D40129">
        <w:rPr>
          <w:i/>
          <w:sz w:val="22"/>
          <w:szCs w:val="22"/>
        </w:rPr>
        <w:t xml:space="preserve"> + β</w:t>
      </w:r>
      <w:r w:rsidRPr="00D40129">
        <w:rPr>
          <w:i/>
          <w:sz w:val="22"/>
          <w:szCs w:val="22"/>
          <w:vertAlign w:val="subscript"/>
        </w:rPr>
        <w:t>8</w:t>
      </w:r>
      <w:r w:rsidRPr="00D40129">
        <w:rPr>
          <w:i/>
          <w:sz w:val="22"/>
          <w:szCs w:val="22"/>
        </w:rPr>
        <w:t>*</w:t>
      </w:r>
      <w:proofErr w:type="spellStart"/>
      <w:r w:rsidRPr="00D40129">
        <w:rPr>
          <w:i/>
          <w:sz w:val="22"/>
          <w:szCs w:val="22"/>
        </w:rPr>
        <w:t>Loss</w:t>
      </w:r>
      <w:r w:rsidRPr="00D40129">
        <w:rPr>
          <w:i/>
          <w:sz w:val="22"/>
          <w:szCs w:val="22"/>
          <w:vertAlign w:val="subscript"/>
        </w:rPr>
        <w:t>it</w:t>
      </w:r>
      <w:proofErr w:type="spellEnd"/>
      <w:r w:rsidRPr="00D40129">
        <w:rPr>
          <w:i/>
          <w:sz w:val="22"/>
          <w:szCs w:val="22"/>
        </w:rPr>
        <w:t xml:space="preserve"> + β</w:t>
      </w:r>
      <w:r w:rsidRPr="00D40129">
        <w:rPr>
          <w:i/>
          <w:sz w:val="22"/>
          <w:szCs w:val="22"/>
          <w:vertAlign w:val="subscript"/>
        </w:rPr>
        <w:t>9</w:t>
      </w:r>
      <w:r w:rsidRPr="00D40129">
        <w:rPr>
          <w:i/>
          <w:sz w:val="22"/>
          <w:szCs w:val="22"/>
        </w:rPr>
        <w:t>*</w:t>
      </w:r>
      <w:proofErr w:type="spellStart"/>
      <w:r w:rsidRPr="00D40129">
        <w:rPr>
          <w:i/>
          <w:sz w:val="22"/>
          <w:szCs w:val="22"/>
        </w:rPr>
        <w:t>Loss</w:t>
      </w:r>
      <w:r w:rsidRPr="00D40129">
        <w:rPr>
          <w:i/>
          <w:sz w:val="22"/>
          <w:szCs w:val="22"/>
          <w:vertAlign w:val="subscript"/>
        </w:rPr>
        <w:t>it</w:t>
      </w:r>
      <w:proofErr w:type="spellEnd"/>
      <w:r w:rsidRPr="00D40129">
        <w:rPr>
          <w:i/>
          <w:sz w:val="22"/>
          <w:szCs w:val="22"/>
        </w:rPr>
        <w:t>*</w:t>
      </w:r>
      <w:proofErr w:type="spellStart"/>
      <w:r w:rsidRPr="00D40129">
        <w:rPr>
          <w:i/>
          <w:sz w:val="22"/>
          <w:szCs w:val="22"/>
        </w:rPr>
        <w:t>C</w:t>
      </w:r>
      <w:r w:rsidRPr="00D40129">
        <w:rPr>
          <w:i/>
          <w:sz w:val="22"/>
          <w:szCs w:val="22"/>
          <w:vertAlign w:val="subscript"/>
        </w:rPr>
        <w:t>it</w:t>
      </w:r>
      <w:proofErr w:type="spellEnd"/>
      <w:r w:rsidRPr="00D40129">
        <w:rPr>
          <w:sz w:val="22"/>
          <w:szCs w:val="22"/>
        </w:rPr>
        <w:t xml:space="preserve"> + </w:t>
      </w:r>
      <w:r w:rsidRPr="00D40129">
        <w:rPr>
          <w:i/>
          <w:sz w:val="22"/>
          <w:szCs w:val="22"/>
        </w:rPr>
        <w:t>β</w:t>
      </w:r>
      <w:r w:rsidRPr="00D40129">
        <w:rPr>
          <w:i/>
          <w:sz w:val="22"/>
          <w:szCs w:val="22"/>
          <w:vertAlign w:val="subscript"/>
        </w:rPr>
        <w:t>10</w:t>
      </w:r>
      <w:proofErr w:type="gramStart"/>
      <w:r w:rsidR="00632ACC">
        <w:rPr>
          <w:i/>
          <w:sz w:val="22"/>
          <w:szCs w:val="22"/>
          <w:vertAlign w:val="subscript"/>
        </w:rPr>
        <w:t>,</w:t>
      </w:r>
      <w:r w:rsidR="00632ACC" w:rsidRPr="00625372">
        <w:rPr>
          <w:i/>
          <w:sz w:val="22"/>
          <w:szCs w:val="22"/>
          <w:vertAlign w:val="subscript"/>
        </w:rPr>
        <w:t>f</w:t>
      </w:r>
      <w:proofErr w:type="gramEnd"/>
      <w:r w:rsidRPr="00D40129">
        <w:rPr>
          <w:sz w:val="22"/>
          <w:szCs w:val="22"/>
        </w:rPr>
        <w:t>*</w:t>
      </w:r>
      <w:proofErr w:type="spellStart"/>
      <w:r w:rsidRPr="00D40129">
        <w:rPr>
          <w:i/>
          <w:sz w:val="22"/>
          <w:szCs w:val="22"/>
        </w:rPr>
        <w:t>Firm</w:t>
      </w:r>
      <w:r w:rsidR="00632ACC" w:rsidRPr="00625372">
        <w:rPr>
          <w:i/>
          <w:sz w:val="22"/>
          <w:szCs w:val="22"/>
          <w:vertAlign w:val="subscript"/>
        </w:rPr>
        <w:t>f</w:t>
      </w:r>
      <w:proofErr w:type="spellEnd"/>
      <w:r w:rsidRPr="00D40129">
        <w:rPr>
          <w:sz w:val="22"/>
          <w:szCs w:val="22"/>
        </w:rPr>
        <w:t xml:space="preserve"> + </w:t>
      </w:r>
      <w:r w:rsidRPr="00D40129">
        <w:rPr>
          <w:i/>
          <w:sz w:val="22"/>
          <w:szCs w:val="22"/>
        </w:rPr>
        <w:t>β</w:t>
      </w:r>
      <w:r w:rsidRPr="00D40129">
        <w:rPr>
          <w:i/>
          <w:sz w:val="22"/>
          <w:szCs w:val="22"/>
          <w:vertAlign w:val="subscript"/>
        </w:rPr>
        <w:t>11</w:t>
      </w:r>
      <w:r w:rsidR="00632ACC">
        <w:rPr>
          <w:i/>
          <w:sz w:val="22"/>
          <w:szCs w:val="22"/>
          <w:vertAlign w:val="subscript"/>
        </w:rPr>
        <w:t>,</w:t>
      </w:r>
      <w:r w:rsidR="00632ACC" w:rsidRPr="00625372">
        <w:rPr>
          <w:i/>
          <w:sz w:val="22"/>
          <w:szCs w:val="22"/>
          <w:vertAlign w:val="subscript"/>
        </w:rPr>
        <w:t>f</w:t>
      </w:r>
      <w:r w:rsidRPr="00D40129">
        <w:rPr>
          <w:sz w:val="22"/>
          <w:szCs w:val="22"/>
        </w:rPr>
        <w:t>*</w:t>
      </w:r>
      <w:proofErr w:type="spellStart"/>
      <w:r w:rsidRPr="00D40129">
        <w:rPr>
          <w:i/>
          <w:sz w:val="22"/>
          <w:szCs w:val="22"/>
        </w:rPr>
        <w:t>Firm</w:t>
      </w:r>
      <w:r w:rsidR="00632ACC" w:rsidRPr="000571DD">
        <w:rPr>
          <w:i/>
          <w:sz w:val="22"/>
          <w:szCs w:val="22"/>
          <w:vertAlign w:val="subscript"/>
        </w:rPr>
        <w:t>f</w:t>
      </w:r>
      <w:proofErr w:type="spellEnd"/>
      <w:r w:rsidRPr="00D40129">
        <w:rPr>
          <w:i/>
          <w:sz w:val="22"/>
          <w:szCs w:val="22"/>
        </w:rPr>
        <w:t>*</w:t>
      </w:r>
      <w:proofErr w:type="spellStart"/>
      <w:r w:rsidRPr="00D40129">
        <w:rPr>
          <w:i/>
          <w:sz w:val="22"/>
          <w:szCs w:val="22"/>
        </w:rPr>
        <w:t>C</w:t>
      </w:r>
      <w:r w:rsidRPr="00D40129">
        <w:rPr>
          <w:i/>
          <w:sz w:val="22"/>
          <w:szCs w:val="22"/>
          <w:vertAlign w:val="subscript"/>
        </w:rPr>
        <w:t>it</w:t>
      </w:r>
      <w:proofErr w:type="spellEnd"/>
      <w:r w:rsidRPr="00D40129">
        <w:rPr>
          <w:sz w:val="22"/>
          <w:szCs w:val="22"/>
        </w:rPr>
        <w:t xml:space="preserve"> + </w:t>
      </w:r>
      <w:r w:rsidRPr="00D40129">
        <w:rPr>
          <w:i/>
          <w:sz w:val="22"/>
          <w:szCs w:val="22"/>
        </w:rPr>
        <w:t>β</w:t>
      </w:r>
      <w:r w:rsidRPr="00D40129">
        <w:rPr>
          <w:i/>
          <w:sz w:val="22"/>
          <w:szCs w:val="22"/>
          <w:vertAlign w:val="subscript"/>
        </w:rPr>
        <w:t>12</w:t>
      </w:r>
      <w:r w:rsidR="00632ACC">
        <w:rPr>
          <w:i/>
          <w:sz w:val="22"/>
          <w:szCs w:val="22"/>
          <w:vertAlign w:val="subscript"/>
        </w:rPr>
        <w:t>,</w:t>
      </w:r>
      <w:r w:rsidR="00632ACC" w:rsidRPr="00625372">
        <w:rPr>
          <w:i/>
          <w:sz w:val="22"/>
          <w:szCs w:val="22"/>
          <w:vertAlign w:val="subscript"/>
        </w:rPr>
        <w:t>f</w:t>
      </w:r>
      <w:r w:rsidRPr="00D40129">
        <w:rPr>
          <w:i/>
          <w:sz w:val="22"/>
          <w:szCs w:val="22"/>
        </w:rPr>
        <w:t>*</w:t>
      </w:r>
      <w:proofErr w:type="spellStart"/>
      <w:r w:rsidRPr="00D40129">
        <w:rPr>
          <w:i/>
          <w:sz w:val="22"/>
          <w:szCs w:val="22"/>
        </w:rPr>
        <w:t>Firm</w:t>
      </w:r>
      <w:r w:rsidR="00632ACC" w:rsidRPr="00625372">
        <w:rPr>
          <w:i/>
          <w:sz w:val="22"/>
          <w:szCs w:val="22"/>
          <w:vertAlign w:val="subscript"/>
        </w:rPr>
        <w:t>f</w:t>
      </w:r>
      <w:proofErr w:type="spellEnd"/>
      <w:r w:rsidRPr="00D40129">
        <w:rPr>
          <w:sz w:val="22"/>
          <w:szCs w:val="22"/>
        </w:rPr>
        <w:t>*</w:t>
      </w:r>
      <w:proofErr w:type="spellStart"/>
      <w:r w:rsidRPr="00D40129">
        <w:rPr>
          <w:i/>
          <w:sz w:val="22"/>
          <w:szCs w:val="22"/>
        </w:rPr>
        <w:t>Loss</w:t>
      </w:r>
      <w:r w:rsidRPr="00D40129">
        <w:rPr>
          <w:i/>
          <w:sz w:val="22"/>
          <w:szCs w:val="22"/>
          <w:vertAlign w:val="subscript"/>
        </w:rPr>
        <w:t>it</w:t>
      </w:r>
      <w:proofErr w:type="spellEnd"/>
      <w:r w:rsidRPr="00D40129">
        <w:rPr>
          <w:sz w:val="22"/>
          <w:szCs w:val="22"/>
        </w:rPr>
        <w:t xml:space="preserve"> </w:t>
      </w:r>
    </w:p>
    <w:p w14:paraId="12D66EC2" w14:textId="0A46D478" w:rsidR="00F66523" w:rsidRDefault="00F66523" w:rsidP="00F66523">
      <w:pPr>
        <w:rPr>
          <w:sz w:val="22"/>
          <w:szCs w:val="22"/>
        </w:rPr>
      </w:pPr>
      <w:r w:rsidRPr="00D40129">
        <w:rPr>
          <w:sz w:val="22"/>
          <w:szCs w:val="22"/>
        </w:rPr>
        <w:t xml:space="preserve">   + </w:t>
      </w:r>
      <w:r w:rsidRPr="00D40129">
        <w:rPr>
          <w:i/>
          <w:sz w:val="22"/>
          <w:szCs w:val="22"/>
        </w:rPr>
        <w:t>β</w:t>
      </w:r>
      <w:r w:rsidRPr="00D40129">
        <w:rPr>
          <w:i/>
          <w:sz w:val="22"/>
          <w:szCs w:val="22"/>
          <w:vertAlign w:val="subscript"/>
        </w:rPr>
        <w:t>13</w:t>
      </w:r>
      <w:proofErr w:type="gramStart"/>
      <w:r w:rsidR="00632ACC">
        <w:rPr>
          <w:i/>
          <w:sz w:val="22"/>
          <w:szCs w:val="22"/>
          <w:vertAlign w:val="subscript"/>
        </w:rPr>
        <w:t>,</w:t>
      </w:r>
      <w:r w:rsidR="00632ACC" w:rsidRPr="00625372">
        <w:rPr>
          <w:i/>
          <w:sz w:val="22"/>
          <w:szCs w:val="22"/>
          <w:vertAlign w:val="subscript"/>
        </w:rPr>
        <w:t>f</w:t>
      </w:r>
      <w:proofErr w:type="gramEnd"/>
      <w:r w:rsidRPr="00D40129">
        <w:rPr>
          <w:i/>
          <w:sz w:val="22"/>
          <w:szCs w:val="22"/>
        </w:rPr>
        <w:t>*</w:t>
      </w:r>
      <w:proofErr w:type="spellStart"/>
      <w:r w:rsidRPr="00D40129">
        <w:rPr>
          <w:i/>
          <w:sz w:val="22"/>
          <w:szCs w:val="22"/>
        </w:rPr>
        <w:t>Firm</w:t>
      </w:r>
      <w:r w:rsidR="00632ACC" w:rsidRPr="00625372">
        <w:rPr>
          <w:i/>
          <w:sz w:val="22"/>
          <w:szCs w:val="22"/>
          <w:vertAlign w:val="subscript"/>
        </w:rPr>
        <w:t>f</w:t>
      </w:r>
      <w:proofErr w:type="spellEnd"/>
      <w:r w:rsidRPr="00D40129">
        <w:rPr>
          <w:sz w:val="22"/>
          <w:szCs w:val="22"/>
        </w:rPr>
        <w:t>*</w:t>
      </w:r>
      <w:proofErr w:type="spellStart"/>
      <w:r w:rsidRPr="00D40129">
        <w:rPr>
          <w:i/>
          <w:sz w:val="22"/>
          <w:szCs w:val="22"/>
        </w:rPr>
        <w:t>Loss</w:t>
      </w:r>
      <w:r w:rsidRPr="00D40129">
        <w:rPr>
          <w:i/>
          <w:sz w:val="22"/>
          <w:szCs w:val="22"/>
          <w:vertAlign w:val="subscript"/>
        </w:rPr>
        <w:t>it</w:t>
      </w:r>
      <w:proofErr w:type="spellEnd"/>
      <w:r w:rsidRPr="00D40129">
        <w:rPr>
          <w:i/>
          <w:sz w:val="22"/>
          <w:szCs w:val="22"/>
        </w:rPr>
        <w:t>*</w:t>
      </w:r>
      <w:proofErr w:type="spellStart"/>
      <w:r w:rsidRPr="00D40129">
        <w:rPr>
          <w:i/>
          <w:sz w:val="22"/>
          <w:szCs w:val="22"/>
        </w:rPr>
        <w:t>C</w:t>
      </w:r>
      <w:r w:rsidRPr="00D40129">
        <w:rPr>
          <w:i/>
          <w:sz w:val="22"/>
          <w:szCs w:val="22"/>
          <w:vertAlign w:val="subscript"/>
        </w:rPr>
        <w:t>it</w:t>
      </w:r>
      <w:proofErr w:type="spellEnd"/>
      <w:r w:rsidRPr="00D40129">
        <w:rPr>
          <w:sz w:val="22"/>
          <w:szCs w:val="22"/>
        </w:rPr>
        <w:t xml:space="preserve"> </w:t>
      </w:r>
      <w:r w:rsidRPr="00D40129">
        <w:rPr>
          <w:i/>
          <w:sz w:val="22"/>
          <w:szCs w:val="22"/>
        </w:rPr>
        <w:t xml:space="preserve">+ </w:t>
      </w:r>
      <w:proofErr w:type="spellStart"/>
      <w:r w:rsidRPr="00D40129">
        <w:rPr>
          <w:i/>
          <w:sz w:val="22"/>
          <w:szCs w:val="22"/>
        </w:rPr>
        <w:t>ε</w:t>
      </w:r>
      <w:r w:rsidRPr="00D40129">
        <w:rPr>
          <w:i/>
          <w:sz w:val="22"/>
          <w:szCs w:val="22"/>
          <w:vertAlign w:val="subscript"/>
        </w:rPr>
        <w:t>it</w:t>
      </w:r>
      <w:proofErr w:type="spellEnd"/>
      <w:r w:rsidRPr="00D40129">
        <w:rPr>
          <w:sz w:val="22"/>
          <w:szCs w:val="22"/>
        </w:rPr>
        <w:t>.</w:t>
      </w:r>
      <w:r w:rsidR="002E237C" w:rsidRPr="003C3481">
        <w:rPr>
          <w:sz w:val="22"/>
          <w:szCs w:val="22"/>
        </w:rPr>
        <w:t xml:space="preserve"> </w:t>
      </w:r>
    </w:p>
    <w:p w14:paraId="18C77C83" w14:textId="4CE1E3D8" w:rsidR="002E237C" w:rsidRDefault="002E237C" w:rsidP="00051E65">
      <w:pPr>
        <w:rPr>
          <w:highlight w:val="yellow"/>
        </w:rPr>
      </w:pPr>
      <w:r w:rsidRPr="00BC29AA">
        <w:rPr>
          <w:sz w:val="22"/>
          <w:szCs w:val="22"/>
        </w:rPr>
        <w:t xml:space="preserve">All variables are </w:t>
      </w:r>
      <w:proofErr w:type="spellStart"/>
      <w:r w:rsidRPr="00BC29AA">
        <w:rPr>
          <w:sz w:val="22"/>
          <w:szCs w:val="22"/>
        </w:rPr>
        <w:t>winsorized</w:t>
      </w:r>
      <w:proofErr w:type="spellEnd"/>
      <w:r w:rsidRPr="00BC29AA">
        <w:rPr>
          <w:sz w:val="22"/>
          <w:szCs w:val="22"/>
        </w:rPr>
        <w:t xml:space="preserve"> at 1 and 99 percent</w:t>
      </w:r>
    </w:p>
    <w:p w14:paraId="1A3263AD" w14:textId="5C9C29E0" w:rsidR="007512D6" w:rsidRDefault="007512D6">
      <w:pPr>
        <w:rPr>
          <w:highlight w:val="yellow"/>
        </w:rPr>
      </w:pPr>
      <w:r>
        <w:rPr>
          <w:highlight w:val="yellow"/>
        </w:rPr>
        <w:br w:type="page"/>
      </w:r>
    </w:p>
    <w:p w14:paraId="1A2699CC" w14:textId="338BBE4E" w:rsidR="007512D6" w:rsidRDefault="003173E4" w:rsidP="003173E4">
      <w:r w:rsidRPr="007512D6">
        <w:lastRenderedPageBreak/>
        <w:t xml:space="preserve">Table </w:t>
      </w:r>
      <w:r w:rsidR="000E2A06" w:rsidRPr="007512D6">
        <w:t>6</w:t>
      </w:r>
      <w:r w:rsidRPr="007512D6">
        <w:t>: Correlation</w:t>
      </w:r>
      <w:r w:rsidR="005669EB">
        <w:t xml:space="preserve">s of </w:t>
      </w:r>
      <w:r w:rsidR="007512D6" w:rsidRPr="007512D6">
        <w:t>Variables</w:t>
      </w:r>
      <w:r w:rsidR="005669EB">
        <w:t xml:space="preserve"> Used in Hypothesis Test</w:t>
      </w:r>
    </w:p>
    <w:p w14:paraId="6BBE7EB0" w14:textId="77777777" w:rsidR="0032217C" w:rsidRPr="007512D6" w:rsidRDefault="0032217C" w:rsidP="003173E4"/>
    <w:tbl>
      <w:tblPr>
        <w:tblStyle w:val="TableGrid"/>
        <w:tblW w:w="9473" w:type="dxa"/>
        <w:tblLook w:val="04A0" w:firstRow="1" w:lastRow="0" w:firstColumn="1" w:lastColumn="0" w:noHBand="0" w:noVBand="1"/>
      </w:tblPr>
      <w:tblGrid>
        <w:gridCol w:w="1463"/>
        <w:gridCol w:w="753"/>
        <w:gridCol w:w="753"/>
        <w:gridCol w:w="876"/>
        <w:gridCol w:w="876"/>
        <w:gridCol w:w="791"/>
        <w:gridCol w:w="876"/>
        <w:gridCol w:w="753"/>
        <w:gridCol w:w="826"/>
        <w:gridCol w:w="753"/>
        <w:gridCol w:w="753"/>
      </w:tblGrid>
      <w:tr w:rsidR="00042507" w:rsidRPr="00512683" w14:paraId="77DE1B01" w14:textId="77777777" w:rsidTr="005A66AB">
        <w:tc>
          <w:tcPr>
            <w:tcW w:w="1463" w:type="dxa"/>
            <w:tcBorders>
              <w:top w:val="single" w:sz="4" w:space="0" w:color="auto"/>
              <w:left w:val="nil"/>
              <w:bottom w:val="nil"/>
              <w:right w:val="nil"/>
            </w:tcBorders>
            <w:vAlign w:val="bottom"/>
          </w:tcPr>
          <w:p w14:paraId="4E02A227" w14:textId="77777777" w:rsidR="00042507" w:rsidRPr="00512683" w:rsidRDefault="00042507" w:rsidP="003173E4">
            <w:pPr>
              <w:rPr>
                <w:b/>
                <w:sz w:val="20"/>
                <w:szCs w:val="20"/>
              </w:rPr>
            </w:pPr>
          </w:p>
        </w:tc>
        <w:tc>
          <w:tcPr>
            <w:tcW w:w="753" w:type="dxa"/>
            <w:tcBorders>
              <w:top w:val="single" w:sz="4" w:space="0" w:color="auto"/>
              <w:left w:val="nil"/>
              <w:bottom w:val="nil"/>
              <w:right w:val="nil"/>
            </w:tcBorders>
            <w:vAlign w:val="bottom"/>
          </w:tcPr>
          <w:p w14:paraId="56139C7D" w14:textId="77777777" w:rsidR="00042507" w:rsidRPr="00512683" w:rsidRDefault="00042507" w:rsidP="003173E4">
            <w:pPr>
              <w:rPr>
                <w:rFonts w:eastAsia="Times New Roman"/>
                <w:i/>
                <w:sz w:val="20"/>
                <w:szCs w:val="20"/>
              </w:rPr>
            </w:pPr>
          </w:p>
        </w:tc>
        <w:tc>
          <w:tcPr>
            <w:tcW w:w="753" w:type="dxa"/>
            <w:tcBorders>
              <w:top w:val="single" w:sz="4" w:space="0" w:color="auto"/>
              <w:left w:val="nil"/>
              <w:bottom w:val="nil"/>
              <w:right w:val="nil"/>
            </w:tcBorders>
          </w:tcPr>
          <w:p w14:paraId="49675DF2" w14:textId="77777777" w:rsidR="00042507" w:rsidRPr="00512683" w:rsidRDefault="00042507" w:rsidP="003173E4">
            <w:pPr>
              <w:rPr>
                <w:rFonts w:eastAsia="Times New Roman"/>
                <w:i/>
                <w:sz w:val="20"/>
                <w:szCs w:val="20"/>
              </w:rPr>
            </w:pPr>
          </w:p>
        </w:tc>
        <w:tc>
          <w:tcPr>
            <w:tcW w:w="876" w:type="dxa"/>
            <w:tcBorders>
              <w:top w:val="single" w:sz="4" w:space="0" w:color="auto"/>
              <w:left w:val="nil"/>
              <w:bottom w:val="nil"/>
              <w:right w:val="nil"/>
            </w:tcBorders>
            <w:vAlign w:val="bottom"/>
          </w:tcPr>
          <w:p w14:paraId="747441B9" w14:textId="77777777" w:rsidR="00042507" w:rsidRPr="00512683" w:rsidRDefault="00042507" w:rsidP="003173E4">
            <w:pPr>
              <w:rPr>
                <w:rFonts w:eastAsia="Times New Roman"/>
                <w:i/>
                <w:sz w:val="20"/>
                <w:szCs w:val="20"/>
              </w:rPr>
            </w:pPr>
          </w:p>
        </w:tc>
        <w:tc>
          <w:tcPr>
            <w:tcW w:w="876" w:type="dxa"/>
            <w:tcBorders>
              <w:top w:val="single" w:sz="4" w:space="0" w:color="auto"/>
              <w:left w:val="nil"/>
              <w:bottom w:val="nil"/>
              <w:right w:val="nil"/>
            </w:tcBorders>
          </w:tcPr>
          <w:p w14:paraId="1D8BF464" w14:textId="6D83CD9F" w:rsidR="00042507" w:rsidRPr="00512683" w:rsidRDefault="00042507" w:rsidP="003173E4">
            <w:pPr>
              <w:rPr>
                <w:rFonts w:eastAsia="Times New Roman"/>
                <w:i/>
                <w:sz w:val="20"/>
                <w:szCs w:val="20"/>
              </w:rPr>
            </w:pPr>
          </w:p>
        </w:tc>
        <w:tc>
          <w:tcPr>
            <w:tcW w:w="791" w:type="dxa"/>
            <w:tcBorders>
              <w:top w:val="single" w:sz="4" w:space="0" w:color="auto"/>
              <w:left w:val="nil"/>
              <w:bottom w:val="nil"/>
              <w:right w:val="nil"/>
            </w:tcBorders>
          </w:tcPr>
          <w:p w14:paraId="1D2B7440" w14:textId="77777777" w:rsidR="00042507" w:rsidRPr="00512683" w:rsidRDefault="00042507" w:rsidP="003173E4">
            <w:pPr>
              <w:rPr>
                <w:rFonts w:eastAsia="Times New Roman"/>
                <w:i/>
                <w:sz w:val="20"/>
                <w:szCs w:val="20"/>
              </w:rPr>
            </w:pPr>
          </w:p>
        </w:tc>
        <w:tc>
          <w:tcPr>
            <w:tcW w:w="876" w:type="dxa"/>
            <w:tcBorders>
              <w:top w:val="single" w:sz="4" w:space="0" w:color="auto"/>
              <w:left w:val="nil"/>
              <w:bottom w:val="nil"/>
              <w:right w:val="nil"/>
            </w:tcBorders>
          </w:tcPr>
          <w:p w14:paraId="27177F83" w14:textId="77777777" w:rsidR="00042507" w:rsidRPr="00512683" w:rsidRDefault="00042507" w:rsidP="003173E4">
            <w:pPr>
              <w:rPr>
                <w:rFonts w:eastAsia="Times New Roman"/>
                <w:i/>
                <w:sz w:val="20"/>
                <w:szCs w:val="20"/>
              </w:rPr>
            </w:pPr>
          </w:p>
        </w:tc>
        <w:tc>
          <w:tcPr>
            <w:tcW w:w="753" w:type="dxa"/>
            <w:tcBorders>
              <w:top w:val="single" w:sz="4" w:space="0" w:color="auto"/>
              <w:left w:val="nil"/>
              <w:bottom w:val="nil"/>
              <w:right w:val="nil"/>
            </w:tcBorders>
            <w:vAlign w:val="bottom"/>
          </w:tcPr>
          <w:p w14:paraId="105C766D" w14:textId="77777777" w:rsidR="00042507" w:rsidRPr="00512683" w:rsidRDefault="00042507" w:rsidP="003173E4">
            <w:pPr>
              <w:rPr>
                <w:rFonts w:eastAsia="Times New Roman"/>
                <w:i/>
                <w:sz w:val="20"/>
                <w:szCs w:val="20"/>
              </w:rPr>
            </w:pPr>
          </w:p>
        </w:tc>
        <w:tc>
          <w:tcPr>
            <w:tcW w:w="826" w:type="dxa"/>
            <w:tcBorders>
              <w:top w:val="single" w:sz="4" w:space="0" w:color="auto"/>
              <w:left w:val="nil"/>
              <w:bottom w:val="nil"/>
              <w:right w:val="nil"/>
            </w:tcBorders>
            <w:vAlign w:val="bottom"/>
          </w:tcPr>
          <w:p w14:paraId="4637E2A7" w14:textId="77777777" w:rsidR="00042507" w:rsidRPr="00512683" w:rsidRDefault="00042507" w:rsidP="003173E4">
            <w:pPr>
              <w:rPr>
                <w:rFonts w:eastAsia="Times New Roman"/>
                <w:i/>
                <w:sz w:val="20"/>
                <w:szCs w:val="20"/>
              </w:rPr>
            </w:pPr>
          </w:p>
        </w:tc>
        <w:tc>
          <w:tcPr>
            <w:tcW w:w="753" w:type="dxa"/>
            <w:tcBorders>
              <w:top w:val="single" w:sz="4" w:space="0" w:color="auto"/>
              <w:left w:val="nil"/>
              <w:bottom w:val="nil"/>
              <w:right w:val="nil"/>
            </w:tcBorders>
            <w:vAlign w:val="bottom"/>
          </w:tcPr>
          <w:p w14:paraId="68FEFD34" w14:textId="77777777" w:rsidR="00042507" w:rsidRPr="00512683" w:rsidRDefault="00042507" w:rsidP="003173E4">
            <w:pPr>
              <w:rPr>
                <w:rFonts w:eastAsia="Times New Roman"/>
                <w:i/>
                <w:sz w:val="20"/>
                <w:szCs w:val="20"/>
              </w:rPr>
            </w:pPr>
          </w:p>
        </w:tc>
        <w:tc>
          <w:tcPr>
            <w:tcW w:w="753" w:type="dxa"/>
            <w:tcBorders>
              <w:top w:val="single" w:sz="4" w:space="0" w:color="auto"/>
              <w:left w:val="nil"/>
              <w:bottom w:val="nil"/>
              <w:right w:val="nil"/>
            </w:tcBorders>
          </w:tcPr>
          <w:p w14:paraId="19449A3F" w14:textId="77777777" w:rsidR="00042507" w:rsidRPr="00512683" w:rsidRDefault="00042507" w:rsidP="003173E4">
            <w:pPr>
              <w:rPr>
                <w:b/>
                <w:sz w:val="20"/>
                <w:szCs w:val="20"/>
              </w:rPr>
            </w:pPr>
          </w:p>
        </w:tc>
      </w:tr>
      <w:tr w:rsidR="00042507" w:rsidRPr="00512683" w14:paraId="421A50D1" w14:textId="77777777" w:rsidTr="005A66AB">
        <w:tc>
          <w:tcPr>
            <w:tcW w:w="1463" w:type="dxa"/>
            <w:tcBorders>
              <w:top w:val="nil"/>
              <w:left w:val="nil"/>
              <w:bottom w:val="nil"/>
              <w:right w:val="nil"/>
            </w:tcBorders>
            <w:vAlign w:val="bottom"/>
          </w:tcPr>
          <w:p w14:paraId="640471E0" w14:textId="77777777" w:rsidR="00042507" w:rsidRPr="00512683" w:rsidRDefault="00042507" w:rsidP="003173E4">
            <w:pPr>
              <w:rPr>
                <w:b/>
                <w:sz w:val="20"/>
                <w:szCs w:val="20"/>
              </w:rPr>
            </w:pPr>
          </w:p>
        </w:tc>
        <w:tc>
          <w:tcPr>
            <w:tcW w:w="753" w:type="dxa"/>
            <w:tcBorders>
              <w:top w:val="nil"/>
              <w:left w:val="nil"/>
              <w:bottom w:val="nil"/>
              <w:right w:val="nil"/>
            </w:tcBorders>
            <w:vAlign w:val="bottom"/>
          </w:tcPr>
          <w:p w14:paraId="19919AFC" w14:textId="4966D1CA" w:rsidR="00042507" w:rsidRPr="00512683" w:rsidRDefault="00042507" w:rsidP="003173E4">
            <w:pPr>
              <w:rPr>
                <w:b/>
                <w:sz w:val="20"/>
                <w:szCs w:val="20"/>
              </w:rPr>
            </w:pPr>
            <w:r w:rsidRPr="00512683">
              <w:rPr>
                <w:rFonts w:eastAsia="Times New Roman"/>
                <w:i/>
                <w:sz w:val="20"/>
                <w:szCs w:val="20"/>
              </w:rPr>
              <w:t>INV1</w:t>
            </w:r>
          </w:p>
        </w:tc>
        <w:tc>
          <w:tcPr>
            <w:tcW w:w="753" w:type="dxa"/>
            <w:tcBorders>
              <w:top w:val="nil"/>
              <w:left w:val="nil"/>
              <w:bottom w:val="nil"/>
              <w:right w:val="nil"/>
            </w:tcBorders>
          </w:tcPr>
          <w:p w14:paraId="01F36BA6" w14:textId="088B0B2D" w:rsidR="00042507" w:rsidRPr="00512683" w:rsidRDefault="00042507" w:rsidP="003173E4">
            <w:pPr>
              <w:rPr>
                <w:b/>
                <w:sz w:val="20"/>
                <w:szCs w:val="20"/>
              </w:rPr>
            </w:pPr>
            <w:r w:rsidRPr="00512683">
              <w:rPr>
                <w:rFonts w:eastAsia="Times New Roman"/>
                <w:i/>
                <w:sz w:val="20"/>
                <w:szCs w:val="20"/>
              </w:rPr>
              <w:t>INV2</w:t>
            </w:r>
          </w:p>
        </w:tc>
        <w:tc>
          <w:tcPr>
            <w:tcW w:w="876" w:type="dxa"/>
            <w:tcBorders>
              <w:top w:val="nil"/>
              <w:left w:val="nil"/>
              <w:bottom w:val="nil"/>
              <w:right w:val="nil"/>
            </w:tcBorders>
            <w:vAlign w:val="bottom"/>
          </w:tcPr>
          <w:p w14:paraId="44012A27" w14:textId="462A039A" w:rsidR="00042507" w:rsidRPr="00512683" w:rsidRDefault="00042507" w:rsidP="003173E4">
            <w:pPr>
              <w:rPr>
                <w:rFonts w:eastAsia="Times New Roman"/>
                <w:i/>
                <w:sz w:val="20"/>
                <w:szCs w:val="20"/>
              </w:rPr>
            </w:pPr>
            <w:r w:rsidRPr="00512683">
              <w:rPr>
                <w:rFonts w:eastAsia="Times New Roman"/>
                <w:i/>
                <w:sz w:val="20"/>
                <w:szCs w:val="20"/>
              </w:rPr>
              <w:t>Q</w:t>
            </w:r>
            <w:r w:rsidRPr="00512683">
              <w:rPr>
                <w:rFonts w:eastAsia="Times New Roman"/>
                <w:i/>
                <w:sz w:val="20"/>
                <w:szCs w:val="20"/>
                <w:vertAlign w:val="subscript"/>
              </w:rPr>
              <w:t xml:space="preserve"> t-1</w:t>
            </w:r>
          </w:p>
        </w:tc>
        <w:tc>
          <w:tcPr>
            <w:tcW w:w="876" w:type="dxa"/>
            <w:tcBorders>
              <w:top w:val="nil"/>
              <w:left w:val="nil"/>
              <w:bottom w:val="nil"/>
              <w:right w:val="nil"/>
            </w:tcBorders>
          </w:tcPr>
          <w:p w14:paraId="72757853" w14:textId="2B0A44E1" w:rsidR="00042507" w:rsidRPr="00512683" w:rsidRDefault="00042507" w:rsidP="003173E4">
            <w:pPr>
              <w:rPr>
                <w:b/>
                <w:sz w:val="20"/>
                <w:szCs w:val="20"/>
              </w:rPr>
            </w:pPr>
            <w:proofErr w:type="spellStart"/>
            <w:r w:rsidRPr="00512683">
              <w:rPr>
                <w:rFonts w:eastAsia="Times New Roman"/>
                <w:i/>
                <w:sz w:val="20"/>
                <w:szCs w:val="20"/>
              </w:rPr>
              <w:t>MeanQ</w:t>
            </w:r>
            <w:proofErr w:type="spellEnd"/>
          </w:p>
        </w:tc>
        <w:tc>
          <w:tcPr>
            <w:tcW w:w="791" w:type="dxa"/>
            <w:tcBorders>
              <w:top w:val="nil"/>
              <w:left w:val="nil"/>
              <w:bottom w:val="nil"/>
              <w:right w:val="nil"/>
            </w:tcBorders>
          </w:tcPr>
          <w:p w14:paraId="1F95EAC3" w14:textId="66B47028" w:rsidR="00042507" w:rsidRPr="00512683" w:rsidRDefault="00042507" w:rsidP="003173E4">
            <w:pPr>
              <w:rPr>
                <w:b/>
                <w:sz w:val="20"/>
                <w:szCs w:val="20"/>
              </w:rPr>
            </w:pPr>
            <w:proofErr w:type="spellStart"/>
            <w:r w:rsidRPr="00512683">
              <w:rPr>
                <w:rFonts w:eastAsia="Times New Roman"/>
                <w:i/>
                <w:sz w:val="20"/>
                <w:szCs w:val="20"/>
              </w:rPr>
              <w:t>MedQ</w:t>
            </w:r>
            <w:proofErr w:type="spellEnd"/>
          </w:p>
        </w:tc>
        <w:tc>
          <w:tcPr>
            <w:tcW w:w="876" w:type="dxa"/>
            <w:tcBorders>
              <w:top w:val="nil"/>
              <w:left w:val="nil"/>
              <w:bottom w:val="nil"/>
              <w:right w:val="nil"/>
            </w:tcBorders>
          </w:tcPr>
          <w:p w14:paraId="555C06E4" w14:textId="333F9DE0" w:rsidR="00042507" w:rsidRPr="00512683" w:rsidRDefault="00042507" w:rsidP="003173E4">
            <w:pPr>
              <w:rPr>
                <w:b/>
                <w:sz w:val="20"/>
                <w:szCs w:val="20"/>
              </w:rPr>
            </w:pPr>
            <w:proofErr w:type="spellStart"/>
            <w:r w:rsidRPr="00512683">
              <w:rPr>
                <w:rFonts w:eastAsia="Times New Roman"/>
                <w:i/>
                <w:sz w:val="20"/>
                <w:szCs w:val="20"/>
              </w:rPr>
              <w:t>MedPE</w:t>
            </w:r>
            <w:proofErr w:type="spellEnd"/>
          </w:p>
        </w:tc>
        <w:tc>
          <w:tcPr>
            <w:tcW w:w="753" w:type="dxa"/>
            <w:tcBorders>
              <w:top w:val="nil"/>
              <w:left w:val="nil"/>
              <w:bottom w:val="nil"/>
              <w:right w:val="nil"/>
            </w:tcBorders>
            <w:vAlign w:val="bottom"/>
          </w:tcPr>
          <w:p w14:paraId="679B239B" w14:textId="35367916" w:rsidR="00042507" w:rsidRPr="00512683" w:rsidRDefault="00042507" w:rsidP="003173E4">
            <w:pPr>
              <w:rPr>
                <w:b/>
                <w:sz w:val="20"/>
                <w:szCs w:val="20"/>
              </w:rPr>
            </w:pPr>
            <w:r w:rsidRPr="00512683">
              <w:rPr>
                <w:rFonts w:eastAsia="Times New Roman"/>
                <w:i/>
                <w:sz w:val="20"/>
                <w:szCs w:val="20"/>
              </w:rPr>
              <w:t>CF</w:t>
            </w:r>
          </w:p>
        </w:tc>
        <w:tc>
          <w:tcPr>
            <w:tcW w:w="826" w:type="dxa"/>
            <w:tcBorders>
              <w:top w:val="nil"/>
              <w:left w:val="nil"/>
              <w:bottom w:val="nil"/>
              <w:right w:val="nil"/>
            </w:tcBorders>
            <w:vAlign w:val="bottom"/>
          </w:tcPr>
          <w:p w14:paraId="45B1EDB1" w14:textId="4079AB2F" w:rsidR="00042507" w:rsidRPr="00512683" w:rsidRDefault="00042507" w:rsidP="003173E4">
            <w:pPr>
              <w:rPr>
                <w:b/>
                <w:sz w:val="20"/>
                <w:szCs w:val="20"/>
              </w:rPr>
            </w:pPr>
            <w:proofErr w:type="spellStart"/>
            <w:r w:rsidRPr="00512683">
              <w:rPr>
                <w:rFonts w:eastAsia="Times New Roman"/>
                <w:i/>
                <w:sz w:val="20"/>
                <w:szCs w:val="20"/>
              </w:rPr>
              <w:t>LogAT</w:t>
            </w:r>
            <w:proofErr w:type="spellEnd"/>
          </w:p>
        </w:tc>
        <w:tc>
          <w:tcPr>
            <w:tcW w:w="753" w:type="dxa"/>
            <w:tcBorders>
              <w:top w:val="nil"/>
              <w:left w:val="nil"/>
              <w:bottom w:val="nil"/>
              <w:right w:val="nil"/>
            </w:tcBorders>
            <w:vAlign w:val="bottom"/>
          </w:tcPr>
          <w:p w14:paraId="55F866DB" w14:textId="6DABD24E" w:rsidR="00042507" w:rsidRPr="00512683" w:rsidRDefault="00042507" w:rsidP="003173E4">
            <w:pPr>
              <w:rPr>
                <w:b/>
                <w:sz w:val="20"/>
                <w:szCs w:val="20"/>
              </w:rPr>
            </w:pPr>
            <w:r w:rsidRPr="00512683">
              <w:rPr>
                <w:rFonts w:eastAsia="Times New Roman"/>
                <w:i/>
                <w:sz w:val="20"/>
                <w:szCs w:val="20"/>
              </w:rPr>
              <w:t>ROA</w:t>
            </w:r>
          </w:p>
        </w:tc>
        <w:tc>
          <w:tcPr>
            <w:tcW w:w="753" w:type="dxa"/>
            <w:tcBorders>
              <w:top w:val="nil"/>
              <w:left w:val="nil"/>
              <w:bottom w:val="nil"/>
              <w:right w:val="nil"/>
            </w:tcBorders>
          </w:tcPr>
          <w:p w14:paraId="358ECB4E" w14:textId="73AFF55E" w:rsidR="00042507" w:rsidRPr="00512683" w:rsidRDefault="00042507" w:rsidP="003173E4">
            <w:pPr>
              <w:rPr>
                <w:bCs/>
                <w:i/>
                <w:iCs/>
                <w:sz w:val="20"/>
                <w:szCs w:val="20"/>
              </w:rPr>
            </w:pPr>
            <w:r w:rsidRPr="00512683">
              <w:rPr>
                <w:bCs/>
                <w:i/>
                <w:iCs/>
                <w:sz w:val="20"/>
                <w:szCs w:val="20"/>
              </w:rPr>
              <w:t>G</w:t>
            </w:r>
          </w:p>
        </w:tc>
      </w:tr>
      <w:tr w:rsidR="00042507" w:rsidRPr="00512683" w14:paraId="533E26C2" w14:textId="77777777" w:rsidTr="005A66AB">
        <w:tc>
          <w:tcPr>
            <w:tcW w:w="1463" w:type="dxa"/>
            <w:tcBorders>
              <w:top w:val="nil"/>
              <w:left w:val="nil"/>
              <w:bottom w:val="nil"/>
              <w:right w:val="nil"/>
            </w:tcBorders>
            <w:vAlign w:val="bottom"/>
          </w:tcPr>
          <w:p w14:paraId="069B47D5" w14:textId="7189FB1A" w:rsidR="00042507" w:rsidRPr="00512683" w:rsidRDefault="00042507" w:rsidP="003173E4">
            <w:pPr>
              <w:rPr>
                <w:b/>
                <w:sz w:val="20"/>
                <w:szCs w:val="20"/>
              </w:rPr>
            </w:pPr>
            <w:r w:rsidRPr="00512683">
              <w:rPr>
                <w:rFonts w:eastAsia="Times New Roman"/>
                <w:i/>
                <w:sz w:val="20"/>
                <w:szCs w:val="20"/>
              </w:rPr>
              <w:t>INV1</w:t>
            </w:r>
          </w:p>
        </w:tc>
        <w:tc>
          <w:tcPr>
            <w:tcW w:w="753" w:type="dxa"/>
            <w:tcBorders>
              <w:top w:val="nil"/>
              <w:left w:val="nil"/>
              <w:bottom w:val="nil"/>
              <w:right w:val="nil"/>
            </w:tcBorders>
            <w:vAlign w:val="bottom"/>
          </w:tcPr>
          <w:p w14:paraId="0E1F6B0F" w14:textId="5572F5DA" w:rsidR="00042507" w:rsidRPr="00512683" w:rsidRDefault="00042507" w:rsidP="003173E4">
            <w:pPr>
              <w:rPr>
                <w:b/>
                <w:bCs/>
                <w:sz w:val="20"/>
                <w:szCs w:val="20"/>
              </w:rPr>
            </w:pPr>
            <w:r w:rsidRPr="00512683">
              <w:rPr>
                <w:rFonts w:eastAsia="Times New Roman"/>
                <w:b/>
                <w:bCs/>
                <w:color w:val="000000"/>
                <w:sz w:val="20"/>
                <w:szCs w:val="20"/>
              </w:rPr>
              <w:t>1.000</w:t>
            </w:r>
          </w:p>
        </w:tc>
        <w:tc>
          <w:tcPr>
            <w:tcW w:w="753" w:type="dxa"/>
            <w:tcBorders>
              <w:top w:val="nil"/>
              <w:left w:val="nil"/>
              <w:bottom w:val="nil"/>
              <w:right w:val="nil"/>
            </w:tcBorders>
            <w:vAlign w:val="bottom"/>
          </w:tcPr>
          <w:p w14:paraId="665AC629" w14:textId="77777777" w:rsidR="00042507" w:rsidRPr="00512683" w:rsidRDefault="00042507" w:rsidP="003173E4">
            <w:pPr>
              <w:rPr>
                <w:b/>
                <w:bCs/>
                <w:sz w:val="20"/>
                <w:szCs w:val="20"/>
              </w:rPr>
            </w:pPr>
          </w:p>
        </w:tc>
        <w:tc>
          <w:tcPr>
            <w:tcW w:w="876" w:type="dxa"/>
            <w:tcBorders>
              <w:top w:val="nil"/>
              <w:left w:val="nil"/>
              <w:bottom w:val="nil"/>
              <w:right w:val="nil"/>
            </w:tcBorders>
            <w:vAlign w:val="bottom"/>
          </w:tcPr>
          <w:p w14:paraId="4FF30E18" w14:textId="77777777" w:rsidR="00042507" w:rsidRPr="00512683" w:rsidRDefault="00042507" w:rsidP="003173E4">
            <w:pPr>
              <w:rPr>
                <w:b/>
                <w:bCs/>
                <w:sz w:val="20"/>
                <w:szCs w:val="20"/>
              </w:rPr>
            </w:pPr>
          </w:p>
        </w:tc>
        <w:tc>
          <w:tcPr>
            <w:tcW w:w="876" w:type="dxa"/>
            <w:tcBorders>
              <w:top w:val="nil"/>
              <w:left w:val="nil"/>
              <w:bottom w:val="nil"/>
              <w:right w:val="nil"/>
            </w:tcBorders>
            <w:vAlign w:val="bottom"/>
          </w:tcPr>
          <w:p w14:paraId="4370F713" w14:textId="7BBAFFC4" w:rsidR="00042507" w:rsidRPr="00512683" w:rsidRDefault="00042507" w:rsidP="003173E4">
            <w:pPr>
              <w:rPr>
                <w:b/>
                <w:bCs/>
                <w:sz w:val="20"/>
                <w:szCs w:val="20"/>
              </w:rPr>
            </w:pPr>
          </w:p>
        </w:tc>
        <w:tc>
          <w:tcPr>
            <w:tcW w:w="791" w:type="dxa"/>
            <w:tcBorders>
              <w:top w:val="nil"/>
              <w:left w:val="nil"/>
              <w:bottom w:val="nil"/>
              <w:right w:val="nil"/>
            </w:tcBorders>
            <w:vAlign w:val="bottom"/>
          </w:tcPr>
          <w:p w14:paraId="5FC3681F" w14:textId="77777777" w:rsidR="00042507" w:rsidRPr="00512683" w:rsidRDefault="00042507" w:rsidP="003173E4">
            <w:pPr>
              <w:rPr>
                <w:b/>
                <w:bCs/>
                <w:sz w:val="20"/>
                <w:szCs w:val="20"/>
              </w:rPr>
            </w:pPr>
          </w:p>
        </w:tc>
        <w:tc>
          <w:tcPr>
            <w:tcW w:w="876" w:type="dxa"/>
            <w:tcBorders>
              <w:top w:val="nil"/>
              <w:left w:val="nil"/>
              <w:bottom w:val="nil"/>
              <w:right w:val="nil"/>
            </w:tcBorders>
            <w:vAlign w:val="bottom"/>
          </w:tcPr>
          <w:p w14:paraId="667E4D65" w14:textId="77777777" w:rsidR="00042507" w:rsidRPr="00512683" w:rsidRDefault="00042507" w:rsidP="003173E4">
            <w:pPr>
              <w:rPr>
                <w:b/>
                <w:bCs/>
                <w:sz w:val="20"/>
                <w:szCs w:val="20"/>
              </w:rPr>
            </w:pPr>
          </w:p>
        </w:tc>
        <w:tc>
          <w:tcPr>
            <w:tcW w:w="753" w:type="dxa"/>
            <w:tcBorders>
              <w:top w:val="nil"/>
              <w:left w:val="nil"/>
              <w:bottom w:val="nil"/>
              <w:right w:val="nil"/>
            </w:tcBorders>
            <w:vAlign w:val="bottom"/>
          </w:tcPr>
          <w:p w14:paraId="46F9511A" w14:textId="77777777" w:rsidR="00042507" w:rsidRPr="00512683" w:rsidRDefault="00042507" w:rsidP="003173E4">
            <w:pPr>
              <w:rPr>
                <w:b/>
                <w:bCs/>
                <w:sz w:val="20"/>
                <w:szCs w:val="20"/>
              </w:rPr>
            </w:pPr>
          </w:p>
        </w:tc>
        <w:tc>
          <w:tcPr>
            <w:tcW w:w="826" w:type="dxa"/>
            <w:tcBorders>
              <w:top w:val="nil"/>
              <w:left w:val="nil"/>
              <w:bottom w:val="nil"/>
              <w:right w:val="nil"/>
            </w:tcBorders>
            <w:vAlign w:val="bottom"/>
          </w:tcPr>
          <w:p w14:paraId="65A94023" w14:textId="77777777" w:rsidR="00042507" w:rsidRPr="00512683" w:rsidRDefault="00042507" w:rsidP="003173E4">
            <w:pPr>
              <w:rPr>
                <w:b/>
                <w:bCs/>
                <w:sz w:val="20"/>
                <w:szCs w:val="20"/>
              </w:rPr>
            </w:pPr>
          </w:p>
        </w:tc>
        <w:tc>
          <w:tcPr>
            <w:tcW w:w="753" w:type="dxa"/>
            <w:tcBorders>
              <w:top w:val="nil"/>
              <w:left w:val="nil"/>
              <w:bottom w:val="nil"/>
              <w:right w:val="nil"/>
            </w:tcBorders>
            <w:vAlign w:val="bottom"/>
          </w:tcPr>
          <w:p w14:paraId="290E7BEC" w14:textId="77777777" w:rsidR="00042507" w:rsidRPr="00512683" w:rsidRDefault="00042507" w:rsidP="003173E4">
            <w:pPr>
              <w:rPr>
                <w:b/>
                <w:bCs/>
                <w:sz w:val="20"/>
                <w:szCs w:val="20"/>
              </w:rPr>
            </w:pPr>
          </w:p>
        </w:tc>
        <w:tc>
          <w:tcPr>
            <w:tcW w:w="753" w:type="dxa"/>
            <w:tcBorders>
              <w:top w:val="nil"/>
              <w:left w:val="nil"/>
              <w:bottom w:val="nil"/>
              <w:right w:val="nil"/>
            </w:tcBorders>
          </w:tcPr>
          <w:p w14:paraId="2BB4D438" w14:textId="77777777" w:rsidR="00042507" w:rsidRPr="00512683" w:rsidRDefault="00042507" w:rsidP="003173E4">
            <w:pPr>
              <w:rPr>
                <w:b/>
                <w:bCs/>
                <w:sz w:val="20"/>
                <w:szCs w:val="20"/>
              </w:rPr>
            </w:pPr>
          </w:p>
        </w:tc>
      </w:tr>
      <w:tr w:rsidR="00042507" w:rsidRPr="00512683" w14:paraId="1300B2D1" w14:textId="77777777" w:rsidTr="005A66AB">
        <w:tc>
          <w:tcPr>
            <w:tcW w:w="1463" w:type="dxa"/>
            <w:tcBorders>
              <w:top w:val="nil"/>
              <w:left w:val="nil"/>
              <w:bottom w:val="nil"/>
              <w:right w:val="nil"/>
            </w:tcBorders>
            <w:vAlign w:val="bottom"/>
          </w:tcPr>
          <w:p w14:paraId="1261C615" w14:textId="364E8B21" w:rsidR="00042507" w:rsidRPr="00512683" w:rsidRDefault="00042507" w:rsidP="003173E4">
            <w:pPr>
              <w:rPr>
                <w:b/>
                <w:sz w:val="20"/>
                <w:szCs w:val="20"/>
              </w:rPr>
            </w:pPr>
            <w:r w:rsidRPr="00512683">
              <w:rPr>
                <w:rFonts w:eastAsia="Times New Roman"/>
                <w:i/>
                <w:sz w:val="20"/>
                <w:szCs w:val="20"/>
              </w:rPr>
              <w:t>INV2</w:t>
            </w:r>
          </w:p>
        </w:tc>
        <w:tc>
          <w:tcPr>
            <w:tcW w:w="753" w:type="dxa"/>
            <w:tcBorders>
              <w:top w:val="nil"/>
              <w:left w:val="nil"/>
              <w:bottom w:val="nil"/>
              <w:right w:val="nil"/>
            </w:tcBorders>
            <w:vAlign w:val="bottom"/>
          </w:tcPr>
          <w:p w14:paraId="4BF8D2CB" w14:textId="7A80D9D3" w:rsidR="00042507" w:rsidRPr="00512683" w:rsidRDefault="00042507" w:rsidP="003173E4">
            <w:pPr>
              <w:rPr>
                <w:b/>
                <w:bCs/>
                <w:sz w:val="20"/>
                <w:szCs w:val="20"/>
              </w:rPr>
            </w:pPr>
            <w:r w:rsidRPr="00512683">
              <w:rPr>
                <w:rFonts w:eastAsia="Times New Roman"/>
                <w:b/>
                <w:bCs/>
                <w:color w:val="000000"/>
                <w:sz w:val="20"/>
                <w:szCs w:val="20"/>
              </w:rPr>
              <w:t>0.</w:t>
            </w:r>
            <w:r w:rsidR="0088093F">
              <w:rPr>
                <w:rFonts w:eastAsia="Times New Roman"/>
                <w:b/>
                <w:bCs/>
                <w:color w:val="000000"/>
                <w:sz w:val="20"/>
                <w:szCs w:val="20"/>
              </w:rPr>
              <w:t>150</w:t>
            </w:r>
          </w:p>
        </w:tc>
        <w:tc>
          <w:tcPr>
            <w:tcW w:w="753" w:type="dxa"/>
            <w:tcBorders>
              <w:top w:val="nil"/>
              <w:left w:val="nil"/>
              <w:bottom w:val="nil"/>
              <w:right w:val="nil"/>
            </w:tcBorders>
            <w:vAlign w:val="bottom"/>
          </w:tcPr>
          <w:p w14:paraId="23BB944F" w14:textId="6ADB8F81" w:rsidR="00042507" w:rsidRPr="00512683" w:rsidRDefault="00042507" w:rsidP="003173E4">
            <w:pPr>
              <w:rPr>
                <w:b/>
                <w:bCs/>
                <w:sz w:val="20"/>
                <w:szCs w:val="20"/>
              </w:rPr>
            </w:pPr>
            <w:r w:rsidRPr="00512683">
              <w:rPr>
                <w:rFonts w:eastAsia="Times New Roman"/>
                <w:b/>
                <w:bCs/>
                <w:color w:val="000000"/>
                <w:sz w:val="20"/>
                <w:szCs w:val="20"/>
              </w:rPr>
              <w:t>1.000</w:t>
            </w:r>
          </w:p>
        </w:tc>
        <w:tc>
          <w:tcPr>
            <w:tcW w:w="876" w:type="dxa"/>
            <w:tcBorders>
              <w:top w:val="nil"/>
              <w:left w:val="nil"/>
              <w:bottom w:val="nil"/>
              <w:right w:val="nil"/>
            </w:tcBorders>
            <w:vAlign w:val="bottom"/>
          </w:tcPr>
          <w:p w14:paraId="0AEB9F59" w14:textId="77777777" w:rsidR="00042507" w:rsidRPr="00512683" w:rsidRDefault="00042507" w:rsidP="003173E4">
            <w:pPr>
              <w:rPr>
                <w:b/>
                <w:bCs/>
                <w:sz w:val="20"/>
                <w:szCs w:val="20"/>
              </w:rPr>
            </w:pPr>
          </w:p>
        </w:tc>
        <w:tc>
          <w:tcPr>
            <w:tcW w:w="876" w:type="dxa"/>
            <w:tcBorders>
              <w:top w:val="nil"/>
              <w:left w:val="nil"/>
              <w:bottom w:val="nil"/>
              <w:right w:val="nil"/>
            </w:tcBorders>
            <w:vAlign w:val="bottom"/>
          </w:tcPr>
          <w:p w14:paraId="6E355704" w14:textId="3A708D5B" w:rsidR="00042507" w:rsidRPr="00512683" w:rsidRDefault="00042507" w:rsidP="003173E4">
            <w:pPr>
              <w:rPr>
                <w:b/>
                <w:bCs/>
                <w:sz w:val="20"/>
                <w:szCs w:val="20"/>
              </w:rPr>
            </w:pPr>
          </w:p>
        </w:tc>
        <w:tc>
          <w:tcPr>
            <w:tcW w:w="791" w:type="dxa"/>
            <w:tcBorders>
              <w:top w:val="nil"/>
              <w:left w:val="nil"/>
              <w:bottom w:val="nil"/>
              <w:right w:val="nil"/>
            </w:tcBorders>
            <w:vAlign w:val="bottom"/>
          </w:tcPr>
          <w:p w14:paraId="0F5816C3" w14:textId="77777777" w:rsidR="00042507" w:rsidRPr="00512683" w:rsidRDefault="00042507" w:rsidP="003173E4">
            <w:pPr>
              <w:rPr>
                <w:b/>
                <w:bCs/>
                <w:sz w:val="20"/>
                <w:szCs w:val="20"/>
              </w:rPr>
            </w:pPr>
          </w:p>
        </w:tc>
        <w:tc>
          <w:tcPr>
            <w:tcW w:w="876" w:type="dxa"/>
            <w:tcBorders>
              <w:top w:val="nil"/>
              <w:left w:val="nil"/>
              <w:bottom w:val="nil"/>
              <w:right w:val="nil"/>
            </w:tcBorders>
            <w:vAlign w:val="bottom"/>
          </w:tcPr>
          <w:p w14:paraId="416DF64E" w14:textId="77777777" w:rsidR="00042507" w:rsidRPr="00512683" w:rsidRDefault="00042507" w:rsidP="003173E4">
            <w:pPr>
              <w:rPr>
                <w:b/>
                <w:bCs/>
                <w:sz w:val="20"/>
                <w:szCs w:val="20"/>
              </w:rPr>
            </w:pPr>
          </w:p>
        </w:tc>
        <w:tc>
          <w:tcPr>
            <w:tcW w:w="753" w:type="dxa"/>
            <w:tcBorders>
              <w:top w:val="nil"/>
              <w:left w:val="nil"/>
              <w:bottom w:val="nil"/>
              <w:right w:val="nil"/>
            </w:tcBorders>
            <w:vAlign w:val="bottom"/>
          </w:tcPr>
          <w:p w14:paraId="2E9081FB" w14:textId="77777777" w:rsidR="00042507" w:rsidRPr="00512683" w:rsidRDefault="00042507" w:rsidP="003173E4">
            <w:pPr>
              <w:rPr>
                <w:b/>
                <w:bCs/>
                <w:sz w:val="20"/>
                <w:szCs w:val="20"/>
              </w:rPr>
            </w:pPr>
          </w:p>
        </w:tc>
        <w:tc>
          <w:tcPr>
            <w:tcW w:w="826" w:type="dxa"/>
            <w:tcBorders>
              <w:top w:val="nil"/>
              <w:left w:val="nil"/>
              <w:bottom w:val="nil"/>
              <w:right w:val="nil"/>
            </w:tcBorders>
            <w:vAlign w:val="bottom"/>
          </w:tcPr>
          <w:p w14:paraId="78D7379F" w14:textId="77777777" w:rsidR="00042507" w:rsidRPr="00512683" w:rsidRDefault="00042507" w:rsidP="003173E4">
            <w:pPr>
              <w:rPr>
                <w:b/>
                <w:bCs/>
                <w:sz w:val="20"/>
                <w:szCs w:val="20"/>
              </w:rPr>
            </w:pPr>
          </w:p>
        </w:tc>
        <w:tc>
          <w:tcPr>
            <w:tcW w:w="753" w:type="dxa"/>
            <w:tcBorders>
              <w:top w:val="nil"/>
              <w:left w:val="nil"/>
              <w:bottom w:val="nil"/>
              <w:right w:val="nil"/>
            </w:tcBorders>
            <w:vAlign w:val="bottom"/>
          </w:tcPr>
          <w:p w14:paraId="737DCCDD" w14:textId="77777777" w:rsidR="00042507" w:rsidRPr="00512683" w:rsidRDefault="00042507" w:rsidP="003173E4">
            <w:pPr>
              <w:rPr>
                <w:b/>
                <w:bCs/>
                <w:sz w:val="20"/>
                <w:szCs w:val="20"/>
              </w:rPr>
            </w:pPr>
          </w:p>
        </w:tc>
        <w:tc>
          <w:tcPr>
            <w:tcW w:w="753" w:type="dxa"/>
            <w:tcBorders>
              <w:top w:val="nil"/>
              <w:left w:val="nil"/>
              <w:bottom w:val="nil"/>
              <w:right w:val="nil"/>
            </w:tcBorders>
          </w:tcPr>
          <w:p w14:paraId="3C292F19" w14:textId="77777777" w:rsidR="00042507" w:rsidRPr="00512683" w:rsidRDefault="00042507" w:rsidP="003173E4">
            <w:pPr>
              <w:rPr>
                <w:b/>
                <w:bCs/>
                <w:sz w:val="20"/>
                <w:szCs w:val="20"/>
              </w:rPr>
            </w:pPr>
          </w:p>
        </w:tc>
      </w:tr>
      <w:tr w:rsidR="00042507" w:rsidRPr="00512683" w14:paraId="19BE545C" w14:textId="77777777" w:rsidTr="005A66AB">
        <w:tc>
          <w:tcPr>
            <w:tcW w:w="1463" w:type="dxa"/>
            <w:tcBorders>
              <w:top w:val="nil"/>
              <w:left w:val="nil"/>
              <w:bottom w:val="nil"/>
              <w:right w:val="nil"/>
            </w:tcBorders>
            <w:vAlign w:val="bottom"/>
          </w:tcPr>
          <w:p w14:paraId="2B7A5F5B" w14:textId="77777777" w:rsidR="00042507" w:rsidRPr="00512683" w:rsidRDefault="00042507" w:rsidP="005A66AB">
            <w:pPr>
              <w:rPr>
                <w:b/>
                <w:sz w:val="20"/>
                <w:szCs w:val="20"/>
              </w:rPr>
            </w:pPr>
            <w:r w:rsidRPr="00512683">
              <w:rPr>
                <w:rFonts w:eastAsia="Times New Roman"/>
                <w:i/>
                <w:sz w:val="20"/>
                <w:szCs w:val="20"/>
              </w:rPr>
              <w:t>Q</w:t>
            </w:r>
            <w:r w:rsidRPr="00512683">
              <w:rPr>
                <w:rFonts w:eastAsia="Times New Roman"/>
                <w:i/>
                <w:sz w:val="20"/>
                <w:szCs w:val="20"/>
                <w:vertAlign w:val="subscript"/>
              </w:rPr>
              <w:t>t-1</w:t>
            </w:r>
          </w:p>
        </w:tc>
        <w:tc>
          <w:tcPr>
            <w:tcW w:w="753" w:type="dxa"/>
            <w:tcBorders>
              <w:top w:val="nil"/>
              <w:left w:val="nil"/>
              <w:bottom w:val="nil"/>
              <w:right w:val="nil"/>
            </w:tcBorders>
            <w:vAlign w:val="bottom"/>
          </w:tcPr>
          <w:p w14:paraId="10A8F5EF" w14:textId="3C316AB7" w:rsidR="00042507" w:rsidRPr="00512683" w:rsidRDefault="00042507" w:rsidP="005A66AB">
            <w:pPr>
              <w:rPr>
                <w:b/>
                <w:bCs/>
                <w:sz w:val="20"/>
                <w:szCs w:val="20"/>
              </w:rPr>
            </w:pPr>
            <w:r w:rsidRPr="00512683">
              <w:rPr>
                <w:rFonts w:eastAsia="Times New Roman"/>
                <w:b/>
                <w:bCs/>
                <w:color w:val="000000"/>
                <w:sz w:val="20"/>
                <w:szCs w:val="20"/>
              </w:rPr>
              <w:t>0.2</w:t>
            </w:r>
            <w:r w:rsidR="0088093F">
              <w:rPr>
                <w:rFonts w:eastAsia="Times New Roman"/>
                <w:b/>
                <w:bCs/>
                <w:color w:val="000000"/>
                <w:sz w:val="20"/>
                <w:szCs w:val="20"/>
              </w:rPr>
              <w:t>21</w:t>
            </w:r>
          </w:p>
        </w:tc>
        <w:tc>
          <w:tcPr>
            <w:tcW w:w="753" w:type="dxa"/>
            <w:tcBorders>
              <w:top w:val="nil"/>
              <w:left w:val="nil"/>
              <w:bottom w:val="nil"/>
              <w:right w:val="nil"/>
            </w:tcBorders>
            <w:vAlign w:val="bottom"/>
          </w:tcPr>
          <w:p w14:paraId="3CEF9D6D" w14:textId="4ED7BA15" w:rsidR="00042507" w:rsidRPr="00512683" w:rsidRDefault="00042507" w:rsidP="005A66AB">
            <w:pPr>
              <w:rPr>
                <w:b/>
                <w:bCs/>
                <w:sz w:val="20"/>
                <w:szCs w:val="20"/>
              </w:rPr>
            </w:pPr>
            <w:r w:rsidRPr="00512683">
              <w:rPr>
                <w:rFonts w:eastAsia="Times New Roman"/>
                <w:b/>
                <w:bCs/>
                <w:color w:val="000000"/>
                <w:sz w:val="20"/>
                <w:szCs w:val="20"/>
              </w:rPr>
              <w:t>0.</w:t>
            </w:r>
            <w:r w:rsidR="0088093F">
              <w:rPr>
                <w:rFonts w:eastAsia="Times New Roman"/>
                <w:b/>
                <w:bCs/>
                <w:color w:val="000000"/>
                <w:sz w:val="20"/>
                <w:szCs w:val="20"/>
              </w:rPr>
              <w:t>058</w:t>
            </w:r>
          </w:p>
        </w:tc>
        <w:tc>
          <w:tcPr>
            <w:tcW w:w="876" w:type="dxa"/>
            <w:tcBorders>
              <w:top w:val="nil"/>
              <w:left w:val="nil"/>
              <w:bottom w:val="nil"/>
              <w:right w:val="nil"/>
            </w:tcBorders>
            <w:vAlign w:val="bottom"/>
          </w:tcPr>
          <w:p w14:paraId="7A00AB5E" w14:textId="54D90FDF" w:rsidR="00042507" w:rsidRPr="00512683" w:rsidRDefault="00042507" w:rsidP="005A66AB">
            <w:pPr>
              <w:rPr>
                <w:rFonts w:eastAsia="Times New Roman"/>
                <w:b/>
                <w:bCs/>
                <w:color w:val="000000"/>
                <w:sz w:val="20"/>
                <w:szCs w:val="20"/>
              </w:rPr>
            </w:pPr>
            <w:r w:rsidRPr="00512683">
              <w:rPr>
                <w:rFonts w:eastAsia="Times New Roman"/>
                <w:b/>
                <w:bCs/>
                <w:color w:val="000000"/>
                <w:sz w:val="20"/>
                <w:szCs w:val="20"/>
              </w:rPr>
              <w:t>1.000</w:t>
            </w:r>
          </w:p>
        </w:tc>
        <w:tc>
          <w:tcPr>
            <w:tcW w:w="876" w:type="dxa"/>
            <w:tcBorders>
              <w:top w:val="nil"/>
              <w:left w:val="nil"/>
              <w:bottom w:val="nil"/>
              <w:right w:val="nil"/>
            </w:tcBorders>
            <w:vAlign w:val="bottom"/>
          </w:tcPr>
          <w:p w14:paraId="4F774300" w14:textId="1953E6BD" w:rsidR="00042507" w:rsidRPr="00512683" w:rsidRDefault="00042507" w:rsidP="005A66AB">
            <w:pPr>
              <w:rPr>
                <w:b/>
                <w:bCs/>
                <w:sz w:val="20"/>
                <w:szCs w:val="20"/>
              </w:rPr>
            </w:pPr>
          </w:p>
        </w:tc>
        <w:tc>
          <w:tcPr>
            <w:tcW w:w="791" w:type="dxa"/>
            <w:tcBorders>
              <w:top w:val="nil"/>
              <w:left w:val="nil"/>
              <w:bottom w:val="nil"/>
              <w:right w:val="nil"/>
            </w:tcBorders>
            <w:vAlign w:val="bottom"/>
          </w:tcPr>
          <w:p w14:paraId="2D524020" w14:textId="5C84D177" w:rsidR="00042507" w:rsidRPr="00512683" w:rsidRDefault="00042507" w:rsidP="005A66AB">
            <w:pPr>
              <w:rPr>
                <w:b/>
                <w:bCs/>
                <w:sz w:val="20"/>
                <w:szCs w:val="20"/>
              </w:rPr>
            </w:pPr>
          </w:p>
        </w:tc>
        <w:tc>
          <w:tcPr>
            <w:tcW w:w="876" w:type="dxa"/>
            <w:tcBorders>
              <w:top w:val="nil"/>
              <w:left w:val="nil"/>
              <w:bottom w:val="nil"/>
              <w:right w:val="nil"/>
            </w:tcBorders>
            <w:vAlign w:val="bottom"/>
          </w:tcPr>
          <w:p w14:paraId="4772DF65" w14:textId="477759F5" w:rsidR="00042507" w:rsidRPr="00512683" w:rsidRDefault="00042507" w:rsidP="005A66AB">
            <w:pPr>
              <w:rPr>
                <w:b/>
                <w:bCs/>
                <w:sz w:val="20"/>
                <w:szCs w:val="20"/>
              </w:rPr>
            </w:pPr>
          </w:p>
        </w:tc>
        <w:tc>
          <w:tcPr>
            <w:tcW w:w="753" w:type="dxa"/>
            <w:tcBorders>
              <w:top w:val="nil"/>
              <w:left w:val="nil"/>
              <w:bottom w:val="nil"/>
              <w:right w:val="nil"/>
            </w:tcBorders>
            <w:vAlign w:val="bottom"/>
          </w:tcPr>
          <w:p w14:paraId="64F51129" w14:textId="77777777" w:rsidR="00042507" w:rsidRPr="00512683" w:rsidRDefault="00042507" w:rsidP="005A66AB">
            <w:pPr>
              <w:rPr>
                <w:b/>
                <w:bCs/>
                <w:sz w:val="20"/>
                <w:szCs w:val="20"/>
              </w:rPr>
            </w:pPr>
          </w:p>
        </w:tc>
        <w:tc>
          <w:tcPr>
            <w:tcW w:w="826" w:type="dxa"/>
            <w:tcBorders>
              <w:top w:val="nil"/>
              <w:left w:val="nil"/>
              <w:bottom w:val="nil"/>
              <w:right w:val="nil"/>
            </w:tcBorders>
            <w:vAlign w:val="bottom"/>
          </w:tcPr>
          <w:p w14:paraId="28A04E81" w14:textId="77777777" w:rsidR="00042507" w:rsidRPr="00512683" w:rsidRDefault="00042507" w:rsidP="005A66AB">
            <w:pPr>
              <w:rPr>
                <w:b/>
                <w:bCs/>
                <w:sz w:val="20"/>
                <w:szCs w:val="20"/>
              </w:rPr>
            </w:pPr>
          </w:p>
        </w:tc>
        <w:tc>
          <w:tcPr>
            <w:tcW w:w="753" w:type="dxa"/>
            <w:tcBorders>
              <w:top w:val="nil"/>
              <w:left w:val="nil"/>
              <w:bottom w:val="nil"/>
              <w:right w:val="nil"/>
            </w:tcBorders>
            <w:vAlign w:val="bottom"/>
          </w:tcPr>
          <w:p w14:paraId="28F060F7" w14:textId="77777777" w:rsidR="00042507" w:rsidRPr="00512683" w:rsidRDefault="00042507" w:rsidP="005A66AB">
            <w:pPr>
              <w:rPr>
                <w:b/>
                <w:bCs/>
                <w:sz w:val="20"/>
                <w:szCs w:val="20"/>
              </w:rPr>
            </w:pPr>
          </w:p>
        </w:tc>
        <w:tc>
          <w:tcPr>
            <w:tcW w:w="753" w:type="dxa"/>
            <w:tcBorders>
              <w:top w:val="nil"/>
              <w:left w:val="nil"/>
              <w:bottom w:val="nil"/>
              <w:right w:val="nil"/>
            </w:tcBorders>
          </w:tcPr>
          <w:p w14:paraId="28C49CC1" w14:textId="77777777" w:rsidR="00042507" w:rsidRPr="00512683" w:rsidRDefault="00042507" w:rsidP="005A66AB">
            <w:pPr>
              <w:rPr>
                <w:b/>
                <w:bCs/>
                <w:sz w:val="20"/>
                <w:szCs w:val="20"/>
              </w:rPr>
            </w:pPr>
          </w:p>
        </w:tc>
      </w:tr>
      <w:tr w:rsidR="00042507" w:rsidRPr="00512683" w14:paraId="352C2224" w14:textId="77777777" w:rsidTr="005A66AB">
        <w:tc>
          <w:tcPr>
            <w:tcW w:w="1463" w:type="dxa"/>
            <w:tcBorders>
              <w:top w:val="nil"/>
              <w:left w:val="nil"/>
              <w:bottom w:val="nil"/>
              <w:right w:val="nil"/>
            </w:tcBorders>
            <w:vAlign w:val="bottom"/>
          </w:tcPr>
          <w:p w14:paraId="1CD8C283" w14:textId="041D2FA5" w:rsidR="00042507" w:rsidRPr="00512683" w:rsidRDefault="00042507" w:rsidP="003173E4">
            <w:pPr>
              <w:rPr>
                <w:b/>
                <w:sz w:val="20"/>
                <w:szCs w:val="20"/>
              </w:rPr>
            </w:pPr>
            <w:r w:rsidRPr="00512683">
              <w:rPr>
                <w:rFonts w:eastAsia="Times New Roman"/>
                <w:i/>
                <w:sz w:val="20"/>
                <w:szCs w:val="20"/>
              </w:rPr>
              <w:t>MeanQ</w:t>
            </w:r>
            <w:r w:rsidRPr="0032217C">
              <w:rPr>
                <w:rFonts w:eastAsia="Times New Roman"/>
                <w:i/>
                <w:sz w:val="20"/>
                <w:szCs w:val="20"/>
                <w:vertAlign w:val="subscript"/>
              </w:rPr>
              <w:t>t-1</w:t>
            </w:r>
          </w:p>
        </w:tc>
        <w:tc>
          <w:tcPr>
            <w:tcW w:w="753" w:type="dxa"/>
            <w:tcBorders>
              <w:top w:val="nil"/>
              <w:left w:val="nil"/>
              <w:bottom w:val="nil"/>
              <w:right w:val="nil"/>
            </w:tcBorders>
            <w:vAlign w:val="bottom"/>
          </w:tcPr>
          <w:p w14:paraId="42AAD31D" w14:textId="450A9C08" w:rsidR="00042507" w:rsidRPr="00512683" w:rsidRDefault="00042507" w:rsidP="003173E4">
            <w:pPr>
              <w:rPr>
                <w:b/>
                <w:bCs/>
                <w:sz w:val="20"/>
                <w:szCs w:val="20"/>
              </w:rPr>
            </w:pPr>
            <w:r w:rsidRPr="00512683">
              <w:rPr>
                <w:rFonts w:eastAsia="Times New Roman"/>
                <w:b/>
                <w:bCs/>
                <w:color w:val="000000"/>
                <w:sz w:val="20"/>
                <w:szCs w:val="20"/>
              </w:rPr>
              <w:t>0.12</w:t>
            </w:r>
            <w:r w:rsidR="0088093F">
              <w:rPr>
                <w:rFonts w:eastAsia="Times New Roman"/>
                <w:b/>
                <w:bCs/>
                <w:color w:val="000000"/>
                <w:sz w:val="20"/>
                <w:szCs w:val="20"/>
              </w:rPr>
              <w:t>4</w:t>
            </w:r>
          </w:p>
        </w:tc>
        <w:tc>
          <w:tcPr>
            <w:tcW w:w="753" w:type="dxa"/>
            <w:tcBorders>
              <w:top w:val="nil"/>
              <w:left w:val="nil"/>
              <w:bottom w:val="nil"/>
              <w:right w:val="nil"/>
            </w:tcBorders>
            <w:vAlign w:val="bottom"/>
          </w:tcPr>
          <w:p w14:paraId="2E71C9DE" w14:textId="4310C808" w:rsidR="00042507" w:rsidRPr="00512683" w:rsidRDefault="0088093F" w:rsidP="003173E4">
            <w:pPr>
              <w:rPr>
                <w:b/>
                <w:bCs/>
                <w:sz w:val="20"/>
                <w:szCs w:val="20"/>
              </w:rPr>
            </w:pPr>
            <w:r>
              <w:rPr>
                <w:rFonts w:eastAsia="Times New Roman"/>
                <w:b/>
                <w:bCs/>
                <w:color w:val="000000"/>
                <w:sz w:val="20"/>
                <w:szCs w:val="20"/>
              </w:rPr>
              <w:t>-0.015</w:t>
            </w:r>
          </w:p>
        </w:tc>
        <w:tc>
          <w:tcPr>
            <w:tcW w:w="876" w:type="dxa"/>
            <w:tcBorders>
              <w:top w:val="nil"/>
              <w:left w:val="nil"/>
              <w:bottom w:val="nil"/>
              <w:right w:val="nil"/>
            </w:tcBorders>
            <w:vAlign w:val="bottom"/>
          </w:tcPr>
          <w:p w14:paraId="55961F7A" w14:textId="42C79197" w:rsidR="00042507" w:rsidRPr="00512683" w:rsidRDefault="00042507" w:rsidP="003173E4">
            <w:pPr>
              <w:rPr>
                <w:rFonts w:eastAsia="Times New Roman"/>
                <w:b/>
                <w:bCs/>
                <w:color w:val="000000"/>
                <w:sz w:val="20"/>
                <w:szCs w:val="20"/>
              </w:rPr>
            </w:pPr>
            <w:r w:rsidRPr="00512683">
              <w:rPr>
                <w:rFonts w:eastAsia="Times New Roman"/>
                <w:b/>
                <w:bCs/>
                <w:color w:val="000000"/>
                <w:sz w:val="20"/>
                <w:szCs w:val="20"/>
              </w:rPr>
              <w:t>0.547</w:t>
            </w:r>
          </w:p>
        </w:tc>
        <w:tc>
          <w:tcPr>
            <w:tcW w:w="876" w:type="dxa"/>
            <w:tcBorders>
              <w:top w:val="nil"/>
              <w:left w:val="nil"/>
              <w:bottom w:val="nil"/>
              <w:right w:val="nil"/>
            </w:tcBorders>
            <w:vAlign w:val="bottom"/>
          </w:tcPr>
          <w:p w14:paraId="5E5A0451" w14:textId="06BB2C10" w:rsidR="00042507" w:rsidRPr="00512683" w:rsidRDefault="00042507" w:rsidP="003173E4">
            <w:pPr>
              <w:rPr>
                <w:b/>
                <w:bCs/>
                <w:sz w:val="20"/>
                <w:szCs w:val="20"/>
              </w:rPr>
            </w:pPr>
            <w:r w:rsidRPr="00512683">
              <w:rPr>
                <w:rFonts w:eastAsia="Times New Roman"/>
                <w:b/>
                <w:bCs/>
                <w:color w:val="000000"/>
                <w:sz w:val="20"/>
                <w:szCs w:val="20"/>
              </w:rPr>
              <w:t>1.000</w:t>
            </w:r>
          </w:p>
        </w:tc>
        <w:tc>
          <w:tcPr>
            <w:tcW w:w="791" w:type="dxa"/>
            <w:tcBorders>
              <w:top w:val="nil"/>
              <w:left w:val="nil"/>
              <w:bottom w:val="nil"/>
              <w:right w:val="nil"/>
            </w:tcBorders>
            <w:vAlign w:val="bottom"/>
          </w:tcPr>
          <w:p w14:paraId="3E6479E2" w14:textId="77777777" w:rsidR="00042507" w:rsidRPr="00512683" w:rsidRDefault="00042507" w:rsidP="003173E4">
            <w:pPr>
              <w:rPr>
                <w:b/>
                <w:bCs/>
                <w:sz w:val="20"/>
                <w:szCs w:val="20"/>
              </w:rPr>
            </w:pPr>
          </w:p>
        </w:tc>
        <w:tc>
          <w:tcPr>
            <w:tcW w:w="876" w:type="dxa"/>
            <w:tcBorders>
              <w:top w:val="nil"/>
              <w:left w:val="nil"/>
              <w:bottom w:val="nil"/>
              <w:right w:val="nil"/>
            </w:tcBorders>
            <w:vAlign w:val="bottom"/>
          </w:tcPr>
          <w:p w14:paraId="2FA4A081" w14:textId="77777777" w:rsidR="00042507" w:rsidRPr="00512683" w:rsidRDefault="00042507" w:rsidP="003173E4">
            <w:pPr>
              <w:rPr>
                <w:b/>
                <w:bCs/>
                <w:sz w:val="20"/>
                <w:szCs w:val="20"/>
              </w:rPr>
            </w:pPr>
          </w:p>
        </w:tc>
        <w:tc>
          <w:tcPr>
            <w:tcW w:w="753" w:type="dxa"/>
            <w:tcBorders>
              <w:top w:val="nil"/>
              <w:left w:val="nil"/>
              <w:bottom w:val="nil"/>
              <w:right w:val="nil"/>
            </w:tcBorders>
            <w:vAlign w:val="bottom"/>
          </w:tcPr>
          <w:p w14:paraId="0CF49940" w14:textId="77777777" w:rsidR="00042507" w:rsidRPr="00512683" w:rsidRDefault="00042507" w:rsidP="003173E4">
            <w:pPr>
              <w:rPr>
                <w:b/>
                <w:bCs/>
                <w:sz w:val="20"/>
                <w:szCs w:val="20"/>
              </w:rPr>
            </w:pPr>
          </w:p>
        </w:tc>
        <w:tc>
          <w:tcPr>
            <w:tcW w:w="826" w:type="dxa"/>
            <w:tcBorders>
              <w:top w:val="nil"/>
              <w:left w:val="nil"/>
              <w:bottom w:val="nil"/>
              <w:right w:val="nil"/>
            </w:tcBorders>
            <w:vAlign w:val="bottom"/>
          </w:tcPr>
          <w:p w14:paraId="1EA7E2A6" w14:textId="77777777" w:rsidR="00042507" w:rsidRPr="00512683" w:rsidRDefault="00042507" w:rsidP="003173E4">
            <w:pPr>
              <w:rPr>
                <w:b/>
                <w:bCs/>
                <w:sz w:val="20"/>
                <w:szCs w:val="20"/>
              </w:rPr>
            </w:pPr>
          </w:p>
        </w:tc>
        <w:tc>
          <w:tcPr>
            <w:tcW w:w="753" w:type="dxa"/>
            <w:tcBorders>
              <w:top w:val="nil"/>
              <w:left w:val="nil"/>
              <w:bottom w:val="nil"/>
              <w:right w:val="nil"/>
            </w:tcBorders>
            <w:vAlign w:val="bottom"/>
          </w:tcPr>
          <w:p w14:paraId="29AECF33" w14:textId="77777777" w:rsidR="00042507" w:rsidRPr="00512683" w:rsidRDefault="00042507" w:rsidP="003173E4">
            <w:pPr>
              <w:rPr>
                <w:b/>
                <w:bCs/>
                <w:sz w:val="20"/>
                <w:szCs w:val="20"/>
              </w:rPr>
            </w:pPr>
          </w:p>
        </w:tc>
        <w:tc>
          <w:tcPr>
            <w:tcW w:w="753" w:type="dxa"/>
            <w:tcBorders>
              <w:top w:val="nil"/>
              <w:left w:val="nil"/>
              <w:bottom w:val="nil"/>
              <w:right w:val="nil"/>
            </w:tcBorders>
          </w:tcPr>
          <w:p w14:paraId="324FA9A6" w14:textId="77777777" w:rsidR="00042507" w:rsidRPr="00512683" w:rsidRDefault="00042507" w:rsidP="003173E4">
            <w:pPr>
              <w:rPr>
                <w:b/>
                <w:bCs/>
                <w:sz w:val="20"/>
                <w:szCs w:val="20"/>
              </w:rPr>
            </w:pPr>
          </w:p>
        </w:tc>
      </w:tr>
      <w:tr w:rsidR="00042507" w:rsidRPr="00512683" w14:paraId="48C0383F" w14:textId="77777777" w:rsidTr="005A66AB">
        <w:tc>
          <w:tcPr>
            <w:tcW w:w="1463" w:type="dxa"/>
            <w:tcBorders>
              <w:top w:val="nil"/>
              <w:left w:val="nil"/>
              <w:bottom w:val="nil"/>
              <w:right w:val="nil"/>
            </w:tcBorders>
            <w:vAlign w:val="bottom"/>
          </w:tcPr>
          <w:p w14:paraId="79269AF0" w14:textId="7955097C" w:rsidR="00042507" w:rsidRPr="00512683" w:rsidRDefault="00042507" w:rsidP="003173E4">
            <w:pPr>
              <w:rPr>
                <w:b/>
                <w:sz w:val="20"/>
                <w:szCs w:val="20"/>
              </w:rPr>
            </w:pPr>
            <w:r w:rsidRPr="00512683">
              <w:rPr>
                <w:rFonts w:eastAsia="Times New Roman"/>
                <w:i/>
                <w:sz w:val="20"/>
                <w:szCs w:val="20"/>
              </w:rPr>
              <w:t>MedQ</w:t>
            </w:r>
            <w:r w:rsidRPr="0032217C">
              <w:rPr>
                <w:rFonts w:eastAsia="Times New Roman"/>
                <w:i/>
                <w:sz w:val="20"/>
                <w:szCs w:val="20"/>
                <w:vertAlign w:val="subscript"/>
              </w:rPr>
              <w:t>t-1</w:t>
            </w:r>
          </w:p>
        </w:tc>
        <w:tc>
          <w:tcPr>
            <w:tcW w:w="753" w:type="dxa"/>
            <w:tcBorders>
              <w:top w:val="nil"/>
              <w:left w:val="nil"/>
              <w:bottom w:val="nil"/>
              <w:right w:val="nil"/>
            </w:tcBorders>
            <w:vAlign w:val="bottom"/>
          </w:tcPr>
          <w:p w14:paraId="5912DD8D" w14:textId="75D6AEAC" w:rsidR="00042507" w:rsidRPr="00512683" w:rsidRDefault="00042507" w:rsidP="003173E4">
            <w:pPr>
              <w:rPr>
                <w:b/>
                <w:bCs/>
                <w:sz w:val="20"/>
                <w:szCs w:val="20"/>
              </w:rPr>
            </w:pPr>
            <w:r w:rsidRPr="00512683">
              <w:rPr>
                <w:rFonts w:eastAsia="Times New Roman"/>
                <w:b/>
                <w:bCs/>
                <w:color w:val="000000"/>
                <w:sz w:val="20"/>
                <w:szCs w:val="20"/>
              </w:rPr>
              <w:t>0.1</w:t>
            </w:r>
            <w:r w:rsidR="0088093F">
              <w:rPr>
                <w:rFonts w:eastAsia="Times New Roman"/>
                <w:b/>
                <w:bCs/>
                <w:color w:val="000000"/>
                <w:sz w:val="20"/>
                <w:szCs w:val="20"/>
              </w:rPr>
              <w:t>10</w:t>
            </w:r>
          </w:p>
        </w:tc>
        <w:tc>
          <w:tcPr>
            <w:tcW w:w="753" w:type="dxa"/>
            <w:tcBorders>
              <w:top w:val="nil"/>
              <w:left w:val="nil"/>
              <w:bottom w:val="nil"/>
              <w:right w:val="nil"/>
            </w:tcBorders>
            <w:vAlign w:val="bottom"/>
          </w:tcPr>
          <w:p w14:paraId="43CA4782" w14:textId="47F7FF89" w:rsidR="00042507" w:rsidRPr="00D251D2" w:rsidRDefault="00042507" w:rsidP="003173E4">
            <w:pPr>
              <w:rPr>
                <w:bCs/>
                <w:sz w:val="20"/>
                <w:szCs w:val="20"/>
              </w:rPr>
            </w:pPr>
            <w:r w:rsidRPr="00D251D2">
              <w:rPr>
                <w:rFonts w:eastAsia="Times New Roman"/>
                <w:bCs/>
                <w:color w:val="000000"/>
                <w:sz w:val="20"/>
                <w:szCs w:val="20"/>
              </w:rPr>
              <w:t>0.</w:t>
            </w:r>
            <w:r w:rsidR="0088093F" w:rsidRPr="00D251D2">
              <w:rPr>
                <w:rFonts w:eastAsia="Times New Roman"/>
                <w:bCs/>
                <w:color w:val="000000"/>
                <w:sz w:val="20"/>
                <w:szCs w:val="20"/>
              </w:rPr>
              <w:t>004</w:t>
            </w:r>
          </w:p>
        </w:tc>
        <w:tc>
          <w:tcPr>
            <w:tcW w:w="876" w:type="dxa"/>
            <w:tcBorders>
              <w:top w:val="nil"/>
              <w:left w:val="nil"/>
              <w:bottom w:val="nil"/>
              <w:right w:val="nil"/>
            </w:tcBorders>
            <w:vAlign w:val="bottom"/>
          </w:tcPr>
          <w:p w14:paraId="4001271B" w14:textId="6E649998" w:rsidR="00042507" w:rsidRPr="00512683" w:rsidRDefault="00042507" w:rsidP="003173E4">
            <w:pPr>
              <w:rPr>
                <w:rFonts w:eastAsia="Times New Roman"/>
                <w:b/>
                <w:bCs/>
                <w:color w:val="000000"/>
                <w:sz w:val="20"/>
                <w:szCs w:val="20"/>
              </w:rPr>
            </w:pPr>
            <w:r w:rsidRPr="00512683">
              <w:rPr>
                <w:rFonts w:eastAsia="Times New Roman"/>
                <w:b/>
                <w:bCs/>
                <w:color w:val="000000"/>
                <w:sz w:val="20"/>
                <w:szCs w:val="20"/>
              </w:rPr>
              <w:t>0.521</w:t>
            </w:r>
          </w:p>
        </w:tc>
        <w:tc>
          <w:tcPr>
            <w:tcW w:w="876" w:type="dxa"/>
            <w:tcBorders>
              <w:top w:val="nil"/>
              <w:left w:val="nil"/>
              <w:bottom w:val="nil"/>
              <w:right w:val="nil"/>
            </w:tcBorders>
            <w:vAlign w:val="bottom"/>
          </w:tcPr>
          <w:p w14:paraId="42262589" w14:textId="7B4277F7" w:rsidR="00042507" w:rsidRPr="00512683" w:rsidRDefault="00042507" w:rsidP="003173E4">
            <w:pPr>
              <w:rPr>
                <w:b/>
                <w:bCs/>
                <w:sz w:val="20"/>
                <w:szCs w:val="20"/>
              </w:rPr>
            </w:pPr>
            <w:r w:rsidRPr="00512683">
              <w:rPr>
                <w:rFonts w:eastAsia="Times New Roman"/>
                <w:b/>
                <w:bCs/>
                <w:color w:val="000000"/>
                <w:sz w:val="20"/>
                <w:szCs w:val="20"/>
              </w:rPr>
              <w:t>0.923</w:t>
            </w:r>
          </w:p>
        </w:tc>
        <w:tc>
          <w:tcPr>
            <w:tcW w:w="791" w:type="dxa"/>
            <w:tcBorders>
              <w:top w:val="nil"/>
              <w:left w:val="nil"/>
              <w:bottom w:val="nil"/>
              <w:right w:val="nil"/>
            </w:tcBorders>
            <w:vAlign w:val="bottom"/>
          </w:tcPr>
          <w:p w14:paraId="4C7AD468" w14:textId="0935E3D7" w:rsidR="00042507" w:rsidRPr="00512683" w:rsidRDefault="00042507" w:rsidP="003173E4">
            <w:pPr>
              <w:rPr>
                <w:b/>
                <w:bCs/>
                <w:sz w:val="20"/>
                <w:szCs w:val="20"/>
              </w:rPr>
            </w:pPr>
            <w:r w:rsidRPr="00512683">
              <w:rPr>
                <w:rFonts w:eastAsia="Times New Roman"/>
                <w:b/>
                <w:bCs/>
                <w:color w:val="000000"/>
                <w:sz w:val="20"/>
                <w:szCs w:val="20"/>
              </w:rPr>
              <w:t>1.000</w:t>
            </w:r>
          </w:p>
        </w:tc>
        <w:tc>
          <w:tcPr>
            <w:tcW w:w="876" w:type="dxa"/>
            <w:tcBorders>
              <w:top w:val="nil"/>
              <w:left w:val="nil"/>
              <w:bottom w:val="nil"/>
              <w:right w:val="nil"/>
            </w:tcBorders>
            <w:vAlign w:val="bottom"/>
          </w:tcPr>
          <w:p w14:paraId="1F33793E" w14:textId="77777777" w:rsidR="00042507" w:rsidRPr="00512683" w:rsidRDefault="00042507" w:rsidP="003173E4">
            <w:pPr>
              <w:rPr>
                <w:b/>
                <w:bCs/>
                <w:sz w:val="20"/>
                <w:szCs w:val="20"/>
              </w:rPr>
            </w:pPr>
          </w:p>
        </w:tc>
        <w:tc>
          <w:tcPr>
            <w:tcW w:w="753" w:type="dxa"/>
            <w:tcBorders>
              <w:top w:val="nil"/>
              <w:left w:val="nil"/>
              <w:bottom w:val="nil"/>
              <w:right w:val="nil"/>
            </w:tcBorders>
            <w:vAlign w:val="bottom"/>
          </w:tcPr>
          <w:p w14:paraId="7ED8BD83" w14:textId="77777777" w:rsidR="00042507" w:rsidRPr="00512683" w:rsidRDefault="00042507" w:rsidP="003173E4">
            <w:pPr>
              <w:rPr>
                <w:b/>
                <w:bCs/>
                <w:sz w:val="20"/>
                <w:szCs w:val="20"/>
              </w:rPr>
            </w:pPr>
          </w:p>
        </w:tc>
        <w:tc>
          <w:tcPr>
            <w:tcW w:w="826" w:type="dxa"/>
            <w:tcBorders>
              <w:top w:val="nil"/>
              <w:left w:val="nil"/>
              <w:bottom w:val="nil"/>
              <w:right w:val="nil"/>
            </w:tcBorders>
            <w:vAlign w:val="bottom"/>
          </w:tcPr>
          <w:p w14:paraId="5BEB34E9" w14:textId="77777777" w:rsidR="00042507" w:rsidRPr="00512683" w:rsidRDefault="00042507" w:rsidP="003173E4">
            <w:pPr>
              <w:rPr>
                <w:b/>
                <w:bCs/>
                <w:sz w:val="20"/>
                <w:szCs w:val="20"/>
              </w:rPr>
            </w:pPr>
          </w:p>
        </w:tc>
        <w:tc>
          <w:tcPr>
            <w:tcW w:w="753" w:type="dxa"/>
            <w:tcBorders>
              <w:top w:val="nil"/>
              <w:left w:val="nil"/>
              <w:bottom w:val="nil"/>
              <w:right w:val="nil"/>
            </w:tcBorders>
            <w:vAlign w:val="bottom"/>
          </w:tcPr>
          <w:p w14:paraId="6959C541" w14:textId="77777777" w:rsidR="00042507" w:rsidRPr="00512683" w:rsidRDefault="00042507" w:rsidP="003173E4">
            <w:pPr>
              <w:rPr>
                <w:b/>
                <w:bCs/>
                <w:sz w:val="20"/>
                <w:szCs w:val="20"/>
              </w:rPr>
            </w:pPr>
          </w:p>
        </w:tc>
        <w:tc>
          <w:tcPr>
            <w:tcW w:w="753" w:type="dxa"/>
            <w:tcBorders>
              <w:top w:val="nil"/>
              <w:left w:val="nil"/>
              <w:bottom w:val="nil"/>
              <w:right w:val="nil"/>
            </w:tcBorders>
          </w:tcPr>
          <w:p w14:paraId="33F13D0F" w14:textId="77777777" w:rsidR="00042507" w:rsidRPr="00512683" w:rsidRDefault="00042507" w:rsidP="003173E4">
            <w:pPr>
              <w:rPr>
                <w:b/>
                <w:bCs/>
                <w:sz w:val="20"/>
                <w:szCs w:val="20"/>
              </w:rPr>
            </w:pPr>
          </w:p>
        </w:tc>
      </w:tr>
      <w:tr w:rsidR="00042507" w:rsidRPr="00512683" w14:paraId="0DA532A1" w14:textId="77777777" w:rsidTr="005A66AB">
        <w:tc>
          <w:tcPr>
            <w:tcW w:w="1463" w:type="dxa"/>
            <w:tcBorders>
              <w:top w:val="nil"/>
              <w:left w:val="nil"/>
              <w:bottom w:val="nil"/>
              <w:right w:val="nil"/>
            </w:tcBorders>
            <w:vAlign w:val="bottom"/>
          </w:tcPr>
          <w:p w14:paraId="113AB3E3" w14:textId="73726FFE" w:rsidR="00042507" w:rsidRPr="00512683" w:rsidRDefault="00042507" w:rsidP="003173E4">
            <w:pPr>
              <w:rPr>
                <w:b/>
                <w:sz w:val="20"/>
                <w:szCs w:val="20"/>
              </w:rPr>
            </w:pPr>
            <w:r w:rsidRPr="00512683">
              <w:rPr>
                <w:rFonts w:eastAsia="Times New Roman"/>
                <w:i/>
                <w:sz w:val="20"/>
                <w:szCs w:val="20"/>
              </w:rPr>
              <w:t>MedPE</w:t>
            </w:r>
            <w:r w:rsidRPr="0032217C">
              <w:rPr>
                <w:rFonts w:eastAsia="Times New Roman"/>
                <w:i/>
                <w:sz w:val="20"/>
                <w:szCs w:val="20"/>
                <w:vertAlign w:val="subscript"/>
              </w:rPr>
              <w:t>t-1</w:t>
            </w:r>
          </w:p>
        </w:tc>
        <w:tc>
          <w:tcPr>
            <w:tcW w:w="753" w:type="dxa"/>
            <w:tcBorders>
              <w:top w:val="nil"/>
              <w:left w:val="nil"/>
              <w:bottom w:val="nil"/>
              <w:right w:val="nil"/>
            </w:tcBorders>
            <w:vAlign w:val="bottom"/>
          </w:tcPr>
          <w:p w14:paraId="1413CDA1" w14:textId="1012F8C6" w:rsidR="00042507" w:rsidRPr="00512683" w:rsidRDefault="00042507" w:rsidP="003173E4">
            <w:pPr>
              <w:rPr>
                <w:b/>
                <w:bCs/>
                <w:sz w:val="20"/>
                <w:szCs w:val="20"/>
              </w:rPr>
            </w:pPr>
            <w:r w:rsidRPr="00512683">
              <w:rPr>
                <w:rFonts w:eastAsia="Times New Roman"/>
                <w:b/>
                <w:bCs/>
                <w:color w:val="000000"/>
                <w:sz w:val="20"/>
                <w:szCs w:val="20"/>
              </w:rPr>
              <w:t>0.04</w:t>
            </w:r>
            <w:r w:rsidR="0088093F">
              <w:rPr>
                <w:rFonts w:eastAsia="Times New Roman"/>
                <w:b/>
                <w:bCs/>
                <w:color w:val="000000"/>
                <w:sz w:val="20"/>
                <w:szCs w:val="20"/>
              </w:rPr>
              <w:t>2</w:t>
            </w:r>
          </w:p>
        </w:tc>
        <w:tc>
          <w:tcPr>
            <w:tcW w:w="753" w:type="dxa"/>
            <w:tcBorders>
              <w:top w:val="nil"/>
              <w:left w:val="nil"/>
              <w:bottom w:val="nil"/>
              <w:right w:val="nil"/>
            </w:tcBorders>
            <w:vAlign w:val="bottom"/>
          </w:tcPr>
          <w:p w14:paraId="56C45BE0" w14:textId="42DE7AC7" w:rsidR="00042507" w:rsidRPr="00512683" w:rsidRDefault="0088093F" w:rsidP="003173E4">
            <w:pPr>
              <w:rPr>
                <w:b/>
                <w:bCs/>
                <w:sz w:val="20"/>
                <w:szCs w:val="20"/>
              </w:rPr>
            </w:pPr>
            <w:r>
              <w:rPr>
                <w:rFonts w:eastAsia="Times New Roman"/>
                <w:b/>
                <w:bCs/>
                <w:color w:val="000000"/>
                <w:sz w:val="20"/>
                <w:szCs w:val="20"/>
              </w:rPr>
              <w:t>-0.036</w:t>
            </w:r>
          </w:p>
        </w:tc>
        <w:tc>
          <w:tcPr>
            <w:tcW w:w="876" w:type="dxa"/>
            <w:tcBorders>
              <w:top w:val="nil"/>
              <w:left w:val="nil"/>
              <w:bottom w:val="nil"/>
              <w:right w:val="nil"/>
            </w:tcBorders>
            <w:vAlign w:val="bottom"/>
          </w:tcPr>
          <w:p w14:paraId="2621C02B" w14:textId="377DB0B0" w:rsidR="00042507" w:rsidRPr="00512683" w:rsidRDefault="00042507" w:rsidP="003173E4">
            <w:pPr>
              <w:rPr>
                <w:rFonts w:eastAsia="Times New Roman"/>
                <w:b/>
                <w:bCs/>
                <w:color w:val="000000"/>
                <w:sz w:val="20"/>
                <w:szCs w:val="20"/>
              </w:rPr>
            </w:pPr>
            <w:r w:rsidRPr="00512683">
              <w:rPr>
                <w:rFonts w:eastAsia="Times New Roman"/>
                <w:b/>
                <w:bCs/>
                <w:color w:val="000000"/>
                <w:sz w:val="20"/>
                <w:szCs w:val="20"/>
              </w:rPr>
              <w:t>0.112</w:t>
            </w:r>
          </w:p>
        </w:tc>
        <w:tc>
          <w:tcPr>
            <w:tcW w:w="876" w:type="dxa"/>
            <w:tcBorders>
              <w:top w:val="nil"/>
              <w:left w:val="nil"/>
              <w:bottom w:val="nil"/>
              <w:right w:val="nil"/>
            </w:tcBorders>
            <w:vAlign w:val="bottom"/>
          </w:tcPr>
          <w:p w14:paraId="460577AB" w14:textId="074611B3" w:rsidR="00042507" w:rsidRPr="00512683" w:rsidRDefault="00042507" w:rsidP="003173E4">
            <w:pPr>
              <w:rPr>
                <w:b/>
                <w:bCs/>
                <w:sz w:val="20"/>
                <w:szCs w:val="20"/>
              </w:rPr>
            </w:pPr>
            <w:r w:rsidRPr="00512683">
              <w:rPr>
                <w:rFonts w:eastAsia="Times New Roman"/>
                <w:b/>
                <w:bCs/>
                <w:color w:val="000000"/>
                <w:sz w:val="20"/>
                <w:szCs w:val="20"/>
              </w:rPr>
              <w:t>0.193</w:t>
            </w:r>
          </w:p>
        </w:tc>
        <w:tc>
          <w:tcPr>
            <w:tcW w:w="791" w:type="dxa"/>
            <w:tcBorders>
              <w:top w:val="nil"/>
              <w:left w:val="nil"/>
              <w:bottom w:val="nil"/>
              <w:right w:val="nil"/>
            </w:tcBorders>
            <w:vAlign w:val="bottom"/>
          </w:tcPr>
          <w:p w14:paraId="5ACCA60C" w14:textId="0C3DBE49" w:rsidR="00042507" w:rsidRPr="00512683" w:rsidRDefault="00042507" w:rsidP="003173E4">
            <w:pPr>
              <w:rPr>
                <w:b/>
                <w:bCs/>
                <w:sz w:val="20"/>
                <w:szCs w:val="20"/>
              </w:rPr>
            </w:pPr>
            <w:r w:rsidRPr="00512683">
              <w:rPr>
                <w:rFonts w:eastAsia="Times New Roman"/>
                <w:b/>
                <w:bCs/>
                <w:color w:val="000000"/>
                <w:sz w:val="20"/>
                <w:szCs w:val="20"/>
              </w:rPr>
              <w:t>0.170</w:t>
            </w:r>
          </w:p>
        </w:tc>
        <w:tc>
          <w:tcPr>
            <w:tcW w:w="876" w:type="dxa"/>
            <w:tcBorders>
              <w:top w:val="nil"/>
              <w:left w:val="nil"/>
              <w:bottom w:val="nil"/>
              <w:right w:val="nil"/>
            </w:tcBorders>
            <w:vAlign w:val="bottom"/>
          </w:tcPr>
          <w:p w14:paraId="780B0CC6" w14:textId="37B9BD7A" w:rsidR="00042507" w:rsidRPr="00512683" w:rsidRDefault="00042507" w:rsidP="003173E4">
            <w:pPr>
              <w:rPr>
                <w:b/>
                <w:bCs/>
                <w:sz w:val="20"/>
                <w:szCs w:val="20"/>
              </w:rPr>
            </w:pPr>
            <w:r w:rsidRPr="00512683">
              <w:rPr>
                <w:rFonts w:eastAsia="Times New Roman"/>
                <w:b/>
                <w:bCs/>
                <w:color w:val="000000"/>
                <w:sz w:val="20"/>
                <w:szCs w:val="20"/>
              </w:rPr>
              <w:t>1.000</w:t>
            </w:r>
          </w:p>
        </w:tc>
        <w:tc>
          <w:tcPr>
            <w:tcW w:w="753" w:type="dxa"/>
            <w:tcBorders>
              <w:top w:val="nil"/>
              <w:left w:val="nil"/>
              <w:bottom w:val="nil"/>
              <w:right w:val="nil"/>
            </w:tcBorders>
            <w:vAlign w:val="bottom"/>
          </w:tcPr>
          <w:p w14:paraId="27FC9C35" w14:textId="77777777" w:rsidR="00042507" w:rsidRPr="00512683" w:rsidRDefault="00042507" w:rsidP="003173E4">
            <w:pPr>
              <w:rPr>
                <w:b/>
                <w:bCs/>
                <w:sz w:val="20"/>
                <w:szCs w:val="20"/>
              </w:rPr>
            </w:pPr>
          </w:p>
        </w:tc>
        <w:tc>
          <w:tcPr>
            <w:tcW w:w="826" w:type="dxa"/>
            <w:tcBorders>
              <w:top w:val="nil"/>
              <w:left w:val="nil"/>
              <w:bottom w:val="nil"/>
              <w:right w:val="nil"/>
            </w:tcBorders>
            <w:vAlign w:val="bottom"/>
          </w:tcPr>
          <w:p w14:paraId="21015AD9" w14:textId="77777777" w:rsidR="00042507" w:rsidRPr="00512683" w:rsidRDefault="00042507" w:rsidP="003173E4">
            <w:pPr>
              <w:rPr>
                <w:b/>
                <w:bCs/>
                <w:sz w:val="20"/>
                <w:szCs w:val="20"/>
              </w:rPr>
            </w:pPr>
          </w:p>
        </w:tc>
        <w:tc>
          <w:tcPr>
            <w:tcW w:w="753" w:type="dxa"/>
            <w:tcBorders>
              <w:top w:val="nil"/>
              <w:left w:val="nil"/>
              <w:bottom w:val="nil"/>
              <w:right w:val="nil"/>
            </w:tcBorders>
            <w:vAlign w:val="bottom"/>
          </w:tcPr>
          <w:p w14:paraId="4C06F625" w14:textId="77777777" w:rsidR="00042507" w:rsidRPr="00512683" w:rsidRDefault="00042507" w:rsidP="003173E4">
            <w:pPr>
              <w:rPr>
                <w:b/>
                <w:bCs/>
                <w:sz w:val="20"/>
                <w:szCs w:val="20"/>
              </w:rPr>
            </w:pPr>
          </w:p>
        </w:tc>
        <w:tc>
          <w:tcPr>
            <w:tcW w:w="753" w:type="dxa"/>
            <w:tcBorders>
              <w:top w:val="nil"/>
              <w:left w:val="nil"/>
              <w:bottom w:val="nil"/>
              <w:right w:val="nil"/>
            </w:tcBorders>
          </w:tcPr>
          <w:p w14:paraId="421DD5F0" w14:textId="77777777" w:rsidR="00042507" w:rsidRPr="00512683" w:rsidRDefault="00042507" w:rsidP="003173E4">
            <w:pPr>
              <w:rPr>
                <w:b/>
                <w:bCs/>
                <w:sz w:val="20"/>
                <w:szCs w:val="20"/>
              </w:rPr>
            </w:pPr>
          </w:p>
        </w:tc>
      </w:tr>
      <w:tr w:rsidR="00042507" w:rsidRPr="00512683" w14:paraId="2A2A6601" w14:textId="77777777" w:rsidTr="005A66AB">
        <w:tc>
          <w:tcPr>
            <w:tcW w:w="1463" w:type="dxa"/>
            <w:tcBorders>
              <w:top w:val="nil"/>
              <w:left w:val="nil"/>
              <w:bottom w:val="nil"/>
              <w:right w:val="nil"/>
            </w:tcBorders>
            <w:vAlign w:val="bottom"/>
          </w:tcPr>
          <w:p w14:paraId="69206A09" w14:textId="294553A8" w:rsidR="00042507" w:rsidRPr="00512683" w:rsidRDefault="00042507" w:rsidP="003173E4">
            <w:pPr>
              <w:rPr>
                <w:b/>
                <w:sz w:val="20"/>
                <w:szCs w:val="20"/>
              </w:rPr>
            </w:pPr>
            <w:r w:rsidRPr="00512683">
              <w:rPr>
                <w:rFonts w:eastAsia="Times New Roman"/>
                <w:i/>
                <w:sz w:val="20"/>
                <w:szCs w:val="20"/>
              </w:rPr>
              <w:t>CF</w:t>
            </w:r>
            <w:r w:rsidRPr="0032217C">
              <w:rPr>
                <w:rFonts w:eastAsia="Times New Roman"/>
                <w:i/>
                <w:sz w:val="20"/>
                <w:szCs w:val="20"/>
                <w:vertAlign w:val="subscript"/>
              </w:rPr>
              <w:t>t-1</w:t>
            </w:r>
          </w:p>
        </w:tc>
        <w:tc>
          <w:tcPr>
            <w:tcW w:w="753" w:type="dxa"/>
            <w:tcBorders>
              <w:top w:val="nil"/>
              <w:left w:val="nil"/>
              <w:bottom w:val="nil"/>
              <w:right w:val="nil"/>
            </w:tcBorders>
            <w:vAlign w:val="bottom"/>
          </w:tcPr>
          <w:p w14:paraId="1B90D3FB" w14:textId="6C18FCA2" w:rsidR="00042507" w:rsidRPr="00512683" w:rsidRDefault="00042507" w:rsidP="003173E4">
            <w:pPr>
              <w:rPr>
                <w:b/>
                <w:bCs/>
                <w:sz w:val="20"/>
                <w:szCs w:val="20"/>
              </w:rPr>
            </w:pPr>
            <w:r w:rsidRPr="00512683">
              <w:rPr>
                <w:rFonts w:eastAsia="Times New Roman"/>
                <w:b/>
                <w:bCs/>
                <w:color w:val="000000"/>
                <w:sz w:val="20"/>
                <w:szCs w:val="20"/>
              </w:rPr>
              <w:t>0.15</w:t>
            </w:r>
            <w:r w:rsidR="0088093F">
              <w:rPr>
                <w:rFonts w:eastAsia="Times New Roman"/>
                <w:b/>
                <w:bCs/>
                <w:color w:val="000000"/>
                <w:sz w:val="20"/>
                <w:szCs w:val="20"/>
              </w:rPr>
              <w:t>9</w:t>
            </w:r>
          </w:p>
        </w:tc>
        <w:tc>
          <w:tcPr>
            <w:tcW w:w="753" w:type="dxa"/>
            <w:tcBorders>
              <w:top w:val="nil"/>
              <w:left w:val="nil"/>
              <w:bottom w:val="nil"/>
              <w:right w:val="nil"/>
            </w:tcBorders>
            <w:vAlign w:val="bottom"/>
          </w:tcPr>
          <w:p w14:paraId="1E210F90" w14:textId="15A0B29D" w:rsidR="00042507" w:rsidRPr="00512683" w:rsidRDefault="00042507" w:rsidP="003173E4">
            <w:pPr>
              <w:rPr>
                <w:b/>
                <w:bCs/>
                <w:sz w:val="20"/>
                <w:szCs w:val="20"/>
              </w:rPr>
            </w:pPr>
            <w:r w:rsidRPr="00512683">
              <w:rPr>
                <w:rFonts w:eastAsia="Times New Roman"/>
                <w:b/>
                <w:bCs/>
                <w:color w:val="000000"/>
                <w:sz w:val="20"/>
                <w:szCs w:val="20"/>
              </w:rPr>
              <w:t>0.1</w:t>
            </w:r>
            <w:r w:rsidR="0088093F">
              <w:rPr>
                <w:rFonts w:eastAsia="Times New Roman"/>
                <w:b/>
                <w:bCs/>
                <w:color w:val="000000"/>
                <w:sz w:val="20"/>
                <w:szCs w:val="20"/>
              </w:rPr>
              <w:t>31</w:t>
            </w:r>
          </w:p>
        </w:tc>
        <w:tc>
          <w:tcPr>
            <w:tcW w:w="876" w:type="dxa"/>
            <w:tcBorders>
              <w:top w:val="nil"/>
              <w:left w:val="nil"/>
              <w:bottom w:val="nil"/>
              <w:right w:val="nil"/>
            </w:tcBorders>
            <w:vAlign w:val="bottom"/>
          </w:tcPr>
          <w:p w14:paraId="668BA1AE" w14:textId="2642D18E" w:rsidR="00042507" w:rsidRPr="00512683" w:rsidRDefault="00042507" w:rsidP="003173E4">
            <w:pPr>
              <w:rPr>
                <w:rFonts w:eastAsia="Times New Roman"/>
                <w:b/>
                <w:bCs/>
                <w:color w:val="000000"/>
                <w:sz w:val="20"/>
                <w:szCs w:val="20"/>
              </w:rPr>
            </w:pPr>
            <w:r w:rsidRPr="00512683">
              <w:rPr>
                <w:rFonts w:eastAsia="Times New Roman"/>
                <w:b/>
                <w:bCs/>
                <w:color w:val="000000"/>
                <w:sz w:val="20"/>
                <w:szCs w:val="20"/>
              </w:rPr>
              <w:t>0.535</w:t>
            </w:r>
          </w:p>
        </w:tc>
        <w:tc>
          <w:tcPr>
            <w:tcW w:w="876" w:type="dxa"/>
            <w:tcBorders>
              <w:top w:val="nil"/>
              <w:left w:val="nil"/>
              <w:bottom w:val="nil"/>
              <w:right w:val="nil"/>
            </w:tcBorders>
            <w:vAlign w:val="bottom"/>
          </w:tcPr>
          <w:p w14:paraId="755ED6CF" w14:textId="77D5F7AD" w:rsidR="00042507" w:rsidRPr="00512683" w:rsidRDefault="00042507" w:rsidP="003173E4">
            <w:pPr>
              <w:rPr>
                <w:b/>
                <w:bCs/>
                <w:sz w:val="20"/>
                <w:szCs w:val="20"/>
              </w:rPr>
            </w:pPr>
            <w:r w:rsidRPr="00512683">
              <w:rPr>
                <w:rFonts w:eastAsia="Times New Roman"/>
                <w:b/>
                <w:bCs/>
                <w:color w:val="000000"/>
                <w:sz w:val="20"/>
                <w:szCs w:val="20"/>
              </w:rPr>
              <w:t>0.247</w:t>
            </w:r>
          </w:p>
        </w:tc>
        <w:tc>
          <w:tcPr>
            <w:tcW w:w="791" w:type="dxa"/>
            <w:tcBorders>
              <w:top w:val="nil"/>
              <w:left w:val="nil"/>
              <w:bottom w:val="nil"/>
              <w:right w:val="nil"/>
            </w:tcBorders>
            <w:vAlign w:val="bottom"/>
          </w:tcPr>
          <w:p w14:paraId="5263B8B0" w14:textId="6F030582" w:rsidR="00042507" w:rsidRPr="00512683" w:rsidRDefault="00042507" w:rsidP="003173E4">
            <w:pPr>
              <w:rPr>
                <w:b/>
                <w:bCs/>
                <w:sz w:val="20"/>
                <w:szCs w:val="20"/>
              </w:rPr>
            </w:pPr>
            <w:r w:rsidRPr="00512683">
              <w:rPr>
                <w:rFonts w:eastAsia="Times New Roman"/>
                <w:b/>
                <w:bCs/>
                <w:color w:val="000000"/>
                <w:sz w:val="20"/>
                <w:szCs w:val="20"/>
              </w:rPr>
              <w:t>0.253</w:t>
            </w:r>
          </w:p>
        </w:tc>
        <w:tc>
          <w:tcPr>
            <w:tcW w:w="876" w:type="dxa"/>
            <w:tcBorders>
              <w:top w:val="nil"/>
              <w:left w:val="nil"/>
              <w:bottom w:val="nil"/>
              <w:right w:val="nil"/>
            </w:tcBorders>
            <w:vAlign w:val="bottom"/>
          </w:tcPr>
          <w:p w14:paraId="56B10A95" w14:textId="61F72D7B" w:rsidR="00042507" w:rsidRPr="00512683" w:rsidRDefault="00042507" w:rsidP="003173E4">
            <w:pPr>
              <w:rPr>
                <w:sz w:val="20"/>
                <w:szCs w:val="20"/>
              </w:rPr>
            </w:pPr>
            <w:r w:rsidRPr="00512683">
              <w:rPr>
                <w:rFonts w:eastAsia="Times New Roman"/>
                <w:color w:val="000000"/>
                <w:sz w:val="20"/>
                <w:szCs w:val="20"/>
              </w:rPr>
              <w:t>0.006</w:t>
            </w:r>
          </w:p>
        </w:tc>
        <w:tc>
          <w:tcPr>
            <w:tcW w:w="753" w:type="dxa"/>
            <w:tcBorders>
              <w:top w:val="nil"/>
              <w:left w:val="nil"/>
              <w:bottom w:val="nil"/>
              <w:right w:val="nil"/>
            </w:tcBorders>
            <w:vAlign w:val="bottom"/>
          </w:tcPr>
          <w:p w14:paraId="6D0CB79D" w14:textId="18EBB024" w:rsidR="00042507" w:rsidRPr="00512683" w:rsidRDefault="00042507" w:rsidP="003173E4">
            <w:pPr>
              <w:rPr>
                <w:b/>
                <w:bCs/>
                <w:sz w:val="20"/>
                <w:szCs w:val="20"/>
              </w:rPr>
            </w:pPr>
            <w:r w:rsidRPr="00512683">
              <w:rPr>
                <w:rFonts w:eastAsia="Times New Roman"/>
                <w:b/>
                <w:bCs/>
                <w:color w:val="000000"/>
                <w:sz w:val="20"/>
                <w:szCs w:val="20"/>
              </w:rPr>
              <w:t>1.000</w:t>
            </w:r>
          </w:p>
        </w:tc>
        <w:tc>
          <w:tcPr>
            <w:tcW w:w="826" w:type="dxa"/>
            <w:tcBorders>
              <w:top w:val="nil"/>
              <w:left w:val="nil"/>
              <w:bottom w:val="nil"/>
              <w:right w:val="nil"/>
            </w:tcBorders>
            <w:vAlign w:val="bottom"/>
          </w:tcPr>
          <w:p w14:paraId="1BECF906" w14:textId="77777777" w:rsidR="00042507" w:rsidRPr="00512683" w:rsidRDefault="00042507" w:rsidP="003173E4">
            <w:pPr>
              <w:rPr>
                <w:b/>
                <w:bCs/>
                <w:sz w:val="20"/>
                <w:szCs w:val="20"/>
              </w:rPr>
            </w:pPr>
          </w:p>
        </w:tc>
        <w:tc>
          <w:tcPr>
            <w:tcW w:w="753" w:type="dxa"/>
            <w:tcBorders>
              <w:top w:val="nil"/>
              <w:left w:val="nil"/>
              <w:bottom w:val="nil"/>
              <w:right w:val="nil"/>
            </w:tcBorders>
            <w:vAlign w:val="bottom"/>
          </w:tcPr>
          <w:p w14:paraId="6D1A1FBD" w14:textId="77777777" w:rsidR="00042507" w:rsidRPr="00512683" w:rsidRDefault="00042507" w:rsidP="003173E4">
            <w:pPr>
              <w:rPr>
                <w:b/>
                <w:bCs/>
                <w:sz w:val="20"/>
                <w:szCs w:val="20"/>
              </w:rPr>
            </w:pPr>
          </w:p>
        </w:tc>
        <w:tc>
          <w:tcPr>
            <w:tcW w:w="753" w:type="dxa"/>
            <w:tcBorders>
              <w:top w:val="nil"/>
              <w:left w:val="nil"/>
              <w:bottom w:val="nil"/>
              <w:right w:val="nil"/>
            </w:tcBorders>
          </w:tcPr>
          <w:p w14:paraId="1E407738" w14:textId="77777777" w:rsidR="00042507" w:rsidRPr="00512683" w:rsidRDefault="00042507" w:rsidP="003173E4">
            <w:pPr>
              <w:rPr>
                <w:b/>
                <w:bCs/>
                <w:sz w:val="20"/>
                <w:szCs w:val="20"/>
              </w:rPr>
            </w:pPr>
          </w:p>
        </w:tc>
      </w:tr>
      <w:tr w:rsidR="00042507" w:rsidRPr="00512683" w14:paraId="49458EF8" w14:textId="77777777" w:rsidTr="005A66AB">
        <w:tc>
          <w:tcPr>
            <w:tcW w:w="1463" w:type="dxa"/>
            <w:tcBorders>
              <w:top w:val="nil"/>
              <w:left w:val="nil"/>
              <w:bottom w:val="nil"/>
              <w:right w:val="nil"/>
            </w:tcBorders>
            <w:vAlign w:val="bottom"/>
          </w:tcPr>
          <w:p w14:paraId="3797F2DB" w14:textId="7F8350C4" w:rsidR="00042507" w:rsidRPr="00512683" w:rsidRDefault="00042507" w:rsidP="003173E4">
            <w:pPr>
              <w:rPr>
                <w:b/>
                <w:sz w:val="20"/>
                <w:szCs w:val="20"/>
              </w:rPr>
            </w:pPr>
            <w:r w:rsidRPr="00512683">
              <w:rPr>
                <w:rFonts w:eastAsia="Times New Roman"/>
                <w:i/>
                <w:sz w:val="20"/>
                <w:szCs w:val="20"/>
              </w:rPr>
              <w:t>LogAT</w:t>
            </w:r>
            <w:r w:rsidRPr="0032217C">
              <w:rPr>
                <w:rFonts w:eastAsia="Times New Roman"/>
                <w:i/>
                <w:sz w:val="20"/>
                <w:szCs w:val="20"/>
                <w:vertAlign w:val="subscript"/>
              </w:rPr>
              <w:t>t-1</w:t>
            </w:r>
          </w:p>
        </w:tc>
        <w:tc>
          <w:tcPr>
            <w:tcW w:w="753" w:type="dxa"/>
            <w:tcBorders>
              <w:top w:val="nil"/>
              <w:left w:val="nil"/>
              <w:bottom w:val="nil"/>
              <w:right w:val="nil"/>
            </w:tcBorders>
            <w:vAlign w:val="bottom"/>
          </w:tcPr>
          <w:p w14:paraId="5B4C81C4" w14:textId="50F0E9E8" w:rsidR="00042507" w:rsidRPr="00512683" w:rsidRDefault="00042507" w:rsidP="003173E4">
            <w:pPr>
              <w:rPr>
                <w:b/>
                <w:bCs/>
                <w:sz w:val="20"/>
                <w:szCs w:val="20"/>
              </w:rPr>
            </w:pPr>
            <w:r w:rsidRPr="00512683">
              <w:rPr>
                <w:rFonts w:eastAsia="Times New Roman"/>
                <w:b/>
                <w:bCs/>
                <w:color w:val="000000"/>
                <w:sz w:val="20"/>
                <w:szCs w:val="20"/>
              </w:rPr>
              <w:t>-0.2</w:t>
            </w:r>
            <w:r w:rsidR="0088093F">
              <w:rPr>
                <w:rFonts w:eastAsia="Times New Roman"/>
                <w:b/>
                <w:bCs/>
                <w:color w:val="000000"/>
                <w:sz w:val="20"/>
                <w:szCs w:val="20"/>
              </w:rPr>
              <w:t>60</w:t>
            </w:r>
          </w:p>
        </w:tc>
        <w:tc>
          <w:tcPr>
            <w:tcW w:w="753" w:type="dxa"/>
            <w:tcBorders>
              <w:top w:val="nil"/>
              <w:left w:val="nil"/>
              <w:bottom w:val="nil"/>
              <w:right w:val="nil"/>
            </w:tcBorders>
            <w:vAlign w:val="bottom"/>
          </w:tcPr>
          <w:p w14:paraId="211B1D9D" w14:textId="454A3DF3" w:rsidR="00042507" w:rsidRPr="00512683" w:rsidRDefault="00042507" w:rsidP="003173E4">
            <w:pPr>
              <w:rPr>
                <w:b/>
                <w:bCs/>
                <w:sz w:val="20"/>
                <w:szCs w:val="20"/>
              </w:rPr>
            </w:pPr>
            <w:r w:rsidRPr="00512683">
              <w:rPr>
                <w:rFonts w:eastAsia="Times New Roman"/>
                <w:b/>
                <w:bCs/>
                <w:color w:val="000000"/>
                <w:sz w:val="20"/>
                <w:szCs w:val="20"/>
              </w:rPr>
              <w:t>-0.</w:t>
            </w:r>
            <w:r w:rsidR="0088093F">
              <w:rPr>
                <w:rFonts w:eastAsia="Times New Roman"/>
                <w:b/>
                <w:bCs/>
                <w:color w:val="000000"/>
                <w:sz w:val="20"/>
                <w:szCs w:val="20"/>
              </w:rPr>
              <w:t>025</w:t>
            </w:r>
          </w:p>
        </w:tc>
        <w:tc>
          <w:tcPr>
            <w:tcW w:w="876" w:type="dxa"/>
            <w:tcBorders>
              <w:top w:val="nil"/>
              <w:left w:val="nil"/>
              <w:bottom w:val="nil"/>
              <w:right w:val="nil"/>
            </w:tcBorders>
            <w:vAlign w:val="bottom"/>
          </w:tcPr>
          <w:p w14:paraId="79E4AF1D" w14:textId="6C6DEB82" w:rsidR="00042507" w:rsidRPr="00512683" w:rsidRDefault="00042507" w:rsidP="003173E4">
            <w:pPr>
              <w:rPr>
                <w:rFonts w:eastAsia="Times New Roman"/>
                <w:b/>
                <w:bCs/>
                <w:color w:val="000000"/>
                <w:sz w:val="20"/>
                <w:szCs w:val="20"/>
              </w:rPr>
            </w:pPr>
            <w:r w:rsidRPr="00512683">
              <w:rPr>
                <w:rFonts w:eastAsia="Times New Roman"/>
                <w:b/>
                <w:bCs/>
                <w:color w:val="000000"/>
                <w:sz w:val="20"/>
                <w:szCs w:val="20"/>
              </w:rPr>
              <w:t>-0.060</w:t>
            </w:r>
          </w:p>
        </w:tc>
        <w:tc>
          <w:tcPr>
            <w:tcW w:w="876" w:type="dxa"/>
            <w:tcBorders>
              <w:top w:val="nil"/>
              <w:left w:val="nil"/>
              <w:bottom w:val="nil"/>
              <w:right w:val="nil"/>
            </w:tcBorders>
            <w:vAlign w:val="bottom"/>
          </w:tcPr>
          <w:p w14:paraId="284BC89C" w14:textId="15C6778A" w:rsidR="00042507" w:rsidRPr="00512683" w:rsidRDefault="00042507" w:rsidP="003173E4">
            <w:pPr>
              <w:rPr>
                <w:b/>
                <w:bCs/>
                <w:sz w:val="20"/>
                <w:szCs w:val="20"/>
              </w:rPr>
            </w:pPr>
            <w:r w:rsidRPr="00512683">
              <w:rPr>
                <w:rFonts w:eastAsia="Times New Roman"/>
                <w:b/>
                <w:bCs/>
                <w:color w:val="000000"/>
                <w:sz w:val="20"/>
                <w:szCs w:val="20"/>
              </w:rPr>
              <w:t>-0.040</w:t>
            </w:r>
          </w:p>
        </w:tc>
        <w:tc>
          <w:tcPr>
            <w:tcW w:w="791" w:type="dxa"/>
            <w:tcBorders>
              <w:top w:val="nil"/>
              <w:left w:val="nil"/>
              <w:bottom w:val="nil"/>
              <w:right w:val="nil"/>
            </w:tcBorders>
            <w:vAlign w:val="bottom"/>
          </w:tcPr>
          <w:p w14:paraId="7E5BC177" w14:textId="66AEEB7F" w:rsidR="00042507" w:rsidRPr="00512683" w:rsidRDefault="00042507" w:rsidP="003173E4">
            <w:pPr>
              <w:rPr>
                <w:b/>
                <w:bCs/>
                <w:sz w:val="20"/>
                <w:szCs w:val="20"/>
              </w:rPr>
            </w:pPr>
            <w:r w:rsidRPr="00512683">
              <w:rPr>
                <w:rFonts w:eastAsia="Times New Roman"/>
                <w:b/>
                <w:bCs/>
                <w:color w:val="000000"/>
                <w:sz w:val="20"/>
                <w:szCs w:val="20"/>
              </w:rPr>
              <w:t>-0.013</w:t>
            </w:r>
          </w:p>
        </w:tc>
        <w:tc>
          <w:tcPr>
            <w:tcW w:w="876" w:type="dxa"/>
            <w:tcBorders>
              <w:top w:val="nil"/>
              <w:left w:val="nil"/>
              <w:bottom w:val="nil"/>
              <w:right w:val="nil"/>
            </w:tcBorders>
            <w:vAlign w:val="bottom"/>
          </w:tcPr>
          <w:p w14:paraId="2119E64C" w14:textId="5F8D44F2" w:rsidR="00042507" w:rsidRPr="00512683" w:rsidRDefault="00042507" w:rsidP="003173E4">
            <w:pPr>
              <w:rPr>
                <w:b/>
                <w:bCs/>
                <w:sz w:val="20"/>
                <w:szCs w:val="20"/>
              </w:rPr>
            </w:pPr>
            <w:r w:rsidRPr="00512683">
              <w:rPr>
                <w:rFonts w:eastAsia="Times New Roman"/>
                <w:b/>
                <w:bCs/>
                <w:color w:val="000000"/>
                <w:sz w:val="20"/>
                <w:szCs w:val="20"/>
              </w:rPr>
              <w:t>-0.046</w:t>
            </w:r>
          </w:p>
        </w:tc>
        <w:tc>
          <w:tcPr>
            <w:tcW w:w="753" w:type="dxa"/>
            <w:tcBorders>
              <w:top w:val="nil"/>
              <w:left w:val="nil"/>
              <w:bottom w:val="nil"/>
              <w:right w:val="nil"/>
            </w:tcBorders>
            <w:vAlign w:val="bottom"/>
          </w:tcPr>
          <w:p w14:paraId="3E74B69C" w14:textId="4C3776DB" w:rsidR="00042507" w:rsidRPr="00512683" w:rsidRDefault="00042507" w:rsidP="003173E4">
            <w:pPr>
              <w:rPr>
                <w:b/>
                <w:bCs/>
                <w:sz w:val="20"/>
                <w:szCs w:val="20"/>
              </w:rPr>
            </w:pPr>
            <w:r w:rsidRPr="00512683">
              <w:rPr>
                <w:rFonts w:eastAsia="Times New Roman"/>
                <w:b/>
                <w:bCs/>
                <w:color w:val="000000"/>
                <w:sz w:val="20"/>
                <w:szCs w:val="20"/>
              </w:rPr>
              <w:t>0.028</w:t>
            </w:r>
          </w:p>
        </w:tc>
        <w:tc>
          <w:tcPr>
            <w:tcW w:w="826" w:type="dxa"/>
            <w:tcBorders>
              <w:top w:val="nil"/>
              <w:left w:val="nil"/>
              <w:bottom w:val="nil"/>
              <w:right w:val="nil"/>
            </w:tcBorders>
            <w:vAlign w:val="bottom"/>
          </w:tcPr>
          <w:p w14:paraId="1E8E58D0" w14:textId="038D6B3C" w:rsidR="00042507" w:rsidRPr="00512683" w:rsidRDefault="00042507" w:rsidP="003173E4">
            <w:pPr>
              <w:rPr>
                <w:b/>
                <w:bCs/>
                <w:sz w:val="20"/>
                <w:szCs w:val="20"/>
              </w:rPr>
            </w:pPr>
            <w:r w:rsidRPr="00512683">
              <w:rPr>
                <w:rFonts w:eastAsia="Times New Roman"/>
                <w:b/>
                <w:bCs/>
                <w:color w:val="000000"/>
                <w:sz w:val="20"/>
                <w:szCs w:val="20"/>
              </w:rPr>
              <w:t>1.000</w:t>
            </w:r>
          </w:p>
        </w:tc>
        <w:tc>
          <w:tcPr>
            <w:tcW w:w="753" w:type="dxa"/>
            <w:tcBorders>
              <w:top w:val="nil"/>
              <w:left w:val="nil"/>
              <w:bottom w:val="nil"/>
              <w:right w:val="nil"/>
            </w:tcBorders>
            <w:vAlign w:val="bottom"/>
          </w:tcPr>
          <w:p w14:paraId="55F1EABE" w14:textId="77777777" w:rsidR="00042507" w:rsidRPr="00512683" w:rsidRDefault="00042507" w:rsidP="003173E4">
            <w:pPr>
              <w:rPr>
                <w:b/>
                <w:bCs/>
                <w:sz w:val="20"/>
                <w:szCs w:val="20"/>
              </w:rPr>
            </w:pPr>
          </w:p>
        </w:tc>
        <w:tc>
          <w:tcPr>
            <w:tcW w:w="753" w:type="dxa"/>
            <w:tcBorders>
              <w:top w:val="nil"/>
              <w:left w:val="nil"/>
              <w:bottom w:val="nil"/>
              <w:right w:val="nil"/>
            </w:tcBorders>
          </w:tcPr>
          <w:p w14:paraId="3CC76A4B" w14:textId="77777777" w:rsidR="00042507" w:rsidRPr="00512683" w:rsidRDefault="00042507" w:rsidP="003173E4">
            <w:pPr>
              <w:rPr>
                <w:b/>
                <w:bCs/>
                <w:sz w:val="20"/>
                <w:szCs w:val="20"/>
              </w:rPr>
            </w:pPr>
          </w:p>
        </w:tc>
      </w:tr>
      <w:tr w:rsidR="00042507" w:rsidRPr="00512683" w14:paraId="0734131F" w14:textId="77777777" w:rsidTr="005A66AB">
        <w:tc>
          <w:tcPr>
            <w:tcW w:w="1463" w:type="dxa"/>
            <w:tcBorders>
              <w:top w:val="nil"/>
              <w:left w:val="nil"/>
              <w:bottom w:val="nil"/>
              <w:right w:val="nil"/>
            </w:tcBorders>
            <w:vAlign w:val="bottom"/>
          </w:tcPr>
          <w:p w14:paraId="0C8AA420" w14:textId="6357875B" w:rsidR="00042507" w:rsidRPr="00512683" w:rsidRDefault="00042507" w:rsidP="003173E4">
            <w:pPr>
              <w:rPr>
                <w:b/>
                <w:sz w:val="20"/>
                <w:szCs w:val="20"/>
              </w:rPr>
            </w:pPr>
            <w:r w:rsidRPr="00512683">
              <w:rPr>
                <w:rFonts w:eastAsia="Times New Roman"/>
                <w:i/>
                <w:sz w:val="20"/>
                <w:szCs w:val="20"/>
              </w:rPr>
              <w:t>ROA</w:t>
            </w:r>
            <w:r w:rsidRPr="0032217C">
              <w:rPr>
                <w:rFonts w:eastAsia="Times New Roman"/>
                <w:i/>
                <w:sz w:val="20"/>
                <w:szCs w:val="20"/>
                <w:vertAlign w:val="subscript"/>
              </w:rPr>
              <w:t>t-1</w:t>
            </w:r>
          </w:p>
        </w:tc>
        <w:tc>
          <w:tcPr>
            <w:tcW w:w="753" w:type="dxa"/>
            <w:tcBorders>
              <w:top w:val="nil"/>
              <w:left w:val="nil"/>
              <w:bottom w:val="nil"/>
              <w:right w:val="nil"/>
            </w:tcBorders>
            <w:vAlign w:val="bottom"/>
          </w:tcPr>
          <w:p w14:paraId="3DC725E8" w14:textId="06D798C3" w:rsidR="00042507" w:rsidRPr="00512683" w:rsidRDefault="00042507" w:rsidP="003173E4">
            <w:pPr>
              <w:rPr>
                <w:b/>
                <w:bCs/>
                <w:sz w:val="20"/>
                <w:szCs w:val="20"/>
              </w:rPr>
            </w:pPr>
            <w:r w:rsidRPr="00512683">
              <w:rPr>
                <w:rFonts w:eastAsia="Times New Roman"/>
                <w:b/>
                <w:bCs/>
                <w:color w:val="000000"/>
                <w:sz w:val="20"/>
                <w:szCs w:val="20"/>
              </w:rPr>
              <w:t>0.1</w:t>
            </w:r>
            <w:r w:rsidR="0088093F">
              <w:rPr>
                <w:rFonts w:eastAsia="Times New Roman"/>
                <w:b/>
                <w:bCs/>
                <w:color w:val="000000"/>
                <w:sz w:val="20"/>
                <w:szCs w:val="20"/>
              </w:rPr>
              <w:t>72</w:t>
            </w:r>
          </w:p>
        </w:tc>
        <w:tc>
          <w:tcPr>
            <w:tcW w:w="753" w:type="dxa"/>
            <w:tcBorders>
              <w:top w:val="nil"/>
              <w:left w:val="nil"/>
              <w:bottom w:val="nil"/>
              <w:right w:val="nil"/>
            </w:tcBorders>
            <w:vAlign w:val="bottom"/>
          </w:tcPr>
          <w:p w14:paraId="1C061DA9" w14:textId="180C2538" w:rsidR="00042507" w:rsidRPr="00512683" w:rsidRDefault="00042507" w:rsidP="003173E4">
            <w:pPr>
              <w:rPr>
                <w:b/>
                <w:bCs/>
                <w:sz w:val="20"/>
                <w:szCs w:val="20"/>
              </w:rPr>
            </w:pPr>
            <w:r w:rsidRPr="00512683">
              <w:rPr>
                <w:rFonts w:eastAsia="Times New Roman"/>
                <w:b/>
                <w:bCs/>
                <w:color w:val="000000"/>
                <w:sz w:val="20"/>
                <w:szCs w:val="20"/>
              </w:rPr>
              <w:t>0.</w:t>
            </w:r>
            <w:r w:rsidR="0088093F">
              <w:rPr>
                <w:rFonts w:eastAsia="Times New Roman"/>
                <w:b/>
                <w:bCs/>
                <w:color w:val="000000"/>
                <w:sz w:val="20"/>
                <w:szCs w:val="20"/>
              </w:rPr>
              <w:t>148</w:t>
            </w:r>
          </w:p>
        </w:tc>
        <w:tc>
          <w:tcPr>
            <w:tcW w:w="876" w:type="dxa"/>
            <w:tcBorders>
              <w:top w:val="nil"/>
              <w:left w:val="nil"/>
              <w:bottom w:val="nil"/>
              <w:right w:val="nil"/>
            </w:tcBorders>
            <w:vAlign w:val="bottom"/>
          </w:tcPr>
          <w:p w14:paraId="1C46DA6E" w14:textId="4FF0B989" w:rsidR="00042507" w:rsidRPr="00512683" w:rsidRDefault="00042507" w:rsidP="003173E4">
            <w:pPr>
              <w:rPr>
                <w:rFonts w:eastAsia="Times New Roman"/>
                <w:b/>
                <w:bCs/>
                <w:color w:val="000000"/>
                <w:sz w:val="20"/>
                <w:szCs w:val="20"/>
              </w:rPr>
            </w:pPr>
            <w:r w:rsidRPr="00512683">
              <w:rPr>
                <w:rFonts w:eastAsia="Times New Roman"/>
                <w:b/>
                <w:bCs/>
                <w:color w:val="000000"/>
                <w:sz w:val="20"/>
                <w:szCs w:val="20"/>
              </w:rPr>
              <w:t>0.574</w:t>
            </w:r>
          </w:p>
        </w:tc>
        <w:tc>
          <w:tcPr>
            <w:tcW w:w="876" w:type="dxa"/>
            <w:tcBorders>
              <w:top w:val="nil"/>
              <w:left w:val="nil"/>
              <w:bottom w:val="nil"/>
              <w:right w:val="nil"/>
            </w:tcBorders>
            <w:vAlign w:val="bottom"/>
          </w:tcPr>
          <w:p w14:paraId="31AC90D8" w14:textId="551EDE66" w:rsidR="00042507" w:rsidRPr="00512683" w:rsidRDefault="00042507" w:rsidP="003173E4">
            <w:pPr>
              <w:rPr>
                <w:b/>
                <w:bCs/>
                <w:sz w:val="20"/>
                <w:szCs w:val="20"/>
              </w:rPr>
            </w:pPr>
            <w:r w:rsidRPr="00512683">
              <w:rPr>
                <w:rFonts w:eastAsia="Times New Roman"/>
                <w:b/>
                <w:bCs/>
                <w:color w:val="000000"/>
                <w:sz w:val="20"/>
                <w:szCs w:val="20"/>
              </w:rPr>
              <w:t>0.273</w:t>
            </w:r>
          </w:p>
        </w:tc>
        <w:tc>
          <w:tcPr>
            <w:tcW w:w="791" w:type="dxa"/>
            <w:tcBorders>
              <w:top w:val="nil"/>
              <w:left w:val="nil"/>
              <w:bottom w:val="nil"/>
              <w:right w:val="nil"/>
            </w:tcBorders>
            <w:vAlign w:val="bottom"/>
          </w:tcPr>
          <w:p w14:paraId="443D8E01" w14:textId="1CD924F0" w:rsidR="00042507" w:rsidRPr="00512683" w:rsidRDefault="00042507" w:rsidP="003173E4">
            <w:pPr>
              <w:rPr>
                <w:b/>
                <w:bCs/>
                <w:sz w:val="20"/>
                <w:szCs w:val="20"/>
              </w:rPr>
            </w:pPr>
            <w:r w:rsidRPr="00512683">
              <w:rPr>
                <w:rFonts w:eastAsia="Times New Roman"/>
                <w:b/>
                <w:bCs/>
                <w:color w:val="000000"/>
                <w:sz w:val="20"/>
                <w:szCs w:val="20"/>
              </w:rPr>
              <w:t>0.275</w:t>
            </w:r>
          </w:p>
        </w:tc>
        <w:tc>
          <w:tcPr>
            <w:tcW w:w="876" w:type="dxa"/>
            <w:tcBorders>
              <w:top w:val="nil"/>
              <w:left w:val="nil"/>
              <w:bottom w:val="nil"/>
              <w:right w:val="nil"/>
            </w:tcBorders>
            <w:vAlign w:val="bottom"/>
          </w:tcPr>
          <w:p w14:paraId="087D868C" w14:textId="516AD3F1" w:rsidR="00042507" w:rsidRPr="00512683" w:rsidRDefault="00042507" w:rsidP="003173E4">
            <w:pPr>
              <w:rPr>
                <w:b/>
                <w:bCs/>
                <w:sz w:val="20"/>
                <w:szCs w:val="20"/>
              </w:rPr>
            </w:pPr>
            <w:r w:rsidRPr="00512683">
              <w:rPr>
                <w:rFonts w:eastAsia="Times New Roman"/>
                <w:b/>
                <w:bCs/>
                <w:color w:val="000000"/>
                <w:sz w:val="20"/>
                <w:szCs w:val="20"/>
              </w:rPr>
              <w:t>-0.050</w:t>
            </w:r>
          </w:p>
        </w:tc>
        <w:tc>
          <w:tcPr>
            <w:tcW w:w="753" w:type="dxa"/>
            <w:tcBorders>
              <w:top w:val="nil"/>
              <w:left w:val="nil"/>
              <w:bottom w:val="nil"/>
              <w:right w:val="nil"/>
            </w:tcBorders>
            <w:vAlign w:val="bottom"/>
          </w:tcPr>
          <w:p w14:paraId="45A36C8E" w14:textId="7A5B3B4C" w:rsidR="00042507" w:rsidRPr="00512683" w:rsidRDefault="00042507" w:rsidP="003173E4">
            <w:pPr>
              <w:rPr>
                <w:b/>
                <w:bCs/>
                <w:sz w:val="20"/>
                <w:szCs w:val="20"/>
              </w:rPr>
            </w:pPr>
            <w:r w:rsidRPr="00512683">
              <w:rPr>
                <w:rFonts w:eastAsia="Times New Roman"/>
                <w:b/>
                <w:bCs/>
                <w:color w:val="000000"/>
                <w:sz w:val="20"/>
                <w:szCs w:val="20"/>
              </w:rPr>
              <w:t>0.645</w:t>
            </w:r>
          </w:p>
        </w:tc>
        <w:tc>
          <w:tcPr>
            <w:tcW w:w="826" w:type="dxa"/>
            <w:tcBorders>
              <w:top w:val="nil"/>
              <w:left w:val="nil"/>
              <w:bottom w:val="nil"/>
              <w:right w:val="nil"/>
            </w:tcBorders>
            <w:vAlign w:val="bottom"/>
          </w:tcPr>
          <w:p w14:paraId="2988503D" w14:textId="18FEBE82" w:rsidR="00042507" w:rsidRPr="00512683" w:rsidRDefault="00042507" w:rsidP="003173E4">
            <w:pPr>
              <w:rPr>
                <w:b/>
                <w:bCs/>
                <w:sz w:val="20"/>
                <w:szCs w:val="20"/>
              </w:rPr>
            </w:pPr>
            <w:r w:rsidRPr="00512683">
              <w:rPr>
                <w:rFonts w:eastAsia="Times New Roman"/>
                <w:b/>
                <w:bCs/>
                <w:color w:val="000000"/>
                <w:sz w:val="20"/>
                <w:szCs w:val="20"/>
              </w:rPr>
              <w:t>-0.020</w:t>
            </w:r>
          </w:p>
        </w:tc>
        <w:tc>
          <w:tcPr>
            <w:tcW w:w="753" w:type="dxa"/>
            <w:tcBorders>
              <w:top w:val="nil"/>
              <w:left w:val="nil"/>
              <w:bottom w:val="nil"/>
              <w:right w:val="nil"/>
            </w:tcBorders>
            <w:vAlign w:val="bottom"/>
          </w:tcPr>
          <w:p w14:paraId="6D7B0707" w14:textId="7FDF4A47" w:rsidR="00042507" w:rsidRPr="00512683" w:rsidRDefault="00042507" w:rsidP="003173E4">
            <w:pPr>
              <w:rPr>
                <w:b/>
                <w:bCs/>
                <w:sz w:val="20"/>
                <w:szCs w:val="20"/>
              </w:rPr>
            </w:pPr>
            <w:r w:rsidRPr="00512683">
              <w:rPr>
                <w:rFonts w:eastAsia="Times New Roman"/>
                <w:b/>
                <w:bCs/>
                <w:color w:val="000000"/>
                <w:sz w:val="20"/>
                <w:szCs w:val="20"/>
              </w:rPr>
              <w:t>1.000</w:t>
            </w:r>
          </w:p>
        </w:tc>
        <w:tc>
          <w:tcPr>
            <w:tcW w:w="753" w:type="dxa"/>
            <w:tcBorders>
              <w:top w:val="nil"/>
              <w:left w:val="nil"/>
              <w:bottom w:val="nil"/>
              <w:right w:val="nil"/>
            </w:tcBorders>
          </w:tcPr>
          <w:p w14:paraId="23C993B4" w14:textId="77777777" w:rsidR="00042507" w:rsidRPr="00512683" w:rsidRDefault="00042507" w:rsidP="003173E4">
            <w:pPr>
              <w:rPr>
                <w:b/>
                <w:bCs/>
                <w:sz w:val="20"/>
                <w:szCs w:val="20"/>
              </w:rPr>
            </w:pPr>
          </w:p>
        </w:tc>
      </w:tr>
      <w:tr w:rsidR="00042507" w:rsidRPr="00512683" w14:paraId="50F51D52" w14:textId="77777777" w:rsidTr="005A66AB">
        <w:tc>
          <w:tcPr>
            <w:tcW w:w="1463" w:type="dxa"/>
            <w:tcBorders>
              <w:top w:val="nil"/>
              <w:left w:val="nil"/>
              <w:bottom w:val="single" w:sz="4" w:space="0" w:color="auto"/>
              <w:right w:val="nil"/>
            </w:tcBorders>
            <w:vAlign w:val="bottom"/>
          </w:tcPr>
          <w:p w14:paraId="73CE3E9C" w14:textId="343189D1" w:rsidR="00042507" w:rsidRPr="00512683" w:rsidRDefault="00042507" w:rsidP="003173E4">
            <w:pPr>
              <w:rPr>
                <w:b/>
                <w:sz w:val="20"/>
                <w:szCs w:val="20"/>
              </w:rPr>
            </w:pPr>
            <w:r w:rsidRPr="00512683">
              <w:rPr>
                <w:rFonts w:eastAsia="Times New Roman"/>
                <w:i/>
                <w:sz w:val="20"/>
                <w:szCs w:val="20"/>
              </w:rPr>
              <w:t>G</w:t>
            </w:r>
          </w:p>
        </w:tc>
        <w:tc>
          <w:tcPr>
            <w:tcW w:w="753" w:type="dxa"/>
            <w:tcBorders>
              <w:top w:val="nil"/>
              <w:left w:val="nil"/>
              <w:bottom w:val="single" w:sz="4" w:space="0" w:color="auto"/>
              <w:right w:val="nil"/>
            </w:tcBorders>
            <w:vAlign w:val="bottom"/>
          </w:tcPr>
          <w:p w14:paraId="4A44E946" w14:textId="24FC878C" w:rsidR="00042507" w:rsidRPr="00512683" w:rsidRDefault="00042507" w:rsidP="003173E4">
            <w:pPr>
              <w:rPr>
                <w:b/>
                <w:bCs/>
                <w:sz w:val="20"/>
                <w:szCs w:val="20"/>
              </w:rPr>
            </w:pPr>
            <w:r w:rsidRPr="00512683">
              <w:rPr>
                <w:rFonts w:eastAsia="Times New Roman"/>
                <w:b/>
                <w:bCs/>
                <w:color w:val="000000"/>
                <w:sz w:val="20"/>
                <w:szCs w:val="20"/>
              </w:rPr>
              <w:t>0.03</w:t>
            </w:r>
            <w:r w:rsidR="0088093F">
              <w:rPr>
                <w:rFonts w:eastAsia="Times New Roman"/>
                <w:b/>
                <w:bCs/>
                <w:color w:val="000000"/>
                <w:sz w:val="20"/>
                <w:szCs w:val="20"/>
              </w:rPr>
              <w:t>9</w:t>
            </w:r>
          </w:p>
        </w:tc>
        <w:tc>
          <w:tcPr>
            <w:tcW w:w="753" w:type="dxa"/>
            <w:tcBorders>
              <w:top w:val="nil"/>
              <w:left w:val="nil"/>
              <w:bottom w:val="single" w:sz="4" w:space="0" w:color="auto"/>
              <w:right w:val="nil"/>
            </w:tcBorders>
            <w:vAlign w:val="bottom"/>
          </w:tcPr>
          <w:p w14:paraId="50B5ECFC" w14:textId="4CF1DD41" w:rsidR="00042507" w:rsidRPr="00512683" w:rsidRDefault="00042507" w:rsidP="003173E4">
            <w:pPr>
              <w:rPr>
                <w:b/>
                <w:bCs/>
                <w:sz w:val="20"/>
                <w:szCs w:val="20"/>
              </w:rPr>
            </w:pPr>
            <w:r w:rsidRPr="00512683">
              <w:rPr>
                <w:rFonts w:eastAsia="Times New Roman"/>
                <w:b/>
                <w:bCs/>
                <w:color w:val="000000"/>
                <w:sz w:val="20"/>
                <w:szCs w:val="20"/>
              </w:rPr>
              <w:t>0.018</w:t>
            </w:r>
          </w:p>
        </w:tc>
        <w:tc>
          <w:tcPr>
            <w:tcW w:w="876" w:type="dxa"/>
            <w:tcBorders>
              <w:top w:val="nil"/>
              <w:left w:val="nil"/>
              <w:bottom w:val="single" w:sz="4" w:space="0" w:color="auto"/>
              <w:right w:val="nil"/>
            </w:tcBorders>
            <w:vAlign w:val="bottom"/>
          </w:tcPr>
          <w:p w14:paraId="73F12416" w14:textId="610A9868" w:rsidR="00042507" w:rsidRPr="00512683" w:rsidRDefault="00042507" w:rsidP="003173E4">
            <w:pPr>
              <w:rPr>
                <w:rFonts w:eastAsia="Times New Roman"/>
                <w:b/>
                <w:bCs/>
                <w:color w:val="000000"/>
                <w:sz w:val="20"/>
                <w:szCs w:val="20"/>
              </w:rPr>
            </w:pPr>
            <w:r w:rsidRPr="00512683">
              <w:rPr>
                <w:rFonts w:eastAsia="Times New Roman"/>
                <w:b/>
                <w:bCs/>
                <w:color w:val="000000"/>
                <w:sz w:val="20"/>
                <w:szCs w:val="20"/>
              </w:rPr>
              <w:t>-0.020</w:t>
            </w:r>
          </w:p>
        </w:tc>
        <w:tc>
          <w:tcPr>
            <w:tcW w:w="876" w:type="dxa"/>
            <w:tcBorders>
              <w:top w:val="nil"/>
              <w:left w:val="nil"/>
              <w:bottom w:val="single" w:sz="4" w:space="0" w:color="auto"/>
              <w:right w:val="nil"/>
            </w:tcBorders>
            <w:vAlign w:val="bottom"/>
          </w:tcPr>
          <w:p w14:paraId="6E514F1E" w14:textId="65366C99" w:rsidR="00042507" w:rsidRPr="00512683" w:rsidRDefault="00042507" w:rsidP="003173E4">
            <w:pPr>
              <w:rPr>
                <w:b/>
                <w:bCs/>
                <w:sz w:val="20"/>
                <w:szCs w:val="20"/>
              </w:rPr>
            </w:pPr>
            <w:r w:rsidRPr="00512683">
              <w:rPr>
                <w:rFonts w:eastAsia="Times New Roman"/>
                <w:b/>
                <w:bCs/>
                <w:color w:val="000000"/>
                <w:sz w:val="20"/>
                <w:szCs w:val="20"/>
              </w:rPr>
              <w:t>-0.031</w:t>
            </w:r>
          </w:p>
        </w:tc>
        <w:tc>
          <w:tcPr>
            <w:tcW w:w="791" w:type="dxa"/>
            <w:tcBorders>
              <w:top w:val="nil"/>
              <w:left w:val="nil"/>
              <w:bottom w:val="single" w:sz="4" w:space="0" w:color="auto"/>
              <w:right w:val="nil"/>
            </w:tcBorders>
            <w:vAlign w:val="bottom"/>
          </w:tcPr>
          <w:p w14:paraId="40552E5B" w14:textId="29B594D9" w:rsidR="00042507" w:rsidRPr="00512683" w:rsidRDefault="00042507" w:rsidP="003173E4">
            <w:pPr>
              <w:rPr>
                <w:b/>
                <w:bCs/>
                <w:sz w:val="20"/>
                <w:szCs w:val="20"/>
              </w:rPr>
            </w:pPr>
            <w:r w:rsidRPr="00512683">
              <w:rPr>
                <w:rFonts w:eastAsia="Times New Roman"/>
                <w:b/>
                <w:bCs/>
                <w:color w:val="000000"/>
                <w:sz w:val="20"/>
                <w:szCs w:val="20"/>
              </w:rPr>
              <w:t>-0.030</w:t>
            </w:r>
          </w:p>
        </w:tc>
        <w:tc>
          <w:tcPr>
            <w:tcW w:w="876" w:type="dxa"/>
            <w:tcBorders>
              <w:top w:val="nil"/>
              <w:left w:val="nil"/>
              <w:bottom w:val="single" w:sz="4" w:space="0" w:color="auto"/>
              <w:right w:val="nil"/>
            </w:tcBorders>
            <w:vAlign w:val="bottom"/>
          </w:tcPr>
          <w:p w14:paraId="1EE027A9" w14:textId="361C1CFA" w:rsidR="00042507" w:rsidRPr="00512683" w:rsidRDefault="00042507" w:rsidP="003173E4">
            <w:pPr>
              <w:rPr>
                <w:sz w:val="20"/>
                <w:szCs w:val="20"/>
              </w:rPr>
            </w:pPr>
            <w:r w:rsidRPr="00512683">
              <w:rPr>
                <w:rFonts w:eastAsia="Times New Roman"/>
                <w:color w:val="000000"/>
                <w:sz w:val="20"/>
                <w:szCs w:val="20"/>
              </w:rPr>
              <w:t>-0.005</w:t>
            </w:r>
          </w:p>
        </w:tc>
        <w:tc>
          <w:tcPr>
            <w:tcW w:w="753" w:type="dxa"/>
            <w:tcBorders>
              <w:top w:val="nil"/>
              <w:left w:val="nil"/>
              <w:bottom w:val="single" w:sz="4" w:space="0" w:color="auto"/>
              <w:right w:val="nil"/>
            </w:tcBorders>
            <w:vAlign w:val="bottom"/>
          </w:tcPr>
          <w:p w14:paraId="73C845DC" w14:textId="14F1523C" w:rsidR="00042507" w:rsidRPr="00512683" w:rsidRDefault="00042507" w:rsidP="003173E4">
            <w:pPr>
              <w:rPr>
                <w:sz w:val="20"/>
                <w:szCs w:val="20"/>
              </w:rPr>
            </w:pPr>
            <w:r w:rsidRPr="00512683">
              <w:rPr>
                <w:rFonts w:eastAsia="Times New Roman"/>
                <w:color w:val="000000"/>
                <w:sz w:val="20"/>
                <w:szCs w:val="20"/>
              </w:rPr>
              <w:t>0.005</w:t>
            </w:r>
          </w:p>
        </w:tc>
        <w:tc>
          <w:tcPr>
            <w:tcW w:w="826" w:type="dxa"/>
            <w:tcBorders>
              <w:top w:val="nil"/>
              <w:left w:val="nil"/>
              <w:bottom w:val="single" w:sz="4" w:space="0" w:color="auto"/>
              <w:right w:val="nil"/>
            </w:tcBorders>
            <w:vAlign w:val="bottom"/>
          </w:tcPr>
          <w:p w14:paraId="652CEBAD" w14:textId="08EC79A1" w:rsidR="00042507" w:rsidRPr="00512683" w:rsidRDefault="00042507" w:rsidP="003173E4">
            <w:pPr>
              <w:rPr>
                <w:b/>
                <w:bCs/>
                <w:sz w:val="20"/>
                <w:szCs w:val="20"/>
              </w:rPr>
            </w:pPr>
            <w:r w:rsidRPr="00512683">
              <w:rPr>
                <w:rFonts w:eastAsia="Times New Roman"/>
                <w:b/>
                <w:bCs/>
                <w:color w:val="000000"/>
                <w:sz w:val="20"/>
                <w:szCs w:val="20"/>
              </w:rPr>
              <w:t>-0.033</w:t>
            </w:r>
          </w:p>
        </w:tc>
        <w:tc>
          <w:tcPr>
            <w:tcW w:w="753" w:type="dxa"/>
            <w:tcBorders>
              <w:top w:val="nil"/>
              <w:left w:val="nil"/>
              <w:bottom w:val="single" w:sz="4" w:space="0" w:color="auto"/>
              <w:right w:val="nil"/>
            </w:tcBorders>
            <w:vAlign w:val="bottom"/>
          </w:tcPr>
          <w:p w14:paraId="075A3547" w14:textId="06E8D42A" w:rsidR="00042507" w:rsidRPr="00512683" w:rsidRDefault="00042507" w:rsidP="003173E4">
            <w:pPr>
              <w:rPr>
                <w:sz w:val="20"/>
                <w:szCs w:val="20"/>
              </w:rPr>
            </w:pPr>
            <w:r w:rsidRPr="00512683">
              <w:rPr>
                <w:rFonts w:eastAsia="Times New Roman"/>
                <w:color w:val="000000"/>
                <w:sz w:val="20"/>
                <w:szCs w:val="20"/>
              </w:rPr>
              <w:t>0.003</w:t>
            </w:r>
          </w:p>
        </w:tc>
        <w:tc>
          <w:tcPr>
            <w:tcW w:w="753" w:type="dxa"/>
            <w:tcBorders>
              <w:top w:val="nil"/>
              <w:left w:val="nil"/>
              <w:bottom w:val="single" w:sz="4" w:space="0" w:color="auto"/>
              <w:right w:val="nil"/>
            </w:tcBorders>
          </w:tcPr>
          <w:p w14:paraId="2ABA87B6" w14:textId="1E931D9A" w:rsidR="00042507" w:rsidRPr="00512683" w:rsidRDefault="00042507" w:rsidP="003173E4">
            <w:pPr>
              <w:rPr>
                <w:b/>
                <w:bCs/>
                <w:sz w:val="20"/>
                <w:szCs w:val="20"/>
              </w:rPr>
            </w:pPr>
            <w:r w:rsidRPr="00512683">
              <w:rPr>
                <w:b/>
                <w:bCs/>
                <w:sz w:val="20"/>
                <w:szCs w:val="20"/>
              </w:rPr>
              <w:t>1.000</w:t>
            </w:r>
          </w:p>
        </w:tc>
      </w:tr>
    </w:tbl>
    <w:p w14:paraId="2538D1EA" w14:textId="77777777" w:rsidR="003173E4" w:rsidRPr="007512D6" w:rsidRDefault="003173E4" w:rsidP="003173E4">
      <w:pPr>
        <w:rPr>
          <w:b/>
        </w:rPr>
      </w:pPr>
    </w:p>
    <w:p w14:paraId="4414EA69" w14:textId="77777777" w:rsidR="003173E4" w:rsidRPr="003173E4" w:rsidRDefault="003173E4" w:rsidP="003173E4">
      <w:pPr>
        <w:rPr>
          <w:highlight w:val="yellow"/>
        </w:rPr>
      </w:pPr>
    </w:p>
    <w:p w14:paraId="58ED9EFF" w14:textId="1080F803" w:rsidR="005669EB" w:rsidRPr="00D40129" w:rsidRDefault="003173E4" w:rsidP="0098351A">
      <w:pPr>
        <w:jc w:val="both"/>
        <w:rPr>
          <w:sz w:val="22"/>
          <w:szCs w:val="22"/>
        </w:rPr>
      </w:pPr>
      <w:r w:rsidRPr="00F81D66">
        <w:rPr>
          <w:sz w:val="22"/>
          <w:szCs w:val="22"/>
        </w:rPr>
        <w:t xml:space="preserve">Table </w:t>
      </w:r>
      <w:r w:rsidR="007512D6" w:rsidRPr="00F81D66">
        <w:rPr>
          <w:sz w:val="22"/>
          <w:szCs w:val="22"/>
        </w:rPr>
        <w:t>6</w:t>
      </w:r>
      <w:r w:rsidRPr="00F81D66">
        <w:rPr>
          <w:sz w:val="22"/>
          <w:szCs w:val="22"/>
        </w:rPr>
        <w:t xml:space="preserve"> presents correlations for the </w:t>
      </w:r>
      <w:r w:rsidR="00DD4980" w:rsidRPr="00F81D66">
        <w:rPr>
          <w:sz w:val="22"/>
          <w:szCs w:val="22"/>
        </w:rPr>
        <w:t xml:space="preserve">firm-year </w:t>
      </w:r>
      <w:r w:rsidRPr="00F81D66">
        <w:rPr>
          <w:sz w:val="22"/>
          <w:szCs w:val="22"/>
        </w:rPr>
        <w:t xml:space="preserve">sample and variables used to test our hypothesis. </w:t>
      </w:r>
      <w:r w:rsidR="008A7855">
        <w:rPr>
          <w:sz w:val="22"/>
          <w:szCs w:val="22"/>
        </w:rPr>
        <w:t xml:space="preserve">The firm-year sample includes </w:t>
      </w:r>
      <w:r w:rsidR="0032217C">
        <w:rPr>
          <w:sz w:val="22"/>
          <w:szCs w:val="22"/>
        </w:rPr>
        <w:t>21</w:t>
      </w:r>
      <w:r w:rsidR="008A7855">
        <w:rPr>
          <w:sz w:val="22"/>
          <w:szCs w:val="22"/>
        </w:rPr>
        <w:t>,</w:t>
      </w:r>
      <w:r w:rsidR="0032217C">
        <w:rPr>
          <w:sz w:val="22"/>
          <w:szCs w:val="22"/>
        </w:rPr>
        <w:t xml:space="preserve">306 </w:t>
      </w:r>
      <w:r w:rsidR="008A7855">
        <w:rPr>
          <w:sz w:val="22"/>
          <w:szCs w:val="22"/>
        </w:rPr>
        <w:t xml:space="preserve">firm-years from </w:t>
      </w:r>
      <w:proofErr w:type="spellStart"/>
      <w:r w:rsidR="008A7855" w:rsidRPr="00D251D2">
        <w:rPr>
          <w:i/>
          <w:sz w:val="22"/>
          <w:szCs w:val="22"/>
        </w:rPr>
        <w:t>Compustat</w:t>
      </w:r>
      <w:proofErr w:type="spellEnd"/>
      <w:r w:rsidR="008A7855" w:rsidRPr="00D251D2">
        <w:rPr>
          <w:i/>
          <w:sz w:val="22"/>
          <w:szCs w:val="22"/>
        </w:rPr>
        <w:t xml:space="preserve"> North America </w:t>
      </w:r>
      <w:r w:rsidR="008A7855" w:rsidRPr="00D251D2">
        <w:rPr>
          <w:sz w:val="22"/>
          <w:szCs w:val="22"/>
        </w:rPr>
        <w:t>and</w:t>
      </w:r>
      <w:r w:rsidR="008A7855" w:rsidRPr="00D251D2">
        <w:rPr>
          <w:i/>
          <w:sz w:val="22"/>
          <w:szCs w:val="22"/>
        </w:rPr>
        <w:t xml:space="preserve"> Global</w:t>
      </w:r>
      <w:r w:rsidR="008A7855">
        <w:rPr>
          <w:sz w:val="22"/>
          <w:szCs w:val="22"/>
        </w:rPr>
        <w:t xml:space="preserve"> with non-missing data required for estimation, representing 2,</w:t>
      </w:r>
      <w:r w:rsidR="0032217C">
        <w:rPr>
          <w:sz w:val="22"/>
          <w:szCs w:val="22"/>
        </w:rPr>
        <w:t xml:space="preserve">094 </w:t>
      </w:r>
      <w:r w:rsidR="008A7855">
        <w:rPr>
          <w:sz w:val="22"/>
          <w:szCs w:val="22"/>
        </w:rPr>
        <w:t>unique controlled firms.</w:t>
      </w:r>
      <w:r w:rsidR="00CC4561">
        <w:rPr>
          <w:sz w:val="22"/>
          <w:szCs w:val="22"/>
        </w:rPr>
        <w:t xml:space="preserve"> </w:t>
      </w:r>
      <w:r w:rsidR="0032217C">
        <w:rPr>
          <w:i/>
          <w:sz w:val="22"/>
          <w:szCs w:val="22"/>
        </w:rPr>
        <w:t xml:space="preserve">INV1 </w:t>
      </w:r>
      <w:r w:rsidR="0032217C">
        <w:rPr>
          <w:sz w:val="22"/>
          <w:szCs w:val="22"/>
        </w:rPr>
        <w:t xml:space="preserve">is </w:t>
      </w:r>
      <w:proofErr w:type="spellStart"/>
      <w:r w:rsidR="0032217C">
        <w:rPr>
          <w:i/>
          <w:sz w:val="22"/>
          <w:szCs w:val="22"/>
        </w:rPr>
        <w:t>CapExp</w:t>
      </w:r>
      <w:proofErr w:type="spellEnd"/>
      <w:r w:rsidR="0032217C">
        <w:rPr>
          <w:i/>
          <w:sz w:val="22"/>
          <w:szCs w:val="22"/>
        </w:rPr>
        <w:t xml:space="preserve"> </w:t>
      </w:r>
      <w:r w:rsidR="0032217C">
        <w:rPr>
          <w:sz w:val="22"/>
          <w:szCs w:val="22"/>
        </w:rPr>
        <w:t xml:space="preserve">scaled by </w:t>
      </w:r>
      <w:r w:rsidR="0032217C" w:rsidRPr="001D7148">
        <w:rPr>
          <w:i/>
          <w:sz w:val="22"/>
          <w:szCs w:val="22"/>
        </w:rPr>
        <w:t>PPE</w:t>
      </w:r>
      <w:r w:rsidR="00FA5595">
        <w:rPr>
          <w:i/>
          <w:sz w:val="22"/>
          <w:szCs w:val="22"/>
        </w:rPr>
        <w:t>NT</w:t>
      </w:r>
      <w:r w:rsidR="0032217C" w:rsidRPr="001D7148">
        <w:rPr>
          <w:i/>
          <w:sz w:val="22"/>
          <w:szCs w:val="22"/>
          <w:vertAlign w:val="subscript"/>
        </w:rPr>
        <w:t>t-1</w:t>
      </w:r>
      <w:r w:rsidR="0032217C">
        <w:rPr>
          <w:sz w:val="22"/>
          <w:szCs w:val="22"/>
        </w:rPr>
        <w:t>.</w:t>
      </w:r>
      <w:r w:rsidR="0032217C" w:rsidRPr="00C7273D">
        <w:rPr>
          <w:sz w:val="22"/>
          <w:szCs w:val="22"/>
        </w:rPr>
        <w:t xml:space="preserve"> </w:t>
      </w:r>
      <w:r w:rsidR="0032217C">
        <w:rPr>
          <w:i/>
          <w:iCs/>
          <w:sz w:val="22"/>
          <w:szCs w:val="22"/>
        </w:rPr>
        <w:t xml:space="preserve">INV2 </w:t>
      </w:r>
      <w:r w:rsidR="0032217C">
        <w:rPr>
          <w:sz w:val="22"/>
          <w:szCs w:val="22"/>
        </w:rPr>
        <w:t xml:space="preserve">is </w:t>
      </w:r>
      <w:proofErr w:type="spellStart"/>
      <w:r w:rsidR="00A9124E">
        <w:rPr>
          <w:i/>
          <w:sz w:val="22"/>
          <w:szCs w:val="22"/>
        </w:rPr>
        <w:t>PPEG</w:t>
      </w:r>
      <w:r w:rsidR="0098351A">
        <w:rPr>
          <w:i/>
          <w:sz w:val="22"/>
          <w:szCs w:val="22"/>
        </w:rPr>
        <w:t>T</w:t>
      </w:r>
      <w:r w:rsidR="0032217C" w:rsidRPr="003D3966">
        <w:rPr>
          <w:i/>
          <w:sz w:val="22"/>
          <w:szCs w:val="22"/>
          <w:vertAlign w:val="subscript"/>
        </w:rPr>
        <w:t>t</w:t>
      </w:r>
      <w:proofErr w:type="spellEnd"/>
      <w:r w:rsidR="0032217C" w:rsidRPr="001D7148">
        <w:rPr>
          <w:i/>
          <w:sz w:val="22"/>
          <w:szCs w:val="22"/>
        </w:rPr>
        <w:t xml:space="preserve"> </w:t>
      </w:r>
      <w:r w:rsidR="0032217C">
        <w:rPr>
          <w:iCs/>
          <w:sz w:val="22"/>
          <w:szCs w:val="22"/>
        </w:rPr>
        <w:t xml:space="preserve">less </w:t>
      </w:r>
      <w:r w:rsidR="00A9124E">
        <w:rPr>
          <w:i/>
          <w:sz w:val="22"/>
          <w:szCs w:val="22"/>
        </w:rPr>
        <w:t>PPEG</w:t>
      </w:r>
      <w:r w:rsidR="0098351A">
        <w:rPr>
          <w:i/>
          <w:sz w:val="22"/>
          <w:szCs w:val="22"/>
        </w:rPr>
        <w:t>T</w:t>
      </w:r>
      <w:r w:rsidR="0032217C" w:rsidRPr="003D3966">
        <w:rPr>
          <w:i/>
          <w:sz w:val="22"/>
          <w:szCs w:val="22"/>
          <w:vertAlign w:val="subscript"/>
        </w:rPr>
        <w:t>t-1</w:t>
      </w:r>
      <w:r w:rsidR="0032217C">
        <w:rPr>
          <w:iCs/>
          <w:sz w:val="22"/>
          <w:szCs w:val="22"/>
        </w:rPr>
        <w:t xml:space="preserve">, scaled by </w:t>
      </w:r>
      <w:r w:rsidR="0098351A">
        <w:rPr>
          <w:i/>
          <w:sz w:val="22"/>
          <w:szCs w:val="22"/>
        </w:rPr>
        <w:t>AT</w:t>
      </w:r>
      <w:r w:rsidR="0032217C" w:rsidRPr="003D3966">
        <w:rPr>
          <w:i/>
          <w:sz w:val="22"/>
          <w:szCs w:val="22"/>
          <w:vertAlign w:val="subscript"/>
        </w:rPr>
        <w:t>t-1</w:t>
      </w:r>
      <w:r w:rsidR="0032217C">
        <w:rPr>
          <w:i/>
          <w:sz w:val="22"/>
          <w:szCs w:val="22"/>
        </w:rPr>
        <w:t>.</w:t>
      </w:r>
      <w:r w:rsidR="0032217C" w:rsidRPr="001D7148">
        <w:rPr>
          <w:i/>
          <w:sz w:val="22"/>
          <w:szCs w:val="22"/>
        </w:rPr>
        <w:t xml:space="preserve"> </w:t>
      </w:r>
      <w:r w:rsidR="0099755C" w:rsidRPr="00C7273D">
        <w:rPr>
          <w:i/>
          <w:sz w:val="22"/>
          <w:szCs w:val="22"/>
        </w:rPr>
        <w:t>Q</w:t>
      </w:r>
      <w:r w:rsidR="0099755C">
        <w:rPr>
          <w:i/>
          <w:sz w:val="22"/>
          <w:szCs w:val="22"/>
          <w:vertAlign w:val="subscript"/>
        </w:rPr>
        <w:t>t-1</w:t>
      </w:r>
      <w:r w:rsidR="0099755C" w:rsidRPr="00C7273D">
        <w:rPr>
          <w:sz w:val="22"/>
          <w:szCs w:val="22"/>
        </w:rPr>
        <w:t xml:space="preserve"> is </w:t>
      </w:r>
      <w:r w:rsidR="0099755C">
        <w:rPr>
          <w:sz w:val="22"/>
          <w:szCs w:val="22"/>
        </w:rPr>
        <w:t xml:space="preserve">firm-year </w:t>
      </w:r>
      <w:r w:rsidR="0099755C" w:rsidRPr="00C7273D">
        <w:rPr>
          <w:sz w:val="22"/>
          <w:szCs w:val="22"/>
        </w:rPr>
        <w:t xml:space="preserve">market value of equity in year </w:t>
      </w:r>
      <w:r w:rsidR="0099755C" w:rsidRPr="00C7273D">
        <w:rPr>
          <w:i/>
          <w:sz w:val="22"/>
          <w:szCs w:val="22"/>
        </w:rPr>
        <w:t>t</w:t>
      </w:r>
      <w:r w:rsidR="0099755C">
        <w:rPr>
          <w:i/>
          <w:sz w:val="22"/>
          <w:szCs w:val="22"/>
        </w:rPr>
        <w:t>-1</w:t>
      </w:r>
      <w:r w:rsidR="0099755C" w:rsidRPr="00C7273D">
        <w:rPr>
          <w:i/>
          <w:sz w:val="22"/>
          <w:szCs w:val="22"/>
        </w:rPr>
        <w:t xml:space="preserve"> </w:t>
      </w:r>
      <w:r w:rsidR="0099755C" w:rsidRPr="00C7273D">
        <w:rPr>
          <w:sz w:val="22"/>
          <w:szCs w:val="22"/>
        </w:rPr>
        <w:t>(</w:t>
      </w:r>
      <w:r w:rsidR="0099755C" w:rsidRPr="00C7273D">
        <w:rPr>
          <w:i/>
          <w:sz w:val="22"/>
          <w:szCs w:val="22"/>
        </w:rPr>
        <w:t>PRCC_F*CSHO</w:t>
      </w:r>
      <w:r w:rsidR="0099755C" w:rsidRPr="00C7273D">
        <w:rPr>
          <w:sz w:val="22"/>
          <w:szCs w:val="22"/>
        </w:rPr>
        <w:t>)</w:t>
      </w:r>
      <w:r w:rsidR="0099755C" w:rsidRPr="00C7273D">
        <w:rPr>
          <w:i/>
          <w:sz w:val="22"/>
          <w:szCs w:val="22"/>
        </w:rPr>
        <w:t xml:space="preserve"> </w:t>
      </w:r>
      <w:r w:rsidR="0099755C" w:rsidRPr="00C7273D">
        <w:rPr>
          <w:sz w:val="22"/>
          <w:szCs w:val="22"/>
        </w:rPr>
        <w:t xml:space="preserve">plus </w:t>
      </w:r>
      <w:r w:rsidR="0098351A">
        <w:rPr>
          <w:i/>
          <w:sz w:val="22"/>
          <w:szCs w:val="22"/>
        </w:rPr>
        <w:t>AT</w:t>
      </w:r>
      <w:r w:rsidR="0099755C" w:rsidRPr="00C7273D">
        <w:rPr>
          <w:i/>
          <w:sz w:val="22"/>
          <w:szCs w:val="22"/>
        </w:rPr>
        <w:t xml:space="preserve"> </w:t>
      </w:r>
      <w:r w:rsidR="0099755C" w:rsidRPr="00C7273D">
        <w:rPr>
          <w:sz w:val="22"/>
          <w:szCs w:val="22"/>
        </w:rPr>
        <w:t xml:space="preserve">in year </w:t>
      </w:r>
      <w:r w:rsidR="0099755C" w:rsidRPr="00C7273D">
        <w:rPr>
          <w:i/>
          <w:sz w:val="22"/>
          <w:szCs w:val="22"/>
        </w:rPr>
        <w:t>t</w:t>
      </w:r>
      <w:r w:rsidR="0099755C">
        <w:rPr>
          <w:i/>
          <w:sz w:val="22"/>
          <w:szCs w:val="22"/>
        </w:rPr>
        <w:t>-1</w:t>
      </w:r>
      <w:r w:rsidR="0099755C" w:rsidRPr="00C7273D">
        <w:rPr>
          <w:sz w:val="22"/>
          <w:szCs w:val="22"/>
        </w:rPr>
        <w:t xml:space="preserve">. </w:t>
      </w:r>
      <w:r w:rsidR="0032217C">
        <w:rPr>
          <w:i/>
          <w:sz w:val="22"/>
          <w:szCs w:val="22"/>
        </w:rPr>
        <w:t>Mean</w:t>
      </w:r>
      <w:r w:rsidR="0032217C" w:rsidRPr="00C7273D">
        <w:rPr>
          <w:i/>
          <w:sz w:val="22"/>
          <w:szCs w:val="22"/>
        </w:rPr>
        <w:t>Q</w:t>
      </w:r>
      <w:r w:rsidR="0032217C">
        <w:rPr>
          <w:i/>
          <w:sz w:val="22"/>
          <w:szCs w:val="22"/>
          <w:vertAlign w:val="subscript"/>
        </w:rPr>
        <w:t>t-1</w:t>
      </w:r>
      <w:r w:rsidR="0032217C" w:rsidRPr="00C7273D">
        <w:rPr>
          <w:sz w:val="22"/>
          <w:szCs w:val="22"/>
        </w:rPr>
        <w:t xml:space="preserve"> is the </w:t>
      </w:r>
      <w:r w:rsidR="0032217C">
        <w:rPr>
          <w:sz w:val="22"/>
          <w:szCs w:val="22"/>
        </w:rPr>
        <w:t xml:space="preserve">country-industry-year mean </w:t>
      </w:r>
      <w:r w:rsidR="0032217C" w:rsidRPr="00C7273D">
        <w:rPr>
          <w:sz w:val="22"/>
          <w:szCs w:val="22"/>
        </w:rPr>
        <w:t xml:space="preserve">market value of equity in year </w:t>
      </w:r>
      <w:r w:rsidR="0032217C" w:rsidRPr="00C7273D">
        <w:rPr>
          <w:i/>
          <w:sz w:val="22"/>
          <w:szCs w:val="22"/>
        </w:rPr>
        <w:t>t</w:t>
      </w:r>
      <w:r w:rsidR="0032217C">
        <w:rPr>
          <w:i/>
          <w:sz w:val="22"/>
          <w:szCs w:val="22"/>
        </w:rPr>
        <w:t>-1</w:t>
      </w:r>
      <w:r w:rsidR="0032217C" w:rsidRPr="00C7273D">
        <w:rPr>
          <w:i/>
          <w:sz w:val="22"/>
          <w:szCs w:val="22"/>
        </w:rPr>
        <w:t xml:space="preserve"> </w:t>
      </w:r>
      <w:r w:rsidR="0032217C" w:rsidRPr="00C7273D">
        <w:rPr>
          <w:sz w:val="22"/>
          <w:szCs w:val="22"/>
        </w:rPr>
        <w:t>(</w:t>
      </w:r>
      <w:r w:rsidR="0032217C" w:rsidRPr="00C7273D">
        <w:rPr>
          <w:i/>
          <w:sz w:val="22"/>
          <w:szCs w:val="22"/>
        </w:rPr>
        <w:t>PRCC_F*CSHO</w:t>
      </w:r>
      <w:r w:rsidR="0032217C" w:rsidRPr="00C7273D">
        <w:rPr>
          <w:sz w:val="22"/>
          <w:szCs w:val="22"/>
        </w:rPr>
        <w:t>)</w:t>
      </w:r>
      <w:r w:rsidR="0032217C" w:rsidRPr="00C7273D">
        <w:rPr>
          <w:i/>
          <w:sz w:val="22"/>
          <w:szCs w:val="22"/>
        </w:rPr>
        <w:t xml:space="preserve"> </w:t>
      </w:r>
      <w:r w:rsidR="0032217C" w:rsidRPr="00C7273D">
        <w:rPr>
          <w:sz w:val="22"/>
          <w:szCs w:val="22"/>
        </w:rPr>
        <w:t xml:space="preserve">plus </w:t>
      </w:r>
      <w:r w:rsidR="0098351A">
        <w:rPr>
          <w:i/>
          <w:sz w:val="22"/>
          <w:szCs w:val="22"/>
        </w:rPr>
        <w:t>AT</w:t>
      </w:r>
      <w:r w:rsidR="0032217C" w:rsidRPr="00C7273D">
        <w:rPr>
          <w:sz w:val="22"/>
          <w:szCs w:val="22"/>
        </w:rPr>
        <w:t xml:space="preserve"> in year </w:t>
      </w:r>
      <w:r w:rsidR="0032217C" w:rsidRPr="00C7273D">
        <w:rPr>
          <w:i/>
          <w:sz w:val="22"/>
          <w:szCs w:val="22"/>
        </w:rPr>
        <w:t>t</w:t>
      </w:r>
      <w:r w:rsidR="0032217C">
        <w:rPr>
          <w:i/>
          <w:sz w:val="22"/>
          <w:szCs w:val="22"/>
        </w:rPr>
        <w:t>-1</w:t>
      </w:r>
      <w:r w:rsidR="0032217C" w:rsidRPr="00C7273D">
        <w:rPr>
          <w:i/>
          <w:sz w:val="22"/>
          <w:szCs w:val="22"/>
        </w:rPr>
        <w:t xml:space="preserve"> </w:t>
      </w:r>
      <w:r w:rsidR="0032217C" w:rsidRPr="00C7273D">
        <w:rPr>
          <w:sz w:val="22"/>
          <w:szCs w:val="22"/>
        </w:rPr>
        <w:t xml:space="preserve">less </w:t>
      </w:r>
      <w:r w:rsidR="0032217C" w:rsidRPr="00C7273D">
        <w:rPr>
          <w:i/>
          <w:sz w:val="22"/>
          <w:szCs w:val="22"/>
        </w:rPr>
        <w:t>CEQ</w:t>
      </w:r>
      <w:r w:rsidR="0032217C" w:rsidRPr="00C7273D">
        <w:rPr>
          <w:i/>
          <w:sz w:val="22"/>
          <w:szCs w:val="22"/>
          <w:vertAlign w:val="subscript"/>
        </w:rPr>
        <w:t xml:space="preserve"> </w:t>
      </w:r>
      <w:r w:rsidR="0032217C" w:rsidRPr="00C7273D">
        <w:rPr>
          <w:sz w:val="22"/>
          <w:szCs w:val="22"/>
        </w:rPr>
        <w:t xml:space="preserve">in year </w:t>
      </w:r>
      <w:r w:rsidR="0032217C" w:rsidRPr="00C7273D">
        <w:rPr>
          <w:i/>
          <w:sz w:val="22"/>
          <w:szCs w:val="22"/>
        </w:rPr>
        <w:t>t</w:t>
      </w:r>
      <w:r w:rsidR="0032217C">
        <w:rPr>
          <w:i/>
          <w:sz w:val="22"/>
          <w:szCs w:val="22"/>
        </w:rPr>
        <w:t>-1</w:t>
      </w:r>
      <w:r w:rsidR="0032217C" w:rsidRPr="00C7273D">
        <w:rPr>
          <w:i/>
          <w:sz w:val="22"/>
          <w:szCs w:val="22"/>
        </w:rPr>
        <w:t xml:space="preserve">, </w:t>
      </w:r>
      <w:r w:rsidR="0032217C" w:rsidRPr="00C7273D">
        <w:rPr>
          <w:sz w:val="22"/>
          <w:szCs w:val="22"/>
        </w:rPr>
        <w:t xml:space="preserve">scaled by </w:t>
      </w:r>
      <w:r w:rsidR="0098351A">
        <w:rPr>
          <w:i/>
          <w:sz w:val="22"/>
          <w:szCs w:val="22"/>
        </w:rPr>
        <w:t>AT</w:t>
      </w:r>
      <w:r w:rsidR="0032217C" w:rsidRPr="00C7273D">
        <w:rPr>
          <w:i/>
          <w:sz w:val="22"/>
          <w:szCs w:val="22"/>
        </w:rPr>
        <w:t xml:space="preserve"> </w:t>
      </w:r>
      <w:r w:rsidR="0032217C" w:rsidRPr="00C7273D">
        <w:rPr>
          <w:sz w:val="22"/>
          <w:szCs w:val="22"/>
        </w:rPr>
        <w:t xml:space="preserve">in year </w:t>
      </w:r>
      <w:r w:rsidR="0032217C" w:rsidRPr="00C7273D">
        <w:rPr>
          <w:i/>
          <w:sz w:val="22"/>
          <w:szCs w:val="22"/>
        </w:rPr>
        <w:t>t</w:t>
      </w:r>
      <w:r w:rsidR="0032217C">
        <w:rPr>
          <w:i/>
          <w:sz w:val="22"/>
          <w:szCs w:val="22"/>
        </w:rPr>
        <w:t>-1</w:t>
      </w:r>
      <w:r w:rsidR="0032217C" w:rsidRPr="00C7273D">
        <w:rPr>
          <w:sz w:val="22"/>
          <w:szCs w:val="22"/>
        </w:rPr>
        <w:t xml:space="preserve">. </w:t>
      </w:r>
      <w:r w:rsidR="0032217C">
        <w:rPr>
          <w:i/>
          <w:sz w:val="22"/>
          <w:szCs w:val="22"/>
        </w:rPr>
        <w:t>Med</w:t>
      </w:r>
      <w:r w:rsidR="0032217C" w:rsidRPr="00C7273D">
        <w:rPr>
          <w:i/>
          <w:sz w:val="22"/>
          <w:szCs w:val="22"/>
        </w:rPr>
        <w:t>Q</w:t>
      </w:r>
      <w:r w:rsidR="0032217C">
        <w:rPr>
          <w:i/>
          <w:sz w:val="22"/>
          <w:szCs w:val="22"/>
          <w:vertAlign w:val="subscript"/>
        </w:rPr>
        <w:t>t-1</w:t>
      </w:r>
      <w:r w:rsidR="0032217C" w:rsidRPr="00C7273D">
        <w:rPr>
          <w:sz w:val="22"/>
          <w:szCs w:val="22"/>
        </w:rPr>
        <w:t xml:space="preserve"> is the </w:t>
      </w:r>
      <w:r w:rsidR="0032217C">
        <w:rPr>
          <w:sz w:val="22"/>
          <w:szCs w:val="22"/>
        </w:rPr>
        <w:t xml:space="preserve">country-industry-year median </w:t>
      </w:r>
      <w:r w:rsidR="0032217C" w:rsidRPr="00C7273D">
        <w:rPr>
          <w:sz w:val="22"/>
          <w:szCs w:val="22"/>
        </w:rPr>
        <w:t xml:space="preserve">market value of equity in year </w:t>
      </w:r>
      <w:r w:rsidR="0032217C" w:rsidRPr="00C7273D">
        <w:rPr>
          <w:i/>
          <w:sz w:val="22"/>
          <w:szCs w:val="22"/>
        </w:rPr>
        <w:t>t</w:t>
      </w:r>
      <w:r w:rsidR="0032217C">
        <w:rPr>
          <w:i/>
          <w:sz w:val="22"/>
          <w:szCs w:val="22"/>
        </w:rPr>
        <w:t>-1</w:t>
      </w:r>
      <w:r w:rsidR="0032217C" w:rsidRPr="00C7273D">
        <w:rPr>
          <w:i/>
          <w:sz w:val="22"/>
          <w:szCs w:val="22"/>
        </w:rPr>
        <w:t xml:space="preserve"> </w:t>
      </w:r>
      <w:r w:rsidR="0032217C" w:rsidRPr="00C7273D">
        <w:rPr>
          <w:sz w:val="22"/>
          <w:szCs w:val="22"/>
        </w:rPr>
        <w:t>(</w:t>
      </w:r>
      <w:r w:rsidR="0032217C" w:rsidRPr="00C7273D">
        <w:rPr>
          <w:i/>
          <w:sz w:val="22"/>
          <w:szCs w:val="22"/>
        </w:rPr>
        <w:t>PRCC_F*CSHO</w:t>
      </w:r>
      <w:r w:rsidR="0032217C" w:rsidRPr="00C7273D">
        <w:rPr>
          <w:sz w:val="22"/>
          <w:szCs w:val="22"/>
        </w:rPr>
        <w:t>)</w:t>
      </w:r>
      <w:r w:rsidR="0032217C" w:rsidRPr="00C7273D">
        <w:rPr>
          <w:i/>
          <w:sz w:val="22"/>
          <w:szCs w:val="22"/>
        </w:rPr>
        <w:t xml:space="preserve"> </w:t>
      </w:r>
      <w:r w:rsidR="0032217C" w:rsidRPr="00C7273D">
        <w:rPr>
          <w:sz w:val="22"/>
          <w:szCs w:val="22"/>
        </w:rPr>
        <w:t xml:space="preserve">plus </w:t>
      </w:r>
      <w:r w:rsidR="0098351A">
        <w:rPr>
          <w:i/>
          <w:sz w:val="22"/>
          <w:szCs w:val="22"/>
        </w:rPr>
        <w:t>AT</w:t>
      </w:r>
      <w:r w:rsidR="0032217C" w:rsidRPr="00C7273D">
        <w:rPr>
          <w:sz w:val="22"/>
          <w:szCs w:val="22"/>
        </w:rPr>
        <w:t xml:space="preserve"> in year </w:t>
      </w:r>
      <w:r w:rsidR="0032217C" w:rsidRPr="00C7273D">
        <w:rPr>
          <w:i/>
          <w:sz w:val="22"/>
          <w:szCs w:val="22"/>
        </w:rPr>
        <w:t>t</w:t>
      </w:r>
      <w:r w:rsidR="0032217C">
        <w:rPr>
          <w:i/>
          <w:sz w:val="22"/>
          <w:szCs w:val="22"/>
        </w:rPr>
        <w:t>-1</w:t>
      </w:r>
      <w:r w:rsidR="0032217C" w:rsidRPr="00C7273D">
        <w:rPr>
          <w:i/>
          <w:sz w:val="22"/>
          <w:szCs w:val="22"/>
        </w:rPr>
        <w:t xml:space="preserve"> </w:t>
      </w:r>
      <w:r w:rsidR="0032217C" w:rsidRPr="00C7273D">
        <w:rPr>
          <w:sz w:val="22"/>
          <w:szCs w:val="22"/>
        </w:rPr>
        <w:t xml:space="preserve">less </w:t>
      </w:r>
      <w:r w:rsidR="0032217C" w:rsidRPr="00C7273D">
        <w:rPr>
          <w:i/>
          <w:sz w:val="22"/>
          <w:szCs w:val="22"/>
        </w:rPr>
        <w:t>CEQ</w:t>
      </w:r>
      <w:r w:rsidR="0032217C" w:rsidRPr="00C7273D">
        <w:rPr>
          <w:i/>
          <w:sz w:val="22"/>
          <w:szCs w:val="22"/>
          <w:vertAlign w:val="subscript"/>
        </w:rPr>
        <w:t xml:space="preserve"> </w:t>
      </w:r>
      <w:r w:rsidR="0032217C" w:rsidRPr="00C7273D">
        <w:rPr>
          <w:sz w:val="22"/>
          <w:szCs w:val="22"/>
        </w:rPr>
        <w:t xml:space="preserve">in year </w:t>
      </w:r>
      <w:r w:rsidR="0032217C" w:rsidRPr="00C7273D">
        <w:rPr>
          <w:i/>
          <w:sz w:val="22"/>
          <w:szCs w:val="22"/>
        </w:rPr>
        <w:t>t</w:t>
      </w:r>
      <w:r w:rsidR="0032217C">
        <w:rPr>
          <w:i/>
          <w:sz w:val="22"/>
          <w:szCs w:val="22"/>
        </w:rPr>
        <w:t>-1</w:t>
      </w:r>
      <w:r w:rsidR="0032217C" w:rsidRPr="00C7273D">
        <w:rPr>
          <w:i/>
          <w:sz w:val="22"/>
          <w:szCs w:val="22"/>
        </w:rPr>
        <w:t xml:space="preserve">, </w:t>
      </w:r>
      <w:r w:rsidR="0032217C" w:rsidRPr="00C7273D">
        <w:rPr>
          <w:sz w:val="22"/>
          <w:szCs w:val="22"/>
        </w:rPr>
        <w:t xml:space="preserve">scaled by </w:t>
      </w:r>
      <w:r w:rsidR="0098351A">
        <w:rPr>
          <w:i/>
          <w:sz w:val="22"/>
          <w:szCs w:val="22"/>
        </w:rPr>
        <w:t>AT</w:t>
      </w:r>
      <w:r w:rsidR="0032217C" w:rsidRPr="00C7273D">
        <w:rPr>
          <w:i/>
          <w:sz w:val="22"/>
          <w:szCs w:val="22"/>
        </w:rPr>
        <w:t xml:space="preserve"> </w:t>
      </w:r>
      <w:r w:rsidR="0032217C" w:rsidRPr="00C7273D">
        <w:rPr>
          <w:sz w:val="22"/>
          <w:szCs w:val="22"/>
        </w:rPr>
        <w:t xml:space="preserve">in year </w:t>
      </w:r>
      <w:r w:rsidR="0032217C" w:rsidRPr="00C7273D">
        <w:rPr>
          <w:i/>
          <w:sz w:val="22"/>
          <w:szCs w:val="22"/>
        </w:rPr>
        <w:t>t</w:t>
      </w:r>
      <w:r w:rsidR="0032217C">
        <w:rPr>
          <w:i/>
          <w:sz w:val="22"/>
          <w:szCs w:val="22"/>
        </w:rPr>
        <w:t>-1</w:t>
      </w:r>
      <w:r w:rsidR="0032217C" w:rsidRPr="00C7273D">
        <w:rPr>
          <w:sz w:val="22"/>
          <w:szCs w:val="22"/>
        </w:rPr>
        <w:t xml:space="preserve">. </w:t>
      </w:r>
      <w:r w:rsidR="0032217C">
        <w:rPr>
          <w:i/>
          <w:sz w:val="22"/>
          <w:szCs w:val="22"/>
        </w:rPr>
        <w:t>MedPE</w:t>
      </w:r>
      <w:r w:rsidR="0032217C">
        <w:rPr>
          <w:i/>
          <w:sz w:val="22"/>
          <w:szCs w:val="22"/>
          <w:vertAlign w:val="subscript"/>
        </w:rPr>
        <w:t>t-1</w:t>
      </w:r>
      <w:r w:rsidR="0032217C" w:rsidRPr="00C7273D">
        <w:rPr>
          <w:sz w:val="22"/>
          <w:szCs w:val="22"/>
        </w:rPr>
        <w:t xml:space="preserve"> is the </w:t>
      </w:r>
      <w:r w:rsidR="0032217C">
        <w:rPr>
          <w:sz w:val="22"/>
          <w:szCs w:val="22"/>
        </w:rPr>
        <w:t xml:space="preserve">country-industry-year median price to earnings ratio reported by </w:t>
      </w:r>
      <w:proofErr w:type="spellStart"/>
      <w:r w:rsidR="0032217C" w:rsidRPr="00D251D2">
        <w:rPr>
          <w:i/>
          <w:sz w:val="22"/>
          <w:szCs w:val="22"/>
        </w:rPr>
        <w:t>WorldScope</w:t>
      </w:r>
      <w:proofErr w:type="spellEnd"/>
      <w:r w:rsidR="0032217C" w:rsidRPr="00C7273D">
        <w:rPr>
          <w:sz w:val="22"/>
          <w:szCs w:val="22"/>
        </w:rPr>
        <w:t xml:space="preserve"> in year </w:t>
      </w:r>
      <w:r w:rsidR="0032217C" w:rsidRPr="00C7273D">
        <w:rPr>
          <w:i/>
          <w:sz w:val="22"/>
          <w:szCs w:val="22"/>
        </w:rPr>
        <w:t>t</w:t>
      </w:r>
      <w:r w:rsidR="0032217C">
        <w:rPr>
          <w:i/>
          <w:sz w:val="22"/>
          <w:szCs w:val="22"/>
        </w:rPr>
        <w:t>-1</w:t>
      </w:r>
      <w:r w:rsidR="0032217C" w:rsidRPr="00C7273D">
        <w:rPr>
          <w:sz w:val="22"/>
          <w:szCs w:val="22"/>
        </w:rPr>
        <w:t xml:space="preserve">. </w:t>
      </w:r>
      <w:r w:rsidR="0032217C">
        <w:rPr>
          <w:i/>
          <w:sz w:val="22"/>
          <w:szCs w:val="22"/>
        </w:rPr>
        <w:t>CF</w:t>
      </w:r>
      <w:r w:rsidR="0032217C" w:rsidRPr="003D3966">
        <w:rPr>
          <w:i/>
          <w:sz w:val="22"/>
          <w:szCs w:val="22"/>
          <w:vertAlign w:val="subscript"/>
        </w:rPr>
        <w:t>t-1</w:t>
      </w:r>
      <w:r w:rsidR="0032217C">
        <w:rPr>
          <w:i/>
          <w:sz w:val="22"/>
          <w:szCs w:val="22"/>
        </w:rPr>
        <w:t xml:space="preserve"> </w:t>
      </w:r>
      <w:r w:rsidR="0032217C">
        <w:rPr>
          <w:sz w:val="22"/>
          <w:szCs w:val="22"/>
        </w:rPr>
        <w:t xml:space="preserve">is </w:t>
      </w:r>
      <w:r w:rsidR="0032217C">
        <w:rPr>
          <w:i/>
          <w:sz w:val="22"/>
          <w:szCs w:val="22"/>
        </w:rPr>
        <w:t>C</w:t>
      </w:r>
      <w:r w:rsidR="0032217C" w:rsidRPr="00F66523">
        <w:rPr>
          <w:i/>
          <w:sz w:val="22"/>
          <w:szCs w:val="22"/>
        </w:rPr>
        <w:t>FO</w:t>
      </w:r>
      <w:r w:rsidR="0032217C" w:rsidRPr="003D3966">
        <w:rPr>
          <w:i/>
          <w:sz w:val="22"/>
          <w:szCs w:val="22"/>
          <w:vertAlign w:val="subscript"/>
        </w:rPr>
        <w:t>t-1</w:t>
      </w:r>
      <w:r w:rsidR="0032217C" w:rsidRPr="00F66523">
        <w:rPr>
          <w:i/>
          <w:sz w:val="22"/>
          <w:szCs w:val="22"/>
        </w:rPr>
        <w:t xml:space="preserve"> </w:t>
      </w:r>
      <w:r w:rsidR="0032217C" w:rsidRPr="00F66523">
        <w:rPr>
          <w:sz w:val="22"/>
          <w:szCs w:val="22"/>
        </w:rPr>
        <w:t xml:space="preserve">scaled by </w:t>
      </w:r>
      <w:r w:rsidR="0098351A">
        <w:rPr>
          <w:i/>
          <w:sz w:val="22"/>
          <w:szCs w:val="22"/>
        </w:rPr>
        <w:t>AT</w:t>
      </w:r>
      <w:r w:rsidR="0032217C" w:rsidRPr="00F66523">
        <w:rPr>
          <w:i/>
          <w:sz w:val="22"/>
          <w:szCs w:val="22"/>
          <w:vertAlign w:val="subscript"/>
        </w:rPr>
        <w:t>t-</w:t>
      </w:r>
      <w:r w:rsidR="0032217C">
        <w:rPr>
          <w:i/>
          <w:sz w:val="22"/>
          <w:szCs w:val="22"/>
          <w:vertAlign w:val="subscript"/>
        </w:rPr>
        <w:t>2</w:t>
      </w:r>
      <w:r w:rsidR="0032217C" w:rsidRPr="00F66523">
        <w:rPr>
          <w:sz w:val="22"/>
          <w:szCs w:val="22"/>
        </w:rPr>
        <w:t xml:space="preserve">. </w:t>
      </w:r>
      <w:r w:rsidR="0032217C" w:rsidRPr="003D3966">
        <w:rPr>
          <w:i/>
          <w:iCs/>
          <w:sz w:val="22"/>
          <w:szCs w:val="22"/>
        </w:rPr>
        <w:t>LogAT</w:t>
      </w:r>
      <w:r w:rsidR="0032217C" w:rsidRPr="003D3966">
        <w:rPr>
          <w:i/>
          <w:iCs/>
          <w:sz w:val="22"/>
          <w:szCs w:val="22"/>
          <w:vertAlign w:val="subscript"/>
        </w:rPr>
        <w:t>t-1</w:t>
      </w:r>
      <w:r w:rsidR="0032217C">
        <w:rPr>
          <w:sz w:val="22"/>
          <w:szCs w:val="22"/>
        </w:rPr>
        <w:t xml:space="preserve"> is the natural log of </w:t>
      </w:r>
      <w:r w:rsidR="0098351A">
        <w:rPr>
          <w:i/>
          <w:sz w:val="22"/>
          <w:szCs w:val="22"/>
        </w:rPr>
        <w:t>AT</w:t>
      </w:r>
      <w:r w:rsidR="0032217C" w:rsidRPr="003D3966">
        <w:rPr>
          <w:i/>
          <w:sz w:val="22"/>
          <w:szCs w:val="22"/>
          <w:vertAlign w:val="subscript"/>
        </w:rPr>
        <w:t>t-1</w:t>
      </w:r>
      <w:r w:rsidR="0032217C" w:rsidRPr="00F66523">
        <w:rPr>
          <w:sz w:val="22"/>
          <w:szCs w:val="22"/>
        </w:rPr>
        <w:t>.</w:t>
      </w:r>
      <w:r w:rsidR="0032217C">
        <w:rPr>
          <w:sz w:val="22"/>
          <w:szCs w:val="22"/>
        </w:rPr>
        <w:t xml:space="preserve"> </w:t>
      </w:r>
      <w:r w:rsidR="0032217C">
        <w:rPr>
          <w:i/>
          <w:iCs/>
          <w:sz w:val="22"/>
          <w:szCs w:val="22"/>
        </w:rPr>
        <w:t>ROA</w:t>
      </w:r>
      <w:r w:rsidR="0032217C" w:rsidRPr="003D3966">
        <w:rPr>
          <w:i/>
          <w:iCs/>
          <w:sz w:val="22"/>
          <w:szCs w:val="22"/>
          <w:vertAlign w:val="subscript"/>
        </w:rPr>
        <w:t>t-1</w:t>
      </w:r>
      <w:r w:rsidR="0032217C">
        <w:rPr>
          <w:sz w:val="22"/>
          <w:szCs w:val="22"/>
        </w:rPr>
        <w:t xml:space="preserve"> is income before extraordinary items (</w:t>
      </w:r>
      <w:r w:rsidR="0032217C">
        <w:rPr>
          <w:i/>
          <w:iCs/>
          <w:sz w:val="22"/>
          <w:szCs w:val="22"/>
        </w:rPr>
        <w:t>IB)</w:t>
      </w:r>
      <w:r w:rsidR="0032217C">
        <w:rPr>
          <w:sz w:val="22"/>
          <w:szCs w:val="22"/>
        </w:rPr>
        <w:t xml:space="preserve"> scaled by </w:t>
      </w:r>
      <w:r w:rsidR="0098351A">
        <w:rPr>
          <w:i/>
          <w:sz w:val="22"/>
          <w:szCs w:val="22"/>
        </w:rPr>
        <w:t>AT</w:t>
      </w:r>
      <w:r w:rsidR="0032217C" w:rsidRPr="003D3966">
        <w:rPr>
          <w:i/>
          <w:sz w:val="22"/>
          <w:szCs w:val="22"/>
          <w:vertAlign w:val="subscript"/>
        </w:rPr>
        <w:t>t-1</w:t>
      </w:r>
      <w:r w:rsidR="0032217C" w:rsidRPr="00F66523">
        <w:rPr>
          <w:sz w:val="22"/>
          <w:szCs w:val="22"/>
        </w:rPr>
        <w:t>.</w:t>
      </w:r>
      <w:r w:rsidR="0032217C">
        <w:rPr>
          <w:sz w:val="22"/>
          <w:szCs w:val="22"/>
        </w:rPr>
        <w:t xml:space="preserve"> </w:t>
      </w:r>
      <w:r w:rsidR="005669EB" w:rsidRPr="00D40129">
        <w:rPr>
          <w:i/>
          <w:sz w:val="22"/>
          <w:szCs w:val="22"/>
        </w:rPr>
        <w:t>G</w:t>
      </w:r>
      <w:r w:rsidR="005669EB" w:rsidRPr="00D40129">
        <w:rPr>
          <w:sz w:val="22"/>
          <w:szCs w:val="22"/>
        </w:rPr>
        <w:t xml:space="preserve"> is a firm-specific measure of sensitivity to tax rates calculated as </w:t>
      </w:r>
      <w:r w:rsidR="005669EB">
        <w:rPr>
          <w:sz w:val="22"/>
          <w:szCs w:val="22"/>
        </w:rPr>
        <w:t xml:space="preserve">negative one multiplied by </w:t>
      </w:r>
      <w:r w:rsidR="005669EB" w:rsidRPr="00D40129">
        <w:rPr>
          <w:sz w:val="22"/>
          <w:szCs w:val="22"/>
        </w:rPr>
        <w:t xml:space="preserve">the sum of </w:t>
      </w:r>
      <w:r w:rsidR="005669EB">
        <w:rPr>
          <w:sz w:val="22"/>
          <w:szCs w:val="22"/>
        </w:rPr>
        <w:t>estimated</w:t>
      </w:r>
      <w:r w:rsidR="005669EB" w:rsidRPr="00D40129">
        <w:rPr>
          <w:i/>
          <w:sz w:val="22"/>
          <w:szCs w:val="22"/>
        </w:rPr>
        <w:t xml:space="preserve"> β</w:t>
      </w:r>
      <w:r w:rsidR="005669EB" w:rsidRPr="00D40129">
        <w:rPr>
          <w:i/>
          <w:sz w:val="22"/>
          <w:szCs w:val="22"/>
          <w:vertAlign w:val="subscript"/>
        </w:rPr>
        <w:t>7</w:t>
      </w:r>
      <w:r w:rsidR="005669EB" w:rsidRPr="00D40129">
        <w:rPr>
          <w:sz w:val="22"/>
          <w:szCs w:val="22"/>
        </w:rPr>
        <w:t xml:space="preserve"> and</w:t>
      </w:r>
      <w:r w:rsidR="005669EB" w:rsidRPr="00D40129">
        <w:rPr>
          <w:i/>
          <w:sz w:val="22"/>
          <w:szCs w:val="22"/>
        </w:rPr>
        <w:t xml:space="preserve"> β</w:t>
      </w:r>
      <w:r w:rsidR="005669EB" w:rsidRPr="00D40129">
        <w:rPr>
          <w:i/>
          <w:sz w:val="22"/>
          <w:szCs w:val="22"/>
          <w:vertAlign w:val="subscript"/>
        </w:rPr>
        <w:t>11</w:t>
      </w:r>
      <w:r w:rsidR="005669EB" w:rsidRPr="00D40129">
        <w:rPr>
          <w:sz w:val="22"/>
          <w:szCs w:val="22"/>
        </w:rPr>
        <w:t xml:space="preserve"> from estimating the following regression using affiliate-level data: </w:t>
      </w:r>
    </w:p>
    <w:p w14:paraId="7CA48A46" w14:textId="77777777" w:rsidR="00632ACC" w:rsidRPr="00D40129" w:rsidRDefault="00632ACC" w:rsidP="00632ACC">
      <w:pPr>
        <w:jc w:val="both"/>
        <w:rPr>
          <w:i/>
          <w:sz w:val="22"/>
          <w:szCs w:val="22"/>
        </w:rPr>
      </w:pPr>
      <w:proofErr w:type="gramStart"/>
      <w:r w:rsidRPr="00D40129">
        <w:rPr>
          <w:sz w:val="22"/>
          <w:szCs w:val="22"/>
        </w:rPr>
        <w:t>ln(</w:t>
      </w:r>
      <w:proofErr w:type="gramEnd"/>
      <w:r w:rsidRPr="00D40129">
        <w:rPr>
          <w:i/>
          <w:sz w:val="22"/>
          <w:szCs w:val="22"/>
        </w:rPr>
        <w:sym w:font="Symbol" w:char="F070"/>
      </w:r>
      <w:proofErr w:type="spellStart"/>
      <w:r w:rsidRPr="00D40129">
        <w:rPr>
          <w:i/>
          <w:sz w:val="22"/>
          <w:szCs w:val="22"/>
          <w:vertAlign w:val="subscript"/>
        </w:rPr>
        <w:t>i</w:t>
      </w:r>
      <w:proofErr w:type="spellEnd"/>
      <w:r w:rsidRPr="00D40129">
        <w:rPr>
          <w:sz w:val="22"/>
          <w:szCs w:val="22"/>
        </w:rPr>
        <w:t xml:space="preserve"> + 1) = </w:t>
      </w:r>
      <w:r w:rsidRPr="00D40129">
        <w:rPr>
          <w:i/>
          <w:sz w:val="22"/>
          <w:szCs w:val="22"/>
        </w:rPr>
        <w:t>β</w:t>
      </w:r>
      <w:r w:rsidRPr="00D40129">
        <w:rPr>
          <w:i/>
          <w:sz w:val="22"/>
          <w:szCs w:val="22"/>
          <w:vertAlign w:val="subscript"/>
        </w:rPr>
        <w:t>0</w:t>
      </w:r>
      <w:r w:rsidRPr="00D40129">
        <w:rPr>
          <w:sz w:val="22"/>
          <w:szCs w:val="22"/>
        </w:rPr>
        <w:t xml:space="preserve"> + </w:t>
      </w:r>
      <w:r w:rsidRPr="00D40129">
        <w:rPr>
          <w:i/>
          <w:sz w:val="22"/>
          <w:szCs w:val="22"/>
        </w:rPr>
        <w:t>β</w:t>
      </w:r>
      <w:r w:rsidRPr="00D40129">
        <w:rPr>
          <w:i/>
          <w:sz w:val="22"/>
          <w:szCs w:val="22"/>
          <w:vertAlign w:val="subscript"/>
        </w:rPr>
        <w:t>1</w:t>
      </w:r>
      <w:r w:rsidRPr="00D40129">
        <w:rPr>
          <w:i/>
          <w:sz w:val="22"/>
          <w:szCs w:val="22"/>
        </w:rPr>
        <w:t>*</w:t>
      </w:r>
      <w:r w:rsidRPr="00D40129">
        <w:rPr>
          <w:sz w:val="22"/>
          <w:szCs w:val="22"/>
        </w:rPr>
        <w:t>ln(</w:t>
      </w:r>
      <w:proofErr w:type="spellStart"/>
      <w:r w:rsidRPr="00D40129">
        <w:rPr>
          <w:i/>
          <w:sz w:val="22"/>
          <w:szCs w:val="22"/>
        </w:rPr>
        <w:t>TangibleAssets</w:t>
      </w:r>
      <w:r w:rsidRPr="00D40129">
        <w:rPr>
          <w:i/>
          <w:sz w:val="22"/>
          <w:szCs w:val="22"/>
          <w:vertAlign w:val="subscript"/>
        </w:rPr>
        <w:t>it</w:t>
      </w:r>
      <w:proofErr w:type="spellEnd"/>
      <w:r w:rsidRPr="00D40129">
        <w:rPr>
          <w:sz w:val="22"/>
          <w:szCs w:val="22"/>
        </w:rPr>
        <w:t xml:space="preserve">) + </w:t>
      </w:r>
      <w:r w:rsidRPr="00D40129">
        <w:rPr>
          <w:i/>
          <w:sz w:val="22"/>
          <w:szCs w:val="22"/>
        </w:rPr>
        <w:t>β</w:t>
      </w:r>
      <w:r w:rsidRPr="00D40129">
        <w:rPr>
          <w:i/>
          <w:sz w:val="22"/>
          <w:szCs w:val="22"/>
          <w:vertAlign w:val="subscript"/>
        </w:rPr>
        <w:t>2</w:t>
      </w:r>
      <w:r w:rsidRPr="00D40129">
        <w:rPr>
          <w:i/>
          <w:sz w:val="22"/>
          <w:szCs w:val="22"/>
        </w:rPr>
        <w:t>*</w:t>
      </w:r>
      <w:r w:rsidRPr="00D40129">
        <w:rPr>
          <w:sz w:val="22"/>
          <w:szCs w:val="22"/>
        </w:rPr>
        <w:t>ln(</w:t>
      </w:r>
      <w:proofErr w:type="spellStart"/>
      <w:r w:rsidRPr="00D40129">
        <w:rPr>
          <w:i/>
          <w:sz w:val="22"/>
          <w:szCs w:val="22"/>
        </w:rPr>
        <w:t>CompExp</w:t>
      </w:r>
      <w:r w:rsidRPr="00D40129">
        <w:rPr>
          <w:i/>
          <w:sz w:val="22"/>
          <w:szCs w:val="22"/>
          <w:vertAlign w:val="subscript"/>
        </w:rPr>
        <w:t>it</w:t>
      </w:r>
      <w:proofErr w:type="spellEnd"/>
      <w:r w:rsidRPr="00D40129">
        <w:rPr>
          <w:sz w:val="22"/>
          <w:szCs w:val="22"/>
        </w:rPr>
        <w:t xml:space="preserve">) + </w:t>
      </w:r>
      <w:r w:rsidRPr="00D40129">
        <w:rPr>
          <w:i/>
          <w:sz w:val="22"/>
          <w:szCs w:val="22"/>
        </w:rPr>
        <w:t>β</w:t>
      </w:r>
      <w:r w:rsidRPr="00D40129">
        <w:rPr>
          <w:i/>
          <w:sz w:val="22"/>
          <w:szCs w:val="22"/>
          <w:vertAlign w:val="subscript"/>
        </w:rPr>
        <w:t>3</w:t>
      </w:r>
      <w:r w:rsidRPr="00D40129">
        <w:rPr>
          <w:i/>
          <w:sz w:val="22"/>
          <w:szCs w:val="22"/>
        </w:rPr>
        <w:t>*</w:t>
      </w:r>
      <w:proofErr w:type="spellStart"/>
      <w:r w:rsidRPr="00D40129">
        <w:rPr>
          <w:i/>
          <w:sz w:val="22"/>
          <w:szCs w:val="22"/>
        </w:rPr>
        <w:t>IndustryROA</w:t>
      </w:r>
      <w:r w:rsidRPr="00D40129">
        <w:rPr>
          <w:i/>
          <w:sz w:val="22"/>
          <w:szCs w:val="22"/>
          <w:vertAlign w:val="subscript"/>
        </w:rPr>
        <w:t>t</w:t>
      </w:r>
      <w:proofErr w:type="spellEnd"/>
      <w:r w:rsidRPr="00D40129">
        <w:rPr>
          <w:sz w:val="22"/>
          <w:szCs w:val="22"/>
        </w:rPr>
        <w:t xml:space="preserve"> </w:t>
      </w:r>
      <w:r w:rsidRPr="00D40129">
        <w:rPr>
          <w:i/>
          <w:sz w:val="22"/>
          <w:szCs w:val="22"/>
        </w:rPr>
        <w:t>+ β</w:t>
      </w:r>
      <w:r w:rsidRPr="00D40129">
        <w:rPr>
          <w:i/>
          <w:sz w:val="22"/>
          <w:szCs w:val="22"/>
          <w:vertAlign w:val="subscript"/>
        </w:rPr>
        <w:t>4</w:t>
      </w:r>
      <w:r w:rsidRPr="00D40129">
        <w:rPr>
          <w:i/>
          <w:sz w:val="22"/>
          <w:szCs w:val="22"/>
        </w:rPr>
        <w:t>*</w:t>
      </w:r>
      <w:proofErr w:type="spellStart"/>
      <w:r w:rsidRPr="00D40129">
        <w:rPr>
          <w:i/>
          <w:sz w:val="22"/>
          <w:szCs w:val="22"/>
        </w:rPr>
        <w:t>Age</w:t>
      </w:r>
      <w:r w:rsidRPr="00D40129">
        <w:rPr>
          <w:i/>
          <w:sz w:val="22"/>
          <w:szCs w:val="22"/>
          <w:vertAlign w:val="subscript"/>
        </w:rPr>
        <w:t>it</w:t>
      </w:r>
      <w:proofErr w:type="spellEnd"/>
      <w:r w:rsidRPr="00D40129">
        <w:rPr>
          <w:i/>
          <w:sz w:val="22"/>
          <w:szCs w:val="22"/>
        </w:rPr>
        <w:t xml:space="preserve"> + β</w:t>
      </w:r>
      <w:r w:rsidRPr="00D40129">
        <w:rPr>
          <w:i/>
          <w:sz w:val="22"/>
          <w:szCs w:val="22"/>
          <w:vertAlign w:val="subscript"/>
        </w:rPr>
        <w:t>5</w:t>
      </w:r>
      <w:r w:rsidRPr="00D40129">
        <w:rPr>
          <w:i/>
          <w:sz w:val="22"/>
          <w:szCs w:val="22"/>
        </w:rPr>
        <w:t>*∆</w:t>
      </w:r>
      <w:proofErr w:type="spellStart"/>
      <w:r w:rsidRPr="00D40129">
        <w:rPr>
          <w:i/>
          <w:sz w:val="22"/>
          <w:szCs w:val="22"/>
        </w:rPr>
        <w:t>GDP</w:t>
      </w:r>
      <w:r w:rsidRPr="00D40129">
        <w:rPr>
          <w:i/>
          <w:sz w:val="22"/>
          <w:szCs w:val="22"/>
          <w:vertAlign w:val="subscript"/>
        </w:rPr>
        <w:t>t</w:t>
      </w:r>
      <w:proofErr w:type="spellEnd"/>
      <w:r w:rsidRPr="00D40129">
        <w:rPr>
          <w:i/>
          <w:sz w:val="22"/>
          <w:szCs w:val="22"/>
        </w:rPr>
        <w:t xml:space="preserve"> </w:t>
      </w:r>
    </w:p>
    <w:p w14:paraId="4F5998E3" w14:textId="77777777" w:rsidR="00632ACC" w:rsidRPr="00D40129" w:rsidRDefault="00632ACC" w:rsidP="00632ACC">
      <w:pPr>
        <w:jc w:val="both"/>
        <w:rPr>
          <w:sz w:val="22"/>
          <w:szCs w:val="22"/>
        </w:rPr>
      </w:pPr>
      <w:r w:rsidRPr="00D40129">
        <w:rPr>
          <w:i/>
          <w:sz w:val="22"/>
          <w:szCs w:val="22"/>
        </w:rPr>
        <w:t xml:space="preserve">   + β</w:t>
      </w:r>
      <w:r w:rsidRPr="00D40129">
        <w:rPr>
          <w:i/>
          <w:sz w:val="22"/>
          <w:szCs w:val="22"/>
          <w:vertAlign w:val="subscript"/>
        </w:rPr>
        <w:t>6</w:t>
      </w:r>
      <w:r w:rsidRPr="00D40129">
        <w:rPr>
          <w:i/>
          <w:sz w:val="22"/>
          <w:szCs w:val="22"/>
        </w:rPr>
        <w:t>*∆</w:t>
      </w:r>
      <w:proofErr w:type="spellStart"/>
      <w:r w:rsidRPr="00D40129">
        <w:rPr>
          <w:i/>
          <w:sz w:val="22"/>
          <w:szCs w:val="22"/>
        </w:rPr>
        <w:t>MarketSize</w:t>
      </w:r>
      <w:r w:rsidRPr="00D40129">
        <w:rPr>
          <w:i/>
          <w:sz w:val="22"/>
          <w:szCs w:val="22"/>
          <w:vertAlign w:val="subscript"/>
        </w:rPr>
        <w:t>t</w:t>
      </w:r>
      <w:proofErr w:type="spellEnd"/>
      <w:r w:rsidRPr="00D40129">
        <w:rPr>
          <w:i/>
          <w:sz w:val="22"/>
          <w:szCs w:val="22"/>
        </w:rPr>
        <w:t xml:space="preserve"> + β</w:t>
      </w:r>
      <w:r w:rsidRPr="00D40129">
        <w:rPr>
          <w:i/>
          <w:sz w:val="22"/>
          <w:szCs w:val="22"/>
          <w:vertAlign w:val="subscript"/>
        </w:rPr>
        <w:t>7</w:t>
      </w:r>
      <w:r w:rsidRPr="00D40129">
        <w:rPr>
          <w:i/>
          <w:sz w:val="22"/>
          <w:szCs w:val="22"/>
        </w:rPr>
        <w:t>*</w:t>
      </w:r>
      <w:proofErr w:type="spellStart"/>
      <w:r w:rsidRPr="00D40129">
        <w:rPr>
          <w:i/>
          <w:sz w:val="22"/>
          <w:szCs w:val="22"/>
        </w:rPr>
        <w:t>C</w:t>
      </w:r>
      <w:r w:rsidRPr="00D40129">
        <w:rPr>
          <w:i/>
          <w:sz w:val="22"/>
          <w:szCs w:val="22"/>
          <w:vertAlign w:val="subscript"/>
        </w:rPr>
        <w:t>it</w:t>
      </w:r>
      <w:proofErr w:type="spellEnd"/>
      <w:r w:rsidRPr="00D40129">
        <w:rPr>
          <w:i/>
          <w:sz w:val="22"/>
          <w:szCs w:val="22"/>
        </w:rPr>
        <w:t xml:space="preserve"> + β</w:t>
      </w:r>
      <w:r w:rsidRPr="00D40129">
        <w:rPr>
          <w:i/>
          <w:sz w:val="22"/>
          <w:szCs w:val="22"/>
          <w:vertAlign w:val="subscript"/>
        </w:rPr>
        <w:t>8</w:t>
      </w:r>
      <w:r w:rsidRPr="00D40129">
        <w:rPr>
          <w:i/>
          <w:sz w:val="22"/>
          <w:szCs w:val="22"/>
        </w:rPr>
        <w:t>*</w:t>
      </w:r>
      <w:proofErr w:type="spellStart"/>
      <w:r w:rsidRPr="00D40129">
        <w:rPr>
          <w:i/>
          <w:sz w:val="22"/>
          <w:szCs w:val="22"/>
        </w:rPr>
        <w:t>Loss</w:t>
      </w:r>
      <w:r w:rsidRPr="00D40129">
        <w:rPr>
          <w:i/>
          <w:sz w:val="22"/>
          <w:szCs w:val="22"/>
          <w:vertAlign w:val="subscript"/>
        </w:rPr>
        <w:t>it</w:t>
      </w:r>
      <w:proofErr w:type="spellEnd"/>
      <w:r w:rsidRPr="00D40129">
        <w:rPr>
          <w:i/>
          <w:sz w:val="22"/>
          <w:szCs w:val="22"/>
        </w:rPr>
        <w:t xml:space="preserve"> + β</w:t>
      </w:r>
      <w:r w:rsidRPr="00D40129">
        <w:rPr>
          <w:i/>
          <w:sz w:val="22"/>
          <w:szCs w:val="22"/>
          <w:vertAlign w:val="subscript"/>
        </w:rPr>
        <w:t>9</w:t>
      </w:r>
      <w:r w:rsidRPr="00D40129">
        <w:rPr>
          <w:i/>
          <w:sz w:val="22"/>
          <w:szCs w:val="22"/>
        </w:rPr>
        <w:t>*</w:t>
      </w:r>
      <w:proofErr w:type="spellStart"/>
      <w:r w:rsidRPr="00D40129">
        <w:rPr>
          <w:i/>
          <w:sz w:val="22"/>
          <w:szCs w:val="22"/>
        </w:rPr>
        <w:t>Loss</w:t>
      </w:r>
      <w:r w:rsidRPr="00D40129">
        <w:rPr>
          <w:i/>
          <w:sz w:val="22"/>
          <w:szCs w:val="22"/>
          <w:vertAlign w:val="subscript"/>
        </w:rPr>
        <w:t>it</w:t>
      </w:r>
      <w:proofErr w:type="spellEnd"/>
      <w:r w:rsidRPr="00D40129">
        <w:rPr>
          <w:i/>
          <w:sz w:val="22"/>
          <w:szCs w:val="22"/>
        </w:rPr>
        <w:t>*</w:t>
      </w:r>
      <w:proofErr w:type="spellStart"/>
      <w:r w:rsidRPr="00D40129">
        <w:rPr>
          <w:i/>
          <w:sz w:val="22"/>
          <w:szCs w:val="22"/>
        </w:rPr>
        <w:t>C</w:t>
      </w:r>
      <w:r w:rsidRPr="00D40129">
        <w:rPr>
          <w:i/>
          <w:sz w:val="22"/>
          <w:szCs w:val="22"/>
          <w:vertAlign w:val="subscript"/>
        </w:rPr>
        <w:t>it</w:t>
      </w:r>
      <w:proofErr w:type="spellEnd"/>
      <w:r w:rsidRPr="00D40129">
        <w:rPr>
          <w:sz w:val="22"/>
          <w:szCs w:val="22"/>
        </w:rPr>
        <w:t xml:space="preserve"> + </w:t>
      </w:r>
      <w:r w:rsidRPr="00D40129">
        <w:rPr>
          <w:i/>
          <w:sz w:val="22"/>
          <w:szCs w:val="22"/>
        </w:rPr>
        <w:t>β</w:t>
      </w:r>
      <w:r w:rsidRPr="00D40129">
        <w:rPr>
          <w:i/>
          <w:sz w:val="22"/>
          <w:szCs w:val="22"/>
          <w:vertAlign w:val="subscript"/>
        </w:rPr>
        <w:t>10</w:t>
      </w:r>
      <w:proofErr w:type="gramStart"/>
      <w:r>
        <w:rPr>
          <w:i/>
          <w:sz w:val="22"/>
          <w:szCs w:val="22"/>
          <w:vertAlign w:val="subscript"/>
        </w:rPr>
        <w:t>,</w:t>
      </w:r>
      <w:r w:rsidRPr="00625372">
        <w:rPr>
          <w:i/>
          <w:sz w:val="22"/>
          <w:szCs w:val="22"/>
          <w:vertAlign w:val="subscript"/>
        </w:rPr>
        <w:t>f</w:t>
      </w:r>
      <w:proofErr w:type="gramEnd"/>
      <w:r w:rsidRPr="00D40129">
        <w:rPr>
          <w:sz w:val="22"/>
          <w:szCs w:val="22"/>
        </w:rPr>
        <w:t>*</w:t>
      </w:r>
      <w:proofErr w:type="spellStart"/>
      <w:r w:rsidRPr="00D40129">
        <w:rPr>
          <w:i/>
          <w:sz w:val="22"/>
          <w:szCs w:val="22"/>
        </w:rPr>
        <w:t>Firm</w:t>
      </w:r>
      <w:r w:rsidRPr="00625372">
        <w:rPr>
          <w:i/>
          <w:sz w:val="22"/>
          <w:szCs w:val="22"/>
          <w:vertAlign w:val="subscript"/>
        </w:rPr>
        <w:t>f</w:t>
      </w:r>
      <w:proofErr w:type="spellEnd"/>
      <w:r w:rsidRPr="00D40129">
        <w:rPr>
          <w:sz w:val="22"/>
          <w:szCs w:val="22"/>
        </w:rPr>
        <w:t xml:space="preserve"> + </w:t>
      </w:r>
      <w:r w:rsidRPr="00D40129">
        <w:rPr>
          <w:i/>
          <w:sz w:val="22"/>
          <w:szCs w:val="22"/>
        </w:rPr>
        <w:t>β</w:t>
      </w:r>
      <w:r w:rsidRPr="00D40129">
        <w:rPr>
          <w:i/>
          <w:sz w:val="22"/>
          <w:szCs w:val="22"/>
          <w:vertAlign w:val="subscript"/>
        </w:rPr>
        <w:t>11</w:t>
      </w:r>
      <w:r>
        <w:rPr>
          <w:i/>
          <w:sz w:val="22"/>
          <w:szCs w:val="22"/>
          <w:vertAlign w:val="subscript"/>
        </w:rPr>
        <w:t>,</w:t>
      </w:r>
      <w:r w:rsidRPr="00625372">
        <w:rPr>
          <w:i/>
          <w:sz w:val="22"/>
          <w:szCs w:val="22"/>
          <w:vertAlign w:val="subscript"/>
        </w:rPr>
        <w:t>f</w:t>
      </w:r>
      <w:r w:rsidRPr="00D40129">
        <w:rPr>
          <w:sz w:val="22"/>
          <w:szCs w:val="22"/>
        </w:rPr>
        <w:t>*</w:t>
      </w:r>
      <w:proofErr w:type="spellStart"/>
      <w:r w:rsidRPr="00D40129">
        <w:rPr>
          <w:i/>
          <w:sz w:val="22"/>
          <w:szCs w:val="22"/>
        </w:rPr>
        <w:t>Firm</w:t>
      </w:r>
      <w:r w:rsidRPr="00625372">
        <w:rPr>
          <w:i/>
          <w:sz w:val="22"/>
          <w:szCs w:val="22"/>
          <w:vertAlign w:val="subscript"/>
        </w:rPr>
        <w:t>f</w:t>
      </w:r>
      <w:proofErr w:type="spellEnd"/>
      <w:r w:rsidRPr="00D40129">
        <w:rPr>
          <w:i/>
          <w:sz w:val="22"/>
          <w:szCs w:val="22"/>
        </w:rPr>
        <w:t>*</w:t>
      </w:r>
      <w:proofErr w:type="spellStart"/>
      <w:r w:rsidRPr="00D40129">
        <w:rPr>
          <w:i/>
          <w:sz w:val="22"/>
          <w:szCs w:val="22"/>
        </w:rPr>
        <w:t>C</w:t>
      </w:r>
      <w:r w:rsidRPr="00D40129">
        <w:rPr>
          <w:i/>
          <w:sz w:val="22"/>
          <w:szCs w:val="22"/>
          <w:vertAlign w:val="subscript"/>
        </w:rPr>
        <w:t>it</w:t>
      </w:r>
      <w:proofErr w:type="spellEnd"/>
      <w:r w:rsidRPr="00D40129">
        <w:rPr>
          <w:sz w:val="22"/>
          <w:szCs w:val="22"/>
        </w:rPr>
        <w:t xml:space="preserve"> + </w:t>
      </w:r>
      <w:r w:rsidRPr="00D40129">
        <w:rPr>
          <w:i/>
          <w:sz w:val="22"/>
          <w:szCs w:val="22"/>
        </w:rPr>
        <w:t>β</w:t>
      </w:r>
      <w:r w:rsidRPr="00D40129">
        <w:rPr>
          <w:i/>
          <w:sz w:val="22"/>
          <w:szCs w:val="22"/>
          <w:vertAlign w:val="subscript"/>
        </w:rPr>
        <w:t>12</w:t>
      </w:r>
      <w:r>
        <w:rPr>
          <w:i/>
          <w:sz w:val="22"/>
          <w:szCs w:val="22"/>
          <w:vertAlign w:val="subscript"/>
        </w:rPr>
        <w:t>,</w:t>
      </w:r>
      <w:r w:rsidRPr="00625372">
        <w:rPr>
          <w:i/>
          <w:sz w:val="22"/>
          <w:szCs w:val="22"/>
          <w:vertAlign w:val="subscript"/>
        </w:rPr>
        <w:t>f</w:t>
      </w:r>
      <w:r w:rsidRPr="00D40129">
        <w:rPr>
          <w:i/>
          <w:sz w:val="22"/>
          <w:szCs w:val="22"/>
        </w:rPr>
        <w:t>*</w:t>
      </w:r>
      <w:proofErr w:type="spellStart"/>
      <w:r w:rsidRPr="00D40129">
        <w:rPr>
          <w:i/>
          <w:sz w:val="22"/>
          <w:szCs w:val="22"/>
        </w:rPr>
        <w:t>Firm</w:t>
      </w:r>
      <w:r w:rsidRPr="00625372">
        <w:rPr>
          <w:i/>
          <w:sz w:val="22"/>
          <w:szCs w:val="22"/>
          <w:vertAlign w:val="subscript"/>
        </w:rPr>
        <w:t>f</w:t>
      </w:r>
      <w:proofErr w:type="spellEnd"/>
      <w:r w:rsidRPr="00D40129">
        <w:rPr>
          <w:sz w:val="22"/>
          <w:szCs w:val="22"/>
        </w:rPr>
        <w:t>*</w:t>
      </w:r>
      <w:proofErr w:type="spellStart"/>
      <w:r w:rsidRPr="00D40129">
        <w:rPr>
          <w:i/>
          <w:sz w:val="22"/>
          <w:szCs w:val="22"/>
        </w:rPr>
        <w:t>Loss</w:t>
      </w:r>
      <w:r w:rsidRPr="00D40129">
        <w:rPr>
          <w:i/>
          <w:sz w:val="22"/>
          <w:szCs w:val="22"/>
          <w:vertAlign w:val="subscript"/>
        </w:rPr>
        <w:t>it</w:t>
      </w:r>
      <w:proofErr w:type="spellEnd"/>
      <w:r w:rsidRPr="00D40129">
        <w:rPr>
          <w:sz w:val="22"/>
          <w:szCs w:val="22"/>
        </w:rPr>
        <w:t xml:space="preserve"> </w:t>
      </w:r>
    </w:p>
    <w:p w14:paraId="708DF3B4" w14:textId="7080AFA4" w:rsidR="003173E4" w:rsidRPr="007512D6" w:rsidRDefault="00632ACC" w:rsidP="005669EB">
      <w:pPr>
        <w:jc w:val="both"/>
        <w:rPr>
          <w:sz w:val="22"/>
          <w:szCs w:val="22"/>
        </w:rPr>
      </w:pPr>
      <w:r w:rsidRPr="00D40129">
        <w:rPr>
          <w:sz w:val="22"/>
          <w:szCs w:val="22"/>
        </w:rPr>
        <w:t xml:space="preserve">   + </w:t>
      </w:r>
      <w:r w:rsidRPr="00D40129">
        <w:rPr>
          <w:i/>
          <w:sz w:val="22"/>
          <w:szCs w:val="22"/>
        </w:rPr>
        <w:t>β</w:t>
      </w:r>
      <w:r w:rsidRPr="00D40129">
        <w:rPr>
          <w:i/>
          <w:sz w:val="22"/>
          <w:szCs w:val="22"/>
          <w:vertAlign w:val="subscript"/>
        </w:rPr>
        <w:t>13</w:t>
      </w:r>
      <w:proofErr w:type="gramStart"/>
      <w:r>
        <w:rPr>
          <w:i/>
          <w:sz w:val="22"/>
          <w:szCs w:val="22"/>
          <w:vertAlign w:val="subscript"/>
        </w:rPr>
        <w:t>,</w:t>
      </w:r>
      <w:r w:rsidRPr="00625372">
        <w:rPr>
          <w:i/>
          <w:sz w:val="22"/>
          <w:szCs w:val="22"/>
          <w:vertAlign w:val="subscript"/>
        </w:rPr>
        <w:t>f</w:t>
      </w:r>
      <w:proofErr w:type="gramEnd"/>
      <w:r w:rsidRPr="00D40129">
        <w:rPr>
          <w:i/>
          <w:sz w:val="22"/>
          <w:szCs w:val="22"/>
        </w:rPr>
        <w:t>*</w:t>
      </w:r>
      <w:proofErr w:type="spellStart"/>
      <w:r w:rsidRPr="00D40129">
        <w:rPr>
          <w:i/>
          <w:sz w:val="22"/>
          <w:szCs w:val="22"/>
        </w:rPr>
        <w:t>Firm</w:t>
      </w:r>
      <w:r w:rsidRPr="00625372">
        <w:rPr>
          <w:i/>
          <w:sz w:val="22"/>
          <w:szCs w:val="22"/>
          <w:vertAlign w:val="subscript"/>
        </w:rPr>
        <w:t>f</w:t>
      </w:r>
      <w:proofErr w:type="spellEnd"/>
      <w:r w:rsidRPr="00D40129">
        <w:rPr>
          <w:sz w:val="22"/>
          <w:szCs w:val="22"/>
        </w:rPr>
        <w:t>*</w:t>
      </w:r>
      <w:proofErr w:type="spellStart"/>
      <w:r w:rsidRPr="00D40129">
        <w:rPr>
          <w:i/>
          <w:sz w:val="22"/>
          <w:szCs w:val="22"/>
        </w:rPr>
        <w:t>Loss</w:t>
      </w:r>
      <w:r w:rsidRPr="00D40129">
        <w:rPr>
          <w:i/>
          <w:sz w:val="22"/>
          <w:szCs w:val="22"/>
          <w:vertAlign w:val="subscript"/>
        </w:rPr>
        <w:t>it</w:t>
      </w:r>
      <w:proofErr w:type="spellEnd"/>
      <w:r w:rsidRPr="00D40129">
        <w:rPr>
          <w:i/>
          <w:sz w:val="22"/>
          <w:szCs w:val="22"/>
        </w:rPr>
        <w:t>*</w:t>
      </w:r>
      <w:proofErr w:type="spellStart"/>
      <w:r w:rsidRPr="00D40129">
        <w:rPr>
          <w:i/>
          <w:sz w:val="22"/>
          <w:szCs w:val="22"/>
        </w:rPr>
        <w:t>C</w:t>
      </w:r>
      <w:r w:rsidRPr="00D40129">
        <w:rPr>
          <w:i/>
          <w:sz w:val="22"/>
          <w:szCs w:val="22"/>
          <w:vertAlign w:val="subscript"/>
        </w:rPr>
        <w:t>it</w:t>
      </w:r>
      <w:proofErr w:type="spellEnd"/>
      <w:r w:rsidRPr="00D40129">
        <w:rPr>
          <w:sz w:val="22"/>
          <w:szCs w:val="22"/>
        </w:rPr>
        <w:t xml:space="preserve"> </w:t>
      </w:r>
      <w:r w:rsidRPr="00D40129">
        <w:rPr>
          <w:i/>
          <w:sz w:val="22"/>
          <w:szCs w:val="22"/>
        </w:rPr>
        <w:t xml:space="preserve">+ </w:t>
      </w:r>
      <w:proofErr w:type="spellStart"/>
      <w:r w:rsidRPr="00D40129">
        <w:rPr>
          <w:i/>
          <w:sz w:val="22"/>
          <w:szCs w:val="22"/>
        </w:rPr>
        <w:t>ε</w:t>
      </w:r>
      <w:r w:rsidRPr="00D40129">
        <w:rPr>
          <w:i/>
          <w:sz w:val="22"/>
          <w:szCs w:val="22"/>
          <w:vertAlign w:val="subscript"/>
        </w:rPr>
        <w:t>it</w:t>
      </w:r>
      <w:proofErr w:type="spellEnd"/>
      <w:r w:rsidRPr="00D40129">
        <w:rPr>
          <w:sz w:val="22"/>
          <w:szCs w:val="22"/>
        </w:rPr>
        <w:t>.</w:t>
      </w:r>
      <w:r w:rsidRPr="003C3481">
        <w:rPr>
          <w:sz w:val="22"/>
          <w:szCs w:val="22"/>
        </w:rPr>
        <w:t xml:space="preserve"> </w:t>
      </w:r>
    </w:p>
    <w:p w14:paraId="10CB3642" w14:textId="18C7507A" w:rsidR="003173E4" w:rsidRPr="007512D6" w:rsidRDefault="00FF5565" w:rsidP="00FF5565">
      <w:pPr>
        <w:jc w:val="both"/>
        <w:rPr>
          <w:sz w:val="22"/>
          <w:szCs w:val="22"/>
          <w:highlight w:val="yellow"/>
        </w:rPr>
      </w:pPr>
      <w:r>
        <w:rPr>
          <w:rFonts w:eastAsia="Times New Roman"/>
          <w:color w:val="000000"/>
          <w:sz w:val="22"/>
          <w:szCs w:val="22"/>
        </w:rPr>
        <w:t>Bolded values</w:t>
      </w:r>
      <w:r w:rsidRPr="009133F4">
        <w:rPr>
          <w:rFonts w:eastAsia="Times New Roman"/>
          <w:color w:val="000000"/>
          <w:sz w:val="22"/>
          <w:szCs w:val="22"/>
        </w:rPr>
        <w:t xml:space="preserve"> </w:t>
      </w:r>
      <w:r>
        <w:rPr>
          <w:rFonts w:eastAsia="Times New Roman"/>
          <w:color w:val="000000"/>
          <w:sz w:val="22"/>
          <w:szCs w:val="22"/>
        </w:rPr>
        <w:t xml:space="preserve">are </w:t>
      </w:r>
      <w:r w:rsidR="00387752" w:rsidRPr="00E25A97">
        <w:rPr>
          <w:rFonts w:eastAsia="Times New Roman"/>
          <w:color w:val="000000"/>
          <w:sz w:val="22"/>
          <w:szCs w:val="22"/>
        </w:rPr>
        <w:t>statistical</w:t>
      </w:r>
      <w:r>
        <w:rPr>
          <w:rFonts w:eastAsia="Times New Roman"/>
          <w:color w:val="000000"/>
          <w:sz w:val="22"/>
          <w:szCs w:val="22"/>
        </w:rPr>
        <w:t>ly</w:t>
      </w:r>
      <w:r w:rsidR="00387752" w:rsidRPr="00E25A97">
        <w:rPr>
          <w:rFonts w:eastAsia="Times New Roman"/>
          <w:color w:val="000000"/>
          <w:sz w:val="22"/>
          <w:szCs w:val="22"/>
        </w:rPr>
        <w:t xml:space="preserve"> </w:t>
      </w:r>
      <w:r w:rsidRPr="00E25A97">
        <w:rPr>
          <w:rFonts w:eastAsia="Times New Roman"/>
          <w:color w:val="000000"/>
          <w:sz w:val="22"/>
          <w:szCs w:val="22"/>
        </w:rPr>
        <w:t>significan</w:t>
      </w:r>
      <w:r>
        <w:rPr>
          <w:rFonts w:eastAsia="Times New Roman"/>
          <w:color w:val="000000"/>
          <w:sz w:val="22"/>
          <w:szCs w:val="22"/>
        </w:rPr>
        <w:t>t</w:t>
      </w:r>
      <w:r w:rsidRPr="00E25A97">
        <w:rPr>
          <w:rFonts w:eastAsia="Times New Roman"/>
          <w:color w:val="000000"/>
          <w:sz w:val="22"/>
          <w:szCs w:val="22"/>
        </w:rPr>
        <w:t xml:space="preserve"> </w:t>
      </w:r>
      <w:r w:rsidR="00387752" w:rsidRPr="00E25A97">
        <w:rPr>
          <w:rFonts w:eastAsia="Times New Roman"/>
          <w:color w:val="000000"/>
          <w:sz w:val="22"/>
          <w:szCs w:val="22"/>
        </w:rPr>
        <w:t>at the 10 percent level, respectively.</w:t>
      </w:r>
      <w:r w:rsidR="00387752">
        <w:rPr>
          <w:rFonts w:eastAsia="Times New Roman"/>
          <w:color w:val="000000"/>
          <w:sz w:val="22"/>
          <w:szCs w:val="22"/>
        </w:rPr>
        <w:t xml:space="preserve"> </w:t>
      </w:r>
      <w:r w:rsidR="003173E4" w:rsidRPr="007512D6">
        <w:rPr>
          <w:sz w:val="22"/>
          <w:szCs w:val="22"/>
        </w:rPr>
        <w:t xml:space="preserve">All variables are </w:t>
      </w:r>
      <w:proofErr w:type="spellStart"/>
      <w:r w:rsidR="003173E4" w:rsidRPr="007512D6">
        <w:rPr>
          <w:sz w:val="22"/>
          <w:szCs w:val="22"/>
        </w:rPr>
        <w:t>winsorized</w:t>
      </w:r>
      <w:proofErr w:type="spellEnd"/>
      <w:r w:rsidR="003173E4" w:rsidRPr="007512D6">
        <w:rPr>
          <w:sz w:val="22"/>
          <w:szCs w:val="22"/>
        </w:rPr>
        <w:t xml:space="preserve"> at 1 and 99 percent.</w:t>
      </w:r>
    </w:p>
    <w:p w14:paraId="64B81B76" w14:textId="77777777" w:rsidR="003173E4" w:rsidRDefault="003173E4">
      <w:pPr>
        <w:rPr>
          <w:highlight w:val="yellow"/>
        </w:rPr>
      </w:pPr>
    </w:p>
    <w:p w14:paraId="16D04585" w14:textId="3EB7478F" w:rsidR="005669EB" w:rsidRDefault="005669EB">
      <w:r>
        <w:br w:type="page"/>
      </w:r>
    </w:p>
    <w:p w14:paraId="642627FB" w14:textId="7BC6DB19" w:rsidR="004179E9" w:rsidRDefault="002C630C" w:rsidP="004179E9">
      <w:pPr>
        <w:jc w:val="both"/>
      </w:pPr>
      <w:r w:rsidRPr="006445F4">
        <w:lastRenderedPageBreak/>
        <w:t xml:space="preserve">Table </w:t>
      </w:r>
      <w:r w:rsidR="000E2A06" w:rsidRPr="006445F4">
        <w:t>7</w:t>
      </w:r>
      <w:r w:rsidR="00E15765" w:rsidRPr="006445F4">
        <w:t xml:space="preserve">: </w:t>
      </w:r>
      <w:r w:rsidR="004179E9" w:rsidRPr="006445F4">
        <w:t>Determinants of Investment</w:t>
      </w:r>
    </w:p>
    <w:p w14:paraId="26D8A22D" w14:textId="209A45E6" w:rsidR="004179E9" w:rsidRDefault="005B7D3E" w:rsidP="0032217C">
      <w:pPr>
        <w:jc w:val="both"/>
      </w:pPr>
      <w:r>
        <w:t xml:space="preserve">Panel A: </w:t>
      </w:r>
      <w:r w:rsidR="0032217C" w:rsidRPr="00FF5565">
        <w:rPr>
          <w:i/>
          <w:iCs/>
        </w:rPr>
        <w:t>Inv1</w:t>
      </w:r>
      <w:r>
        <w:t xml:space="preserve"> Regressions</w:t>
      </w:r>
    </w:p>
    <w:p w14:paraId="5FD25197" w14:textId="5A2F034A" w:rsidR="004179E9" w:rsidRPr="0042218F" w:rsidRDefault="007E7140" w:rsidP="00FF5565">
      <w:pPr>
        <w:tabs>
          <w:tab w:val="left" w:pos="3827"/>
        </w:tabs>
        <w:jc w:val="both"/>
      </w:pPr>
      <w:r>
        <w:tab/>
      </w:r>
    </w:p>
    <w:tbl>
      <w:tblPr>
        <w:tblW w:w="9464" w:type="dxa"/>
        <w:jc w:val="center"/>
        <w:tblLayout w:type="fixed"/>
        <w:tblLook w:val="0000" w:firstRow="0" w:lastRow="0" w:firstColumn="0" w:lastColumn="0" w:noHBand="0" w:noVBand="0"/>
      </w:tblPr>
      <w:tblGrid>
        <w:gridCol w:w="903"/>
        <w:gridCol w:w="725"/>
        <w:gridCol w:w="991"/>
        <w:gridCol w:w="977"/>
        <w:gridCol w:w="14"/>
        <w:gridCol w:w="963"/>
        <w:gridCol w:w="28"/>
        <w:gridCol w:w="949"/>
        <w:gridCol w:w="28"/>
        <w:gridCol w:w="943"/>
        <w:gridCol w:w="28"/>
        <w:gridCol w:w="901"/>
        <w:gridCol w:w="28"/>
        <w:gridCol w:w="966"/>
        <w:gridCol w:w="28"/>
        <w:gridCol w:w="964"/>
        <w:gridCol w:w="28"/>
      </w:tblGrid>
      <w:tr w:rsidR="00D05738" w:rsidRPr="00C8257C" w14:paraId="3943032E" w14:textId="77777777" w:rsidTr="00D05738">
        <w:trPr>
          <w:jc w:val="center"/>
        </w:trPr>
        <w:tc>
          <w:tcPr>
            <w:tcW w:w="903" w:type="dxa"/>
            <w:tcBorders>
              <w:top w:val="single" w:sz="4" w:space="0" w:color="auto"/>
              <w:left w:val="nil"/>
              <w:bottom w:val="nil"/>
              <w:right w:val="nil"/>
            </w:tcBorders>
          </w:tcPr>
          <w:p w14:paraId="2291055E" w14:textId="77777777" w:rsidR="00D05738" w:rsidRPr="00C8257C" w:rsidRDefault="00D05738" w:rsidP="00FF5565">
            <w:pPr>
              <w:widowControl w:val="0"/>
              <w:autoSpaceDE w:val="0"/>
              <w:autoSpaceDN w:val="0"/>
              <w:adjustRightInd w:val="0"/>
              <w:ind w:right="-117"/>
              <w:rPr>
                <w:sz w:val="22"/>
                <w:szCs w:val="22"/>
              </w:rPr>
            </w:pPr>
          </w:p>
        </w:tc>
        <w:tc>
          <w:tcPr>
            <w:tcW w:w="725" w:type="dxa"/>
            <w:tcBorders>
              <w:top w:val="single" w:sz="4" w:space="0" w:color="auto"/>
              <w:left w:val="nil"/>
              <w:bottom w:val="nil"/>
              <w:right w:val="nil"/>
            </w:tcBorders>
          </w:tcPr>
          <w:p w14:paraId="3087B620" w14:textId="77777777" w:rsidR="00D05738" w:rsidRPr="00C8257C" w:rsidRDefault="00D05738" w:rsidP="007E20C2">
            <w:pPr>
              <w:widowControl w:val="0"/>
              <w:autoSpaceDE w:val="0"/>
              <w:autoSpaceDN w:val="0"/>
              <w:adjustRightInd w:val="0"/>
              <w:jc w:val="center"/>
              <w:rPr>
                <w:sz w:val="22"/>
                <w:szCs w:val="22"/>
              </w:rPr>
            </w:pPr>
          </w:p>
        </w:tc>
        <w:tc>
          <w:tcPr>
            <w:tcW w:w="991" w:type="dxa"/>
            <w:tcBorders>
              <w:top w:val="single" w:sz="4" w:space="0" w:color="auto"/>
              <w:left w:val="nil"/>
              <w:bottom w:val="nil"/>
              <w:right w:val="nil"/>
            </w:tcBorders>
          </w:tcPr>
          <w:p w14:paraId="744F1535" w14:textId="73C8B834" w:rsidR="00D05738" w:rsidRPr="00C8257C" w:rsidRDefault="00D05738" w:rsidP="00D05738">
            <w:pPr>
              <w:widowControl w:val="0"/>
              <w:autoSpaceDE w:val="0"/>
              <w:autoSpaceDN w:val="0"/>
              <w:adjustRightInd w:val="0"/>
              <w:ind w:right="-97"/>
              <w:jc w:val="center"/>
              <w:rPr>
                <w:sz w:val="22"/>
                <w:szCs w:val="22"/>
              </w:rPr>
            </w:pPr>
            <w:r w:rsidRPr="00C8257C">
              <w:rPr>
                <w:sz w:val="22"/>
                <w:szCs w:val="22"/>
              </w:rPr>
              <w:t>(</w:t>
            </w:r>
            <w:r>
              <w:rPr>
                <w:sz w:val="22"/>
                <w:szCs w:val="22"/>
              </w:rPr>
              <w:t>1</w:t>
            </w:r>
            <w:r w:rsidRPr="00C8257C">
              <w:rPr>
                <w:sz w:val="22"/>
                <w:szCs w:val="22"/>
              </w:rPr>
              <w:t>)</w:t>
            </w:r>
          </w:p>
        </w:tc>
        <w:tc>
          <w:tcPr>
            <w:tcW w:w="991" w:type="dxa"/>
            <w:gridSpan w:val="2"/>
            <w:tcBorders>
              <w:top w:val="single" w:sz="4" w:space="0" w:color="auto"/>
              <w:left w:val="nil"/>
              <w:bottom w:val="nil"/>
              <w:right w:val="nil"/>
            </w:tcBorders>
          </w:tcPr>
          <w:p w14:paraId="18ED905C" w14:textId="671CADE1" w:rsidR="00D05738" w:rsidRPr="00C8257C" w:rsidRDefault="00D05738" w:rsidP="00D05738">
            <w:pPr>
              <w:widowControl w:val="0"/>
              <w:autoSpaceDE w:val="0"/>
              <w:autoSpaceDN w:val="0"/>
              <w:adjustRightInd w:val="0"/>
              <w:ind w:right="-97"/>
              <w:jc w:val="center"/>
              <w:rPr>
                <w:sz w:val="22"/>
                <w:szCs w:val="22"/>
              </w:rPr>
            </w:pPr>
            <w:r w:rsidRPr="00C8257C">
              <w:rPr>
                <w:sz w:val="22"/>
                <w:szCs w:val="22"/>
              </w:rPr>
              <w:t>(</w:t>
            </w:r>
            <w:r>
              <w:rPr>
                <w:sz w:val="22"/>
                <w:szCs w:val="22"/>
              </w:rPr>
              <w:t>2</w:t>
            </w:r>
            <w:r w:rsidRPr="00C8257C">
              <w:rPr>
                <w:sz w:val="22"/>
                <w:szCs w:val="22"/>
              </w:rPr>
              <w:t>)</w:t>
            </w:r>
          </w:p>
        </w:tc>
        <w:tc>
          <w:tcPr>
            <w:tcW w:w="991" w:type="dxa"/>
            <w:gridSpan w:val="2"/>
            <w:tcBorders>
              <w:top w:val="single" w:sz="4" w:space="0" w:color="auto"/>
              <w:left w:val="nil"/>
              <w:bottom w:val="nil"/>
              <w:right w:val="nil"/>
            </w:tcBorders>
          </w:tcPr>
          <w:p w14:paraId="6162AE55" w14:textId="54664350" w:rsidR="00D05738" w:rsidRPr="00C8257C" w:rsidRDefault="00D05738" w:rsidP="00FF5565">
            <w:pPr>
              <w:widowControl w:val="0"/>
              <w:autoSpaceDE w:val="0"/>
              <w:autoSpaceDN w:val="0"/>
              <w:adjustRightInd w:val="0"/>
              <w:ind w:right="-97"/>
              <w:jc w:val="center"/>
              <w:rPr>
                <w:sz w:val="22"/>
                <w:szCs w:val="22"/>
              </w:rPr>
            </w:pPr>
            <w:r w:rsidRPr="00C8257C">
              <w:rPr>
                <w:sz w:val="22"/>
                <w:szCs w:val="22"/>
              </w:rPr>
              <w:t>(3)</w:t>
            </w:r>
          </w:p>
        </w:tc>
        <w:tc>
          <w:tcPr>
            <w:tcW w:w="977" w:type="dxa"/>
            <w:gridSpan w:val="2"/>
            <w:tcBorders>
              <w:top w:val="single" w:sz="4" w:space="0" w:color="auto"/>
              <w:left w:val="nil"/>
              <w:bottom w:val="nil"/>
              <w:right w:val="nil"/>
            </w:tcBorders>
          </w:tcPr>
          <w:p w14:paraId="21C6E260" w14:textId="62818226" w:rsidR="00D05738" w:rsidRPr="00C8257C" w:rsidRDefault="00D05738" w:rsidP="00FF5565">
            <w:pPr>
              <w:widowControl w:val="0"/>
              <w:autoSpaceDE w:val="0"/>
              <w:autoSpaceDN w:val="0"/>
              <w:adjustRightInd w:val="0"/>
              <w:ind w:right="-100"/>
              <w:jc w:val="center"/>
              <w:rPr>
                <w:sz w:val="22"/>
                <w:szCs w:val="22"/>
              </w:rPr>
            </w:pPr>
            <w:r w:rsidRPr="00C8257C">
              <w:rPr>
                <w:sz w:val="22"/>
                <w:szCs w:val="22"/>
              </w:rPr>
              <w:t>(4)</w:t>
            </w:r>
          </w:p>
        </w:tc>
        <w:tc>
          <w:tcPr>
            <w:tcW w:w="971" w:type="dxa"/>
            <w:gridSpan w:val="2"/>
            <w:tcBorders>
              <w:top w:val="single" w:sz="4" w:space="0" w:color="auto"/>
              <w:left w:val="nil"/>
              <w:bottom w:val="nil"/>
              <w:right w:val="nil"/>
            </w:tcBorders>
          </w:tcPr>
          <w:p w14:paraId="65E73B23" w14:textId="27017C06" w:rsidR="00D05738" w:rsidRPr="00C8257C" w:rsidRDefault="00D05738" w:rsidP="00FF5565">
            <w:pPr>
              <w:widowControl w:val="0"/>
              <w:autoSpaceDE w:val="0"/>
              <w:autoSpaceDN w:val="0"/>
              <w:adjustRightInd w:val="0"/>
              <w:ind w:right="-117"/>
              <w:jc w:val="center"/>
              <w:rPr>
                <w:sz w:val="22"/>
                <w:szCs w:val="22"/>
              </w:rPr>
            </w:pPr>
            <w:r w:rsidRPr="00C8257C">
              <w:rPr>
                <w:sz w:val="22"/>
                <w:szCs w:val="22"/>
              </w:rPr>
              <w:t>(5)</w:t>
            </w:r>
          </w:p>
        </w:tc>
        <w:tc>
          <w:tcPr>
            <w:tcW w:w="929" w:type="dxa"/>
            <w:gridSpan w:val="2"/>
            <w:tcBorders>
              <w:top w:val="single" w:sz="4" w:space="0" w:color="auto"/>
              <w:left w:val="nil"/>
              <w:bottom w:val="nil"/>
              <w:right w:val="nil"/>
            </w:tcBorders>
          </w:tcPr>
          <w:p w14:paraId="72D4ABBE" w14:textId="35C9F2EC" w:rsidR="00D05738" w:rsidRPr="00C8257C" w:rsidRDefault="00D05738" w:rsidP="00FF5565">
            <w:pPr>
              <w:widowControl w:val="0"/>
              <w:autoSpaceDE w:val="0"/>
              <w:autoSpaceDN w:val="0"/>
              <w:adjustRightInd w:val="0"/>
              <w:ind w:right="-117"/>
              <w:jc w:val="center"/>
              <w:rPr>
                <w:sz w:val="22"/>
                <w:szCs w:val="22"/>
              </w:rPr>
            </w:pPr>
            <w:r w:rsidRPr="00C8257C">
              <w:rPr>
                <w:sz w:val="22"/>
                <w:szCs w:val="22"/>
              </w:rPr>
              <w:t>(</w:t>
            </w:r>
            <w:r>
              <w:rPr>
                <w:sz w:val="22"/>
                <w:szCs w:val="22"/>
              </w:rPr>
              <w:t>6</w:t>
            </w:r>
            <w:r w:rsidRPr="00C8257C">
              <w:rPr>
                <w:sz w:val="22"/>
                <w:szCs w:val="22"/>
              </w:rPr>
              <w:t>)</w:t>
            </w:r>
          </w:p>
        </w:tc>
        <w:tc>
          <w:tcPr>
            <w:tcW w:w="994" w:type="dxa"/>
            <w:gridSpan w:val="2"/>
            <w:tcBorders>
              <w:top w:val="single" w:sz="4" w:space="0" w:color="auto"/>
              <w:left w:val="nil"/>
              <w:bottom w:val="nil"/>
              <w:right w:val="nil"/>
            </w:tcBorders>
          </w:tcPr>
          <w:p w14:paraId="70BEF3EB" w14:textId="0229F730" w:rsidR="00D05738" w:rsidRPr="00C8257C" w:rsidRDefault="00D05738" w:rsidP="00D05738">
            <w:pPr>
              <w:widowControl w:val="0"/>
              <w:autoSpaceDE w:val="0"/>
              <w:autoSpaceDN w:val="0"/>
              <w:adjustRightInd w:val="0"/>
              <w:ind w:right="-117"/>
              <w:jc w:val="center"/>
              <w:rPr>
                <w:sz w:val="22"/>
                <w:szCs w:val="22"/>
              </w:rPr>
            </w:pPr>
            <w:r w:rsidRPr="00C8257C">
              <w:rPr>
                <w:sz w:val="22"/>
                <w:szCs w:val="22"/>
              </w:rPr>
              <w:t>(</w:t>
            </w:r>
            <w:r>
              <w:rPr>
                <w:sz w:val="22"/>
                <w:szCs w:val="22"/>
              </w:rPr>
              <w:t>7</w:t>
            </w:r>
            <w:r w:rsidRPr="00C8257C">
              <w:rPr>
                <w:sz w:val="22"/>
                <w:szCs w:val="22"/>
              </w:rPr>
              <w:t>)</w:t>
            </w:r>
          </w:p>
        </w:tc>
        <w:tc>
          <w:tcPr>
            <w:tcW w:w="992" w:type="dxa"/>
            <w:gridSpan w:val="2"/>
            <w:tcBorders>
              <w:top w:val="single" w:sz="4" w:space="0" w:color="auto"/>
              <w:left w:val="nil"/>
              <w:bottom w:val="nil"/>
              <w:right w:val="nil"/>
            </w:tcBorders>
          </w:tcPr>
          <w:p w14:paraId="2C5A4B6B" w14:textId="599E8790" w:rsidR="00D05738" w:rsidRPr="00C8257C" w:rsidRDefault="00D05738" w:rsidP="00D05738">
            <w:pPr>
              <w:widowControl w:val="0"/>
              <w:autoSpaceDE w:val="0"/>
              <w:autoSpaceDN w:val="0"/>
              <w:adjustRightInd w:val="0"/>
              <w:ind w:right="-117"/>
              <w:jc w:val="center"/>
              <w:rPr>
                <w:sz w:val="22"/>
                <w:szCs w:val="22"/>
              </w:rPr>
            </w:pPr>
            <w:r w:rsidRPr="00C8257C">
              <w:rPr>
                <w:sz w:val="22"/>
                <w:szCs w:val="22"/>
              </w:rPr>
              <w:t>(</w:t>
            </w:r>
            <w:r>
              <w:rPr>
                <w:sz w:val="22"/>
                <w:szCs w:val="22"/>
              </w:rPr>
              <w:t>8</w:t>
            </w:r>
            <w:r w:rsidRPr="00C8257C">
              <w:rPr>
                <w:sz w:val="22"/>
                <w:szCs w:val="22"/>
              </w:rPr>
              <w:t>)</w:t>
            </w:r>
          </w:p>
        </w:tc>
      </w:tr>
      <w:tr w:rsidR="00D05738" w:rsidRPr="00C8257C" w14:paraId="339B1690" w14:textId="77777777" w:rsidTr="00D05738">
        <w:trPr>
          <w:trHeight w:val="234"/>
          <w:jc w:val="center"/>
        </w:trPr>
        <w:tc>
          <w:tcPr>
            <w:tcW w:w="903" w:type="dxa"/>
            <w:tcBorders>
              <w:top w:val="nil"/>
              <w:left w:val="nil"/>
              <w:bottom w:val="nil"/>
              <w:right w:val="nil"/>
            </w:tcBorders>
          </w:tcPr>
          <w:p w14:paraId="5ADDDCBE" w14:textId="77777777" w:rsidR="00D05738" w:rsidRPr="00C8257C" w:rsidRDefault="00D05738" w:rsidP="00FF5565">
            <w:pPr>
              <w:widowControl w:val="0"/>
              <w:autoSpaceDE w:val="0"/>
              <w:autoSpaceDN w:val="0"/>
              <w:adjustRightInd w:val="0"/>
              <w:ind w:right="-117"/>
              <w:rPr>
                <w:sz w:val="22"/>
                <w:szCs w:val="22"/>
              </w:rPr>
            </w:pPr>
          </w:p>
        </w:tc>
        <w:tc>
          <w:tcPr>
            <w:tcW w:w="725" w:type="dxa"/>
            <w:tcBorders>
              <w:top w:val="nil"/>
              <w:left w:val="nil"/>
              <w:bottom w:val="nil"/>
              <w:right w:val="nil"/>
            </w:tcBorders>
          </w:tcPr>
          <w:p w14:paraId="0C6A477C" w14:textId="6B8BE8B9" w:rsidR="00D05738" w:rsidRPr="00C8257C" w:rsidRDefault="00D05738" w:rsidP="007E20C2">
            <w:pPr>
              <w:widowControl w:val="0"/>
              <w:autoSpaceDE w:val="0"/>
              <w:autoSpaceDN w:val="0"/>
              <w:adjustRightInd w:val="0"/>
              <w:jc w:val="center"/>
              <w:rPr>
                <w:sz w:val="22"/>
                <w:szCs w:val="22"/>
              </w:rPr>
            </w:pPr>
            <w:r w:rsidRPr="00C8257C">
              <w:rPr>
                <w:sz w:val="22"/>
                <w:szCs w:val="22"/>
              </w:rPr>
              <w:t>Pred</w:t>
            </w:r>
            <w:r>
              <w:rPr>
                <w:sz w:val="22"/>
                <w:szCs w:val="22"/>
              </w:rPr>
              <w:t>.</w:t>
            </w:r>
          </w:p>
        </w:tc>
        <w:tc>
          <w:tcPr>
            <w:tcW w:w="991" w:type="dxa"/>
            <w:tcBorders>
              <w:top w:val="nil"/>
              <w:left w:val="nil"/>
              <w:bottom w:val="nil"/>
              <w:right w:val="nil"/>
            </w:tcBorders>
          </w:tcPr>
          <w:p w14:paraId="4C1736AB" w14:textId="17C7976D" w:rsidR="00D05738" w:rsidRPr="00C8257C" w:rsidRDefault="00D05738" w:rsidP="00FF5565">
            <w:pPr>
              <w:widowControl w:val="0"/>
              <w:autoSpaceDE w:val="0"/>
              <w:autoSpaceDN w:val="0"/>
              <w:adjustRightInd w:val="0"/>
              <w:ind w:right="-97"/>
              <w:jc w:val="center"/>
              <w:rPr>
                <w:i/>
                <w:sz w:val="22"/>
                <w:szCs w:val="22"/>
              </w:rPr>
            </w:pPr>
            <w:r w:rsidRPr="00C8257C">
              <w:rPr>
                <w:i/>
                <w:sz w:val="22"/>
                <w:szCs w:val="22"/>
              </w:rPr>
              <w:t>INV</w:t>
            </w:r>
            <w:r>
              <w:rPr>
                <w:i/>
                <w:sz w:val="22"/>
                <w:szCs w:val="22"/>
              </w:rPr>
              <w:t>1</w:t>
            </w:r>
          </w:p>
        </w:tc>
        <w:tc>
          <w:tcPr>
            <w:tcW w:w="991" w:type="dxa"/>
            <w:gridSpan w:val="2"/>
            <w:tcBorders>
              <w:top w:val="nil"/>
              <w:left w:val="nil"/>
              <w:bottom w:val="nil"/>
              <w:right w:val="nil"/>
            </w:tcBorders>
          </w:tcPr>
          <w:p w14:paraId="31992440" w14:textId="5F08F18F" w:rsidR="00D05738" w:rsidRPr="00C8257C" w:rsidRDefault="00D05738" w:rsidP="00FF5565">
            <w:pPr>
              <w:widowControl w:val="0"/>
              <w:autoSpaceDE w:val="0"/>
              <w:autoSpaceDN w:val="0"/>
              <w:adjustRightInd w:val="0"/>
              <w:ind w:right="-97"/>
              <w:jc w:val="center"/>
              <w:rPr>
                <w:i/>
                <w:sz w:val="22"/>
                <w:szCs w:val="22"/>
              </w:rPr>
            </w:pPr>
            <w:r w:rsidRPr="00C8257C">
              <w:rPr>
                <w:i/>
                <w:sz w:val="22"/>
                <w:szCs w:val="22"/>
              </w:rPr>
              <w:t>INV</w:t>
            </w:r>
            <w:r>
              <w:rPr>
                <w:i/>
                <w:sz w:val="22"/>
                <w:szCs w:val="22"/>
              </w:rPr>
              <w:t>1</w:t>
            </w:r>
          </w:p>
        </w:tc>
        <w:tc>
          <w:tcPr>
            <w:tcW w:w="991" w:type="dxa"/>
            <w:gridSpan w:val="2"/>
            <w:tcBorders>
              <w:top w:val="nil"/>
              <w:left w:val="nil"/>
              <w:bottom w:val="nil"/>
              <w:right w:val="nil"/>
            </w:tcBorders>
          </w:tcPr>
          <w:p w14:paraId="64450715" w14:textId="6CC7E7DF" w:rsidR="00D05738" w:rsidRPr="00C8257C" w:rsidRDefault="00D05738" w:rsidP="00FF5565">
            <w:pPr>
              <w:widowControl w:val="0"/>
              <w:autoSpaceDE w:val="0"/>
              <w:autoSpaceDN w:val="0"/>
              <w:adjustRightInd w:val="0"/>
              <w:ind w:right="-97"/>
              <w:jc w:val="center"/>
              <w:rPr>
                <w:i/>
                <w:sz w:val="22"/>
                <w:szCs w:val="22"/>
              </w:rPr>
            </w:pPr>
            <w:r w:rsidRPr="00C8257C">
              <w:rPr>
                <w:i/>
                <w:sz w:val="22"/>
                <w:szCs w:val="22"/>
              </w:rPr>
              <w:t>INV</w:t>
            </w:r>
            <w:r>
              <w:rPr>
                <w:i/>
                <w:sz w:val="22"/>
                <w:szCs w:val="22"/>
              </w:rPr>
              <w:t>1</w:t>
            </w:r>
          </w:p>
        </w:tc>
        <w:tc>
          <w:tcPr>
            <w:tcW w:w="977" w:type="dxa"/>
            <w:gridSpan w:val="2"/>
            <w:tcBorders>
              <w:top w:val="nil"/>
              <w:left w:val="nil"/>
              <w:bottom w:val="nil"/>
              <w:right w:val="nil"/>
            </w:tcBorders>
          </w:tcPr>
          <w:p w14:paraId="472DA2D2" w14:textId="0CE5A8E1" w:rsidR="00D05738" w:rsidRPr="00C8257C" w:rsidRDefault="00D05738" w:rsidP="00FF5565">
            <w:pPr>
              <w:widowControl w:val="0"/>
              <w:autoSpaceDE w:val="0"/>
              <w:autoSpaceDN w:val="0"/>
              <w:adjustRightInd w:val="0"/>
              <w:ind w:right="-100"/>
              <w:jc w:val="center"/>
              <w:rPr>
                <w:i/>
                <w:sz w:val="22"/>
                <w:szCs w:val="22"/>
              </w:rPr>
            </w:pPr>
            <w:r w:rsidRPr="00C8257C">
              <w:rPr>
                <w:i/>
                <w:sz w:val="22"/>
                <w:szCs w:val="22"/>
              </w:rPr>
              <w:t>INV</w:t>
            </w:r>
            <w:r>
              <w:rPr>
                <w:i/>
                <w:sz w:val="22"/>
                <w:szCs w:val="22"/>
              </w:rPr>
              <w:t>1</w:t>
            </w:r>
          </w:p>
        </w:tc>
        <w:tc>
          <w:tcPr>
            <w:tcW w:w="971" w:type="dxa"/>
            <w:gridSpan w:val="2"/>
            <w:tcBorders>
              <w:top w:val="nil"/>
              <w:left w:val="nil"/>
              <w:bottom w:val="nil"/>
              <w:right w:val="nil"/>
            </w:tcBorders>
          </w:tcPr>
          <w:p w14:paraId="3CCC253C" w14:textId="41BF5EC3" w:rsidR="00D05738" w:rsidRPr="00C8257C" w:rsidRDefault="00D05738" w:rsidP="00FF5565">
            <w:pPr>
              <w:widowControl w:val="0"/>
              <w:autoSpaceDE w:val="0"/>
              <w:autoSpaceDN w:val="0"/>
              <w:adjustRightInd w:val="0"/>
              <w:ind w:right="-117"/>
              <w:jc w:val="center"/>
              <w:rPr>
                <w:i/>
                <w:sz w:val="22"/>
                <w:szCs w:val="22"/>
              </w:rPr>
            </w:pPr>
            <w:r w:rsidRPr="00C8257C">
              <w:rPr>
                <w:i/>
                <w:sz w:val="22"/>
                <w:szCs w:val="22"/>
              </w:rPr>
              <w:t>INV</w:t>
            </w:r>
            <w:r>
              <w:rPr>
                <w:i/>
                <w:sz w:val="22"/>
                <w:szCs w:val="22"/>
              </w:rPr>
              <w:t>1</w:t>
            </w:r>
          </w:p>
        </w:tc>
        <w:tc>
          <w:tcPr>
            <w:tcW w:w="929" w:type="dxa"/>
            <w:gridSpan w:val="2"/>
            <w:tcBorders>
              <w:top w:val="nil"/>
              <w:left w:val="nil"/>
              <w:bottom w:val="nil"/>
              <w:right w:val="nil"/>
            </w:tcBorders>
          </w:tcPr>
          <w:p w14:paraId="7EBD4B8E" w14:textId="3DA416B1" w:rsidR="00D05738" w:rsidRPr="00C8257C" w:rsidRDefault="00D05738" w:rsidP="00FF5565">
            <w:pPr>
              <w:widowControl w:val="0"/>
              <w:autoSpaceDE w:val="0"/>
              <w:autoSpaceDN w:val="0"/>
              <w:adjustRightInd w:val="0"/>
              <w:ind w:right="-117"/>
              <w:jc w:val="center"/>
              <w:rPr>
                <w:i/>
                <w:sz w:val="22"/>
                <w:szCs w:val="22"/>
              </w:rPr>
            </w:pPr>
            <w:r w:rsidRPr="00C8257C">
              <w:rPr>
                <w:i/>
                <w:sz w:val="22"/>
                <w:szCs w:val="22"/>
              </w:rPr>
              <w:t>INV</w:t>
            </w:r>
            <w:r>
              <w:rPr>
                <w:i/>
                <w:sz w:val="22"/>
                <w:szCs w:val="22"/>
              </w:rPr>
              <w:t>1</w:t>
            </w:r>
          </w:p>
        </w:tc>
        <w:tc>
          <w:tcPr>
            <w:tcW w:w="994" w:type="dxa"/>
            <w:gridSpan w:val="2"/>
            <w:tcBorders>
              <w:top w:val="nil"/>
              <w:left w:val="nil"/>
              <w:bottom w:val="nil"/>
              <w:right w:val="nil"/>
            </w:tcBorders>
          </w:tcPr>
          <w:p w14:paraId="6D058319" w14:textId="2CA47EE0" w:rsidR="00D05738" w:rsidRPr="00C8257C" w:rsidRDefault="00D05738" w:rsidP="00FF5565">
            <w:pPr>
              <w:widowControl w:val="0"/>
              <w:autoSpaceDE w:val="0"/>
              <w:autoSpaceDN w:val="0"/>
              <w:adjustRightInd w:val="0"/>
              <w:ind w:right="-117"/>
              <w:jc w:val="center"/>
              <w:rPr>
                <w:i/>
                <w:sz w:val="22"/>
                <w:szCs w:val="22"/>
              </w:rPr>
            </w:pPr>
            <w:r w:rsidRPr="00C8257C">
              <w:rPr>
                <w:i/>
                <w:sz w:val="22"/>
                <w:szCs w:val="22"/>
              </w:rPr>
              <w:t>INV</w:t>
            </w:r>
            <w:r>
              <w:rPr>
                <w:i/>
                <w:sz w:val="22"/>
                <w:szCs w:val="22"/>
              </w:rPr>
              <w:t>1</w:t>
            </w:r>
          </w:p>
        </w:tc>
        <w:tc>
          <w:tcPr>
            <w:tcW w:w="992" w:type="dxa"/>
            <w:gridSpan w:val="2"/>
            <w:tcBorders>
              <w:top w:val="nil"/>
              <w:left w:val="nil"/>
              <w:bottom w:val="nil"/>
              <w:right w:val="nil"/>
            </w:tcBorders>
          </w:tcPr>
          <w:p w14:paraId="2F17390F" w14:textId="7ECA296F" w:rsidR="00D05738" w:rsidRPr="00C8257C" w:rsidRDefault="00D05738" w:rsidP="00FF5565">
            <w:pPr>
              <w:widowControl w:val="0"/>
              <w:autoSpaceDE w:val="0"/>
              <w:autoSpaceDN w:val="0"/>
              <w:adjustRightInd w:val="0"/>
              <w:ind w:right="-117"/>
              <w:jc w:val="center"/>
              <w:rPr>
                <w:i/>
                <w:sz w:val="22"/>
                <w:szCs w:val="22"/>
              </w:rPr>
            </w:pPr>
            <w:r w:rsidRPr="00C8257C">
              <w:rPr>
                <w:i/>
                <w:sz w:val="22"/>
                <w:szCs w:val="22"/>
              </w:rPr>
              <w:t>INV</w:t>
            </w:r>
            <w:r>
              <w:rPr>
                <w:i/>
                <w:sz w:val="22"/>
                <w:szCs w:val="22"/>
              </w:rPr>
              <w:t>1</w:t>
            </w:r>
          </w:p>
        </w:tc>
      </w:tr>
      <w:tr w:rsidR="00D05738" w:rsidRPr="00C8257C" w14:paraId="15F34612" w14:textId="77777777" w:rsidTr="00D05738">
        <w:trPr>
          <w:trHeight w:val="269"/>
          <w:jc w:val="center"/>
        </w:trPr>
        <w:tc>
          <w:tcPr>
            <w:tcW w:w="903" w:type="dxa"/>
            <w:tcBorders>
              <w:top w:val="single" w:sz="4" w:space="0" w:color="auto"/>
              <w:left w:val="nil"/>
              <w:bottom w:val="nil"/>
              <w:right w:val="nil"/>
            </w:tcBorders>
          </w:tcPr>
          <w:p w14:paraId="5FBD6A0D" w14:textId="13F57C57" w:rsidR="00D05738" w:rsidRPr="00C8257C" w:rsidRDefault="00D05738" w:rsidP="00FF5565">
            <w:pPr>
              <w:widowControl w:val="0"/>
              <w:autoSpaceDE w:val="0"/>
              <w:autoSpaceDN w:val="0"/>
              <w:adjustRightInd w:val="0"/>
              <w:ind w:right="-117"/>
              <w:rPr>
                <w:i/>
                <w:sz w:val="22"/>
                <w:szCs w:val="22"/>
              </w:rPr>
            </w:pPr>
            <w:r w:rsidRPr="00C8257C">
              <w:rPr>
                <w:i/>
                <w:sz w:val="22"/>
                <w:szCs w:val="22"/>
              </w:rPr>
              <w:t>Q</w:t>
            </w:r>
          </w:p>
        </w:tc>
        <w:tc>
          <w:tcPr>
            <w:tcW w:w="725" w:type="dxa"/>
            <w:tcBorders>
              <w:top w:val="single" w:sz="4" w:space="0" w:color="auto"/>
              <w:left w:val="nil"/>
              <w:bottom w:val="nil"/>
              <w:right w:val="nil"/>
            </w:tcBorders>
          </w:tcPr>
          <w:p w14:paraId="009A6977" w14:textId="42C16B5B" w:rsidR="00D05738" w:rsidRPr="00C8257C" w:rsidRDefault="00D05738" w:rsidP="007E20C2">
            <w:pPr>
              <w:widowControl w:val="0"/>
              <w:autoSpaceDE w:val="0"/>
              <w:autoSpaceDN w:val="0"/>
              <w:adjustRightInd w:val="0"/>
              <w:jc w:val="center"/>
              <w:rPr>
                <w:sz w:val="22"/>
                <w:szCs w:val="22"/>
              </w:rPr>
            </w:pPr>
            <w:r>
              <w:rPr>
                <w:sz w:val="22"/>
                <w:szCs w:val="22"/>
              </w:rPr>
              <w:t>+</w:t>
            </w:r>
          </w:p>
        </w:tc>
        <w:tc>
          <w:tcPr>
            <w:tcW w:w="991" w:type="dxa"/>
            <w:tcBorders>
              <w:top w:val="single" w:sz="4" w:space="0" w:color="auto"/>
              <w:left w:val="nil"/>
              <w:bottom w:val="nil"/>
              <w:right w:val="nil"/>
            </w:tcBorders>
            <w:vAlign w:val="bottom"/>
          </w:tcPr>
          <w:p w14:paraId="215ED118" w14:textId="7527E74B" w:rsidR="00D05738" w:rsidRPr="00FF5565" w:rsidRDefault="00D05738" w:rsidP="00FF5565">
            <w:pPr>
              <w:widowControl w:val="0"/>
              <w:autoSpaceDE w:val="0"/>
              <w:autoSpaceDN w:val="0"/>
              <w:adjustRightInd w:val="0"/>
              <w:ind w:right="-97"/>
              <w:jc w:val="center"/>
              <w:rPr>
                <w:rFonts w:eastAsia="Times New Roman"/>
                <w:color w:val="000000"/>
                <w:sz w:val="18"/>
                <w:szCs w:val="18"/>
              </w:rPr>
            </w:pPr>
            <w:r w:rsidRPr="00FF5565">
              <w:rPr>
                <w:rFonts w:eastAsia="Times New Roman"/>
                <w:color w:val="000000"/>
                <w:sz w:val="18"/>
                <w:szCs w:val="18"/>
              </w:rPr>
              <w:t>0.0394***</w:t>
            </w:r>
          </w:p>
        </w:tc>
        <w:tc>
          <w:tcPr>
            <w:tcW w:w="991" w:type="dxa"/>
            <w:gridSpan w:val="2"/>
            <w:tcBorders>
              <w:top w:val="single" w:sz="4" w:space="0" w:color="auto"/>
              <w:left w:val="nil"/>
              <w:bottom w:val="nil"/>
              <w:right w:val="nil"/>
            </w:tcBorders>
            <w:vAlign w:val="bottom"/>
          </w:tcPr>
          <w:p w14:paraId="4D8844A8" w14:textId="16E11B1D" w:rsidR="00D05738" w:rsidRPr="00FF5565" w:rsidRDefault="00D05738" w:rsidP="00FF5565">
            <w:pPr>
              <w:widowControl w:val="0"/>
              <w:autoSpaceDE w:val="0"/>
              <w:autoSpaceDN w:val="0"/>
              <w:adjustRightInd w:val="0"/>
              <w:ind w:right="-97"/>
              <w:jc w:val="center"/>
              <w:rPr>
                <w:rFonts w:eastAsia="Times New Roman"/>
                <w:color w:val="000000"/>
                <w:sz w:val="18"/>
                <w:szCs w:val="18"/>
              </w:rPr>
            </w:pPr>
            <w:r w:rsidRPr="00FF5565">
              <w:rPr>
                <w:rFonts w:eastAsia="Times New Roman"/>
                <w:color w:val="000000"/>
                <w:sz w:val="18"/>
                <w:szCs w:val="18"/>
              </w:rPr>
              <w:t>0.0397***</w:t>
            </w:r>
          </w:p>
        </w:tc>
        <w:tc>
          <w:tcPr>
            <w:tcW w:w="991" w:type="dxa"/>
            <w:gridSpan w:val="2"/>
            <w:tcBorders>
              <w:top w:val="single" w:sz="4" w:space="0" w:color="auto"/>
              <w:left w:val="nil"/>
              <w:bottom w:val="nil"/>
              <w:right w:val="nil"/>
            </w:tcBorders>
            <w:vAlign w:val="bottom"/>
          </w:tcPr>
          <w:p w14:paraId="3ECCAD8F" w14:textId="5B1074D4" w:rsidR="00D05738" w:rsidRPr="00FF5565" w:rsidRDefault="00D05738" w:rsidP="00FF5565">
            <w:pPr>
              <w:widowControl w:val="0"/>
              <w:autoSpaceDE w:val="0"/>
              <w:autoSpaceDN w:val="0"/>
              <w:adjustRightInd w:val="0"/>
              <w:ind w:right="-97"/>
              <w:jc w:val="center"/>
              <w:rPr>
                <w:sz w:val="18"/>
                <w:szCs w:val="18"/>
              </w:rPr>
            </w:pPr>
            <w:r w:rsidRPr="00FF5565">
              <w:rPr>
                <w:rFonts w:eastAsia="Times New Roman"/>
                <w:color w:val="000000"/>
                <w:sz w:val="18"/>
                <w:szCs w:val="18"/>
              </w:rPr>
              <w:t>0.0154***</w:t>
            </w:r>
          </w:p>
        </w:tc>
        <w:tc>
          <w:tcPr>
            <w:tcW w:w="977" w:type="dxa"/>
            <w:gridSpan w:val="2"/>
            <w:tcBorders>
              <w:top w:val="single" w:sz="4" w:space="0" w:color="auto"/>
              <w:left w:val="nil"/>
              <w:bottom w:val="nil"/>
              <w:right w:val="nil"/>
            </w:tcBorders>
            <w:vAlign w:val="bottom"/>
          </w:tcPr>
          <w:p w14:paraId="4D2B0AAF" w14:textId="16770991" w:rsidR="00D05738" w:rsidRPr="00FF5565" w:rsidRDefault="00D05738" w:rsidP="00FF5565">
            <w:pPr>
              <w:widowControl w:val="0"/>
              <w:autoSpaceDE w:val="0"/>
              <w:autoSpaceDN w:val="0"/>
              <w:adjustRightInd w:val="0"/>
              <w:ind w:right="-100"/>
              <w:jc w:val="center"/>
              <w:rPr>
                <w:sz w:val="18"/>
                <w:szCs w:val="18"/>
              </w:rPr>
            </w:pPr>
            <w:r w:rsidRPr="00FF5565">
              <w:rPr>
                <w:rFonts w:eastAsia="Times New Roman"/>
                <w:color w:val="000000"/>
                <w:sz w:val="18"/>
                <w:szCs w:val="18"/>
              </w:rPr>
              <w:t>0.0159***</w:t>
            </w:r>
          </w:p>
        </w:tc>
        <w:tc>
          <w:tcPr>
            <w:tcW w:w="971" w:type="dxa"/>
            <w:gridSpan w:val="2"/>
            <w:tcBorders>
              <w:top w:val="single" w:sz="4" w:space="0" w:color="auto"/>
              <w:left w:val="nil"/>
              <w:bottom w:val="nil"/>
              <w:right w:val="nil"/>
            </w:tcBorders>
            <w:vAlign w:val="bottom"/>
          </w:tcPr>
          <w:p w14:paraId="0745C8AC" w14:textId="1C977388" w:rsidR="00D05738" w:rsidRPr="00FF5565" w:rsidRDefault="00D05738" w:rsidP="00FF5565">
            <w:pPr>
              <w:widowControl w:val="0"/>
              <w:autoSpaceDE w:val="0"/>
              <w:autoSpaceDN w:val="0"/>
              <w:adjustRightInd w:val="0"/>
              <w:ind w:right="-117"/>
              <w:jc w:val="center"/>
              <w:rPr>
                <w:sz w:val="18"/>
                <w:szCs w:val="18"/>
              </w:rPr>
            </w:pPr>
            <w:r w:rsidRPr="00FF5565">
              <w:rPr>
                <w:rFonts w:eastAsia="Times New Roman"/>
                <w:color w:val="000000"/>
                <w:sz w:val="18"/>
                <w:szCs w:val="18"/>
              </w:rPr>
              <w:t>0.0174**</w:t>
            </w:r>
          </w:p>
        </w:tc>
        <w:tc>
          <w:tcPr>
            <w:tcW w:w="929" w:type="dxa"/>
            <w:gridSpan w:val="2"/>
            <w:tcBorders>
              <w:top w:val="single" w:sz="4" w:space="0" w:color="auto"/>
              <w:left w:val="nil"/>
              <w:bottom w:val="nil"/>
              <w:right w:val="nil"/>
            </w:tcBorders>
            <w:vAlign w:val="bottom"/>
          </w:tcPr>
          <w:p w14:paraId="1B3033F2" w14:textId="37C32880" w:rsidR="00D05738" w:rsidRPr="00FF5565" w:rsidRDefault="00D05738" w:rsidP="00FF5565">
            <w:pPr>
              <w:widowControl w:val="0"/>
              <w:autoSpaceDE w:val="0"/>
              <w:autoSpaceDN w:val="0"/>
              <w:adjustRightInd w:val="0"/>
              <w:ind w:right="-117"/>
              <w:jc w:val="center"/>
              <w:rPr>
                <w:sz w:val="18"/>
                <w:szCs w:val="18"/>
              </w:rPr>
            </w:pPr>
            <w:r w:rsidRPr="00FF5565">
              <w:rPr>
                <w:rFonts w:eastAsia="Times New Roman"/>
                <w:color w:val="000000"/>
                <w:sz w:val="18"/>
                <w:szCs w:val="18"/>
              </w:rPr>
              <w:t>0.0180***</w:t>
            </w:r>
          </w:p>
        </w:tc>
        <w:tc>
          <w:tcPr>
            <w:tcW w:w="994" w:type="dxa"/>
            <w:gridSpan w:val="2"/>
            <w:tcBorders>
              <w:top w:val="single" w:sz="4" w:space="0" w:color="auto"/>
              <w:left w:val="nil"/>
              <w:bottom w:val="nil"/>
              <w:right w:val="nil"/>
            </w:tcBorders>
            <w:vAlign w:val="bottom"/>
          </w:tcPr>
          <w:p w14:paraId="54C2DDFE" w14:textId="38F66AD5" w:rsidR="00D05738" w:rsidRPr="00FF5565" w:rsidRDefault="00D05738" w:rsidP="00FF5565">
            <w:pPr>
              <w:widowControl w:val="0"/>
              <w:autoSpaceDE w:val="0"/>
              <w:autoSpaceDN w:val="0"/>
              <w:adjustRightInd w:val="0"/>
              <w:ind w:right="-117"/>
              <w:jc w:val="center"/>
              <w:rPr>
                <w:rFonts w:eastAsia="Times New Roman"/>
                <w:color w:val="000000"/>
                <w:sz w:val="18"/>
                <w:szCs w:val="18"/>
              </w:rPr>
            </w:pPr>
            <w:r w:rsidRPr="00FF5565">
              <w:rPr>
                <w:rFonts w:eastAsia="Times New Roman"/>
                <w:color w:val="000000"/>
                <w:sz w:val="18"/>
                <w:szCs w:val="18"/>
              </w:rPr>
              <w:t>0.0003*</w:t>
            </w:r>
          </w:p>
        </w:tc>
        <w:tc>
          <w:tcPr>
            <w:tcW w:w="992" w:type="dxa"/>
            <w:gridSpan w:val="2"/>
            <w:tcBorders>
              <w:top w:val="single" w:sz="4" w:space="0" w:color="auto"/>
              <w:left w:val="nil"/>
              <w:bottom w:val="nil"/>
              <w:right w:val="nil"/>
            </w:tcBorders>
            <w:vAlign w:val="bottom"/>
          </w:tcPr>
          <w:p w14:paraId="4FEBBD76" w14:textId="606D36BB" w:rsidR="00D05738" w:rsidRPr="00FF5565" w:rsidRDefault="00D05738" w:rsidP="00FF5565">
            <w:pPr>
              <w:widowControl w:val="0"/>
              <w:autoSpaceDE w:val="0"/>
              <w:autoSpaceDN w:val="0"/>
              <w:adjustRightInd w:val="0"/>
              <w:ind w:right="-117"/>
              <w:jc w:val="center"/>
              <w:rPr>
                <w:rFonts w:eastAsia="Times New Roman"/>
                <w:color w:val="000000"/>
                <w:sz w:val="18"/>
                <w:szCs w:val="18"/>
              </w:rPr>
            </w:pPr>
            <w:r w:rsidRPr="00FF5565">
              <w:rPr>
                <w:rFonts w:eastAsia="Times New Roman"/>
                <w:color w:val="000000"/>
                <w:sz w:val="18"/>
                <w:szCs w:val="18"/>
              </w:rPr>
              <w:t>0.0003*</w:t>
            </w:r>
          </w:p>
        </w:tc>
      </w:tr>
      <w:tr w:rsidR="00D05738" w:rsidRPr="00C8257C" w14:paraId="06E39232" w14:textId="77777777" w:rsidTr="008F1EE3">
        <w:trPr>
          <w:jc w:val="center"/>
        </w:trPr>
        <w:tc>
          <w:tcPr>
            <w:tcW w:w="903" w:type="dxa"/>
            <w:tcBorders>
              <w:top w:val="nil"/>
              <w:left w:val="nil"/>
              <w:bottom w:val="nil"/>
              <w:right w:val="nil"/>
            </w:tcBorders>
          </w:tcPr>
          <w:p w14:paraId="003B0160" w14:textId="77777777" w:rsidR="00D05738" w:rsidRPr="00C8257C" w:rsidRDefault="00D05738" w:rsidP="00FF5565">
            <w:pPr>
              <w:widowControl w:val="0"/>
              <w:autoSpaceDE w:val="0"/>
              <w:autoSpaceDN w:val="0"/>
              <w:adjustRightInd w:val="0"/>
              <w:ind w:right="-117"/>
              <w:rPr>
                <w:i/>
                <w:sz w:val="22"/>
                <w:szCs w:val="22"/>
              </w:rPr>
            </w:pPr>
          </w:p>
        </w:tc>
        <w:tc>
          <w:tcPr>
            <w:tcW w:w="725" w:type="dxa"/>
            <w:tcBorders>
              <w:top w:val="nil"/>
              <w:left w:val="nil"/>
              <w:bottom w:val="nil"/>
              <w:right w:val="nil"/>
            </w:tcBorders>
          </w:tcPr>
          <w:p w14:paraId="72B08302" w14:textId="77777777" w:rsidR="00D05738" w:rsidRPr="00C8257C" w:rsidRDefault="00D05738" w:rsidP="007E20C2">
            <w:pPr>
              <w:widowControl w:val="0"/>
              <w:autoSpaceDE w:val="0"/>
              <w:autoSpaceDN w:val="0"/>
              <w:adjustRightInd w:val="0"/>
              <w:jc w:val="center"/>
              <w:rPr>
                <w:sz w:val="22"/>
                <w:szCs w:val="22"/>
              </w:rPr>
            </w:pPr>
          </w:p>
        </w:tc>
        <w:tc>
          <w:tcPr>
            <w:tcW w:w="991" w:type="dxa"/>
            <w:tcBorders>
              <w:top w:val="nil"/>
              <w:left w:val="nil"/>
              <w:bottom w:val="nil"/>
              <w:right w:val="nil"/>
            </w:tcBorders>
            <w:vAlign w:val="bottom"/>
          </w:tcPr>
          <w:p w14:paraId="5666A867" w14:textId="54D9EC8B" w:rsidR="00D05738" w:rsidRPr="00FF5565" w:rsidRDefault="00D05738" w:rsidP="00FF5565">
            <w:pPr>
              <w:widowControl w:val="0"/>
              <w:autoSpaceDE w:val="0"/>
              <w:autoSpaceDN w:val="0"/>
              <w:adjustRightInd w:val="0"/>
              <w:ind w:right="-97"/>
              <w:jc w:val="center"/>
              <w:rPr>
                <w:rFonts w:eastAsia="Times New Roman"/>
                <w:color w:val="000000"/>
                <w:sz w:val="18"/>
                <w:szCs w:val="18"/>
              </w:rPr>
            </w:pPr>
            <w:r w:rsidRPr="00FF5565">
              <w:rPr>
                <w:rFonts w:eastAsia="Times New Roman"/>
                <w:color w:val="000000"/>
                <w:sz w:val="18"/>
                <w:szCs w:val="18"/>
              </w:rPr>
              <w:t>(7.1063)</w:t>
            </w:r>
          </w:p>
        </w:tc>
        <w:tc>
          <w:tcPr>
            <w:tcW w:w="991" w:type="dxa"/>
            <w:gridSpan w:val="2"/>
            <w:tcBorders>
              <w:top w:val="nil"/>
              <w:left w:val="nil"/>
              <w:bottom w:val="nil"/>
              <w:right w:val="nil"/>
            </w:tcBorders>
            <w:vAlign w:val="bottom"/>
          </w:tcPr>
          <w:p w14:paraId="3B5758C0" w14:textId="47547580" w:rsidR="00D05738" w:rsidRPr="00FF5565" w:rsidRDefault="00D05738" w:rsidP="00FF5565">
            <w:pPr>
              <w:widowControl w:val="0"/>
              <w:autoSpaceDE w:val="0"/>
              <w:autoSpaceDN w:val="0"/>
              <w:adjustRightInd w:val="0"/>
              <w:ind w:right="-97"/>
              <w:jc w:val="center"/>
              <w:rPr>
                <w:rFonts w:eastAsia="Times New Roman"/>
                <w:color w:val="000000"/>
                <w:sz w:val="18"/>
                <w:szCs w:val="18"/>
              </w:rPr>
            </w:pPr>
            <w:r w:rsidRPr="00FF5565">
              <w:rPr>
                <w:rFonts w:eastAsia="Times New Roman"/>
                <w:color w:val="000000"/>
                <w:sz w:val="18"/>
                <w:szCs w:val="18"/>
              </w:rPr>
              <w:t>(7.1566)</w:t>
            </w:r>
          </w:p>
        </w:tc>
        <w:tc>
          <w:tcPr>
            <w:tcW w:w="991" w:type="dxa"/>
            <w:gridSpan w:val="2"/>
            <w:tcBorders>
              <w:top w:val="nil"/>
              <w:left w:val="nil"/>
              <w:bottom w:val="nil"/>
              <w:right w:val="nil"/>
            </w:tcBorders>
            <w:vAlign w:val="bottom"/>
          </w:tcPr>
          <w:p w14:paraId="789EDA56" w14:textId="7FBED10C" w:rsidR="00D05738" w:rsidRPr="00FF5565" w:rsidRDefault="00D05738" w:rsidP="00FF5565">
            <w:pPr>
              <w:widowControl w:val="0"/>
              <w:autoSpaceDE w:val="0"/>
              <w:autoSpaceDN w:val="0"/>
              <w:adjustRightInd w:val="0"/>
              <w:ind w:right="-97"/>
              <w:jc w:val="center"/>
              <w:rPr>
                <w:sz w:val="18"/>
                <w:szCs w:val="18"/>
              </w:rPr>
            </w:pPr>
            <w:r w:rsidRPr="00FF5565">
              <w:rPr>
                <w:rFonts w:eastAsia="Times New Roman"/>
                <w:color w:val="000000"/>
                <w:sz w:val="18"/>
                <w:szCs w:val="18"/>
              </w:rPr>
              <w:t>(2.1116)</w:t>
            </w:r>
          </w:p>
        </w:tc>
        <w:tc>
          <w:tcPr>
            <w:tcW w:w="977" w:type="dxa"/>
            <w:gridSpan w:val="2"/>
            <w:tcBorders>
              <w:top w:val="nil"/>
              <w:left w:val="nil"/>
              <w:bottom w:val="nil"/>
              <w:right w:val="nil"/>
            </w:tcBorders>
            <w:vAlign w:val="bottom"/>
          </w:tcPr>
          <w:p w14:paraId="012B1227" w14:textId="421AD2C2" w:rsidR="00D05738" w:rsidRPr="00FF5565" w:rsidRDefault="00D05738" w:rsidP="00FF5565">
            <w:pPr>
              <w:widowControl w:val="0"/>
              <w:autoSpaceDE w:val="0"/>
              <w:autoSpaceDN w:val="0"/>
              <w:adjustRightInd w:val="0"/>
              <w:ind w:right="-100"/>
              <w:jc w:val="center"/>
              <w:rPr>
                <w:sz w:val="18"/>
                <w:szCs w:val="18"/>
              </w:rPr>
            </w:pPr>
            <w:r w:rsidRPr="00FF5565">
              <w:rPr>
                <w:rFonts w:eastAsia="Times New Roman"/>
                <w:color w:val="000000"/>
                <w:sz w:val="18"/>
                <w:szCs w:val="18"/>
              </w:rPr>
              <w:t>(2.1991)</w:t>
            </w:r>
          </w:p>
        </w:tc>
        <w:tc>
          <w:tcPr>
            <w:tcW w:w="971" w:type="dxa"/>
            <w:gridSpan w:val="2"/>
            <w:tcBorders>
              <w:top w:val="nil"/>
              <w:left w:val="nil"/>
              <w:bottom w:val="nil"/>
              <w:right w:val="nil"/>
            </w:tcBorders>
            <w:vAlign w:val="bottom"/>
          </w:tcPr>
          <w:p w14:paraId="6C640DD9" w14:textId="1FEA1EDE" w:rsidR="00D05738" w:rsidRPr="00FF5565" w:rsidRDefault="00D05738" w:rsidP="00FF5565">
            <w:pPr>
              <w:widowControl w:val="0"/>
              <w:autoSpaceDE w:val="0"/>
              <w:autoSpaceDN w:val="0"/>
              <w:adjustRightInd w:val="0"/>
              <w:ind w:right="-117"/>
              <w:jc w:val="center"/>
              <w:rPr>
                <w:sz w:val="18"/>
                <w:szCs w:val="18"/>
              </w:rPr>
            </w:pPr>
            <w:r w:rsidRPr="00FF5565">
              <w:rPr>
                <w:rFonts w:eastAsia="Times New Roman"/>
                <w:color w:val="000000"/>
                <w:sz w:val="18"/>
                <w:szCs w:val="18"/>
              </w:rPr>
              <w:t>(1.9226)</w:t>
            </w:r>
          </w:p>
        </w:tc>
        <w:tc>
          <w:tcPr>
            <w:tcW w:w="929" w:type="dxa"/>
            <w:gridSpan w:val="2"/>
            <w:tcBorders>
              <w:top w:val="nil"/>
              <w:left w:val="nil"/>
              <w:bottom w:val="nil"/>
              <w:right w:val="nil"/>
            </w:tcBorders>
            <w:vAlign w:val="bottom"/>
          </w:tcPr>
          <w:p w14:paraId="55743A10" w14:textId="44C313EB" w:rsidR="00D05738" w:rsidRPr="00FF5565" w:rsidRDefault="00D05738" w:rsidP="00FF5565">
            <w:pPr>
              <w:widowControl w:val="0"/>
              <w:autoSpaceDE w:val="0"/>
              <w:autoSpaceDN w:val="0"/>
              <w:adjustRightInd w:val="0"/>
              <w:ind w:right="-117"/>
              <w:jc w:val="center"/>
              <w:rPr>
                <w:sz w:val="18"/>
                <w:szCs w:val="18"/>
              </w:rPr>
            </w:pPr>
            <w:r w:rsidRPr="00FF5565">
              <w:rPr>
                <w:rFonts w:eastAsia="Times New Roman"/>
                <w:color w:val="000000"/>
                <w:sz w:val="18"/>
                <w:szCs w:val="18"/>
              </w:rPr>
              <w:t>(1.9957)</w:t>
            </w:r>
          </w:p>
        </w:tc>
        <w:tc>
          <w:tcPr>
            <w:tcW w:w="994" w:type="dxa"/>
            <w:gridSpan w:val="2"/>
            <w:tcBorders>
              <w:top w:val="nil"/>
              <w:left w:val="nil"/>
              <w:bottom w:val="nil"/>
              <w:right w:val="nil"/>
            </w:tcBorders>
            <w:vAlign w:val="bottom"/>
          </w:tcPr>
          <w:p w14:paraId="59634679" w14:textId="52F117F9" w:rsidR="00D05738" w:rsidRPr="00FF5565" w:rsidRDefault="00D05738" w:rsidP="00FF5565">
            <w:pPr>
              <w:widowControl w:val="0"/>
              <w:autoSpaceDE w:val="0"/>
              <w:autoSpaceDN w:val="0"/>
              <w:adjustRightInd w:val="0"/>
              <w:ind w:right="-117"/>
              <w:jc w:val="center"/>
              <w:rPr>
                <w:rFonts w:eastAsia="Times New Roman"/>
                <w:color w:val="000000"/>
                <w:sz w:val="18"/>
                <w:szCs w:val="18"/>
              </w:rPr>
            </w:pPr>
            <w:r w:rsidRPr="00FF5565">
              <w:rPr>
                <w:rFonts w:eastAsia="Times New Roman"/>
                <w:color w:val="000000"/>
                <w:sz w:val="18"/>
                <w:szCs w:val="18"/>
              </w:rPr>
              <w:t>(1.6175)</w:t>
            </w:r>
          </w:p>
        </w:tc>
        <w:tc>
          <w:tcPr>
            <w:tcW w:w="992" w:type="dxa"/>
            <w:gridSpan w:val="2"/>
            <w:tcBorders>
              <w:top w:val="nil"/>
              <w:left w:val="nil"/>
              <w:bottom w:val="nil"/>
              <w:right w:val="nil"/>
            </w:tcBorders>
            <w:vAlign w:val="bottom"/>
          </w:tcPr>
          <w:p w14:paraId="4EDE3295" w14:textId="063196AF" w:rsidR="00D05738" w:rsidRPr="00FF5565" w:rsidRDefault="00D05738" w:rsidP="00FF5565">
            <w:pPr>
              <w:widowControl w:val="0"/>
              <w:autoSpaceDE w:val="0"/>
              <w:autoSpaceDN w:val="0"/>
              <w:adjustRightInd w:val="0"/>
              <w:ind w:right="-117"/>
              <w:jc w:val="center"/>
              <w:rPr>
                <w:rFonts w:eastAsia="Times New Roman"/>
                <w:color w:val="000000"/>
                <w:sz w:val="18"/>
                <w:szCs w:val="18"/>
              </w:rPr>
            </w:pPr>
            <w:r w:rsidRPr="00FF5565">
              <w:rPr>
                <w:rFonts w:eastAsia="Times New Roman"/>
                <w:color w:val="000000"/>
                <w:sz w:val="18"/>
                <w:szCs w:val="18"/>
              </w:rPr>
              <w:t>(1.6367)</w:t>
            </w:r>
          </w:p>
        </w:tc>
      </w:tr>
      <w:tr w:rsidR="00D05738" w:rsidRPr="00C8257C" w14:paraId="5F4EF4AB" w14:textId="77777777" w:rsidTr="008F1EE3">
        <w:trPr>
          <w:jc w:val="center"/>
        </w:trPr>
        <w:tc>
          <w:tcPr>
            <w:tcW w:w="903" w:type="dxa"/>
            <w:tcBorders>
              <w:top w:val="nil"/>
              <w:left w:val="nil"/>
              <w:bottom w:val="nil"/>
              <w:right w:val="nil"/>
            </w:tcBorders>
          </w:tcPr>
          <w:p w14:paraId="30D3EB18" w14:textId="521D1285" w:rsidR="00D05738" w:rsidRPr="00C8257C" w:rsidRDefault="00D05738" w:rsidP="00FF5565">
            <w:pPr>
              <w:widowControl w:val="0"/>
              <w:autoSpaceDE w:val="0"/>
              <w:autoSpaceDN w:val="0"/>
              <w:adjustRightInd w:val="0"/>
              <w:ind w:right="-117"/>
              <w:rPr>
                <w:i/>
                <w:sz w:val="22"/>
                <w:szCs w:val="22"/>
              </w:rPr>
            </w:pPr>
            <w:r w:rsidRPr="00C8257C">
              <w:rPr>
                <w:i/>
                <w:sz w:val="22"/>
                <w:szCs w:val="22"/>
              </w:rPr>
              <w:t>CF</w:t>
            </w:r>
            <w:r w:rsidRPr="00FF5565">
              <w:rPr>
                <w:i/>
                <w:sz w:val="22"/>
                <w:szCs w:val="22"/>
                <w:vertAlign w:val="subscript"/>
              </w:rPr>
              <w:t>t-1</w:t>
            </w:r>
          </w:p>
        </w:tc>
        <w:tc>
          <w:tcPr>
            <w:tcW w:w="725" w:type="dxa"/>
            <w:tcBorders>
              <w:top w:val="nil"/>
              <w:left w:val="nil"/>
              <w:bottom w:val="nil"/>
              <w:right w:val="nil"/>
            </w:tcBorders>
          </w:tcPr>
          <w:p w14:paraId="4CEEC74B" w14:textId="11405349" w:rsidR="00D05738" w:rsidRPr="00C8257C" w:rsidRDefault="00D05738" w:rsidP="007E20C2">
            <w:pPr>
              <w:widowControl w:val="0"/>
              <w:autoSpaceDE w:val="0"/>
              <w:autoSpaceDN w:val="0"/>
              <w:adjustRightInd w:val="0"/>
              <w:jc w:val="center"/>
              <w:rPr>
                <w:sz w:val="22"/>
                <w:szCs w:val="22"/>
              </w:rPr>
            </w:pPr>
            <w:r>
              <w:rPr>
                <w:sz w:val="22"/>
                <w:szCs w:val="22"/>
              </w:rPr>
              <w:t>+</w:t>
            </w:r>
          </w:p>
        </w:tc>
        <w:tc>
          <w:tcPr>
            <w:tcW w:w="991" w:type="dxa"/>
            <w:tcBorders>
              <w:top w:val="nil"/>
              <w:left w:val="nil"/>
              <w:bottom w:val="nil"/>
              <w:right w:val="nil"/>
            </w:tcBorders>
            <w:vAlign w:val="bottom"/>
          </w:tcPr>
          <w:p w14:paraId="622070C2" w14:textId="0E2C83A6" w:rsidR="00D05738" w:rsidRPr="00FF5565" w:rsidRDefault="00D05738" w:rsidP="00FF5565">
            <w:pPr>
              <w:widowControl w:val="0"/>
              <w:autoSpaceDE w:val="0"/>
              <w:autoSpaceDN w:val="0"/>
              <w:adjustRightInd w:val="0"/>
              <w:ind w:right="-97"/>
              <w:jc w:val="center"/>
              <w:rPr>
                <w:rFonts w:eastAsia="Times New Roman"/>
                <w:color w:val="000000"/>
                <w:sz w:val="18"/>
                <w:szCs w:val="18"/>
              </w:rPr>
            </w:pPr>
            <w:r w:rsidRPr="00FF5565">
              <w:rPr>
                <w:rFonts w:eastAsia="Times New Roman"/>
                <w:color w:val="000000"/>
                <w:sz w:val="18"/>
                <w:szCs w:val="18"/>
              </w:rPr>
              <w:t>0.0541</w:t>
            </w:r>
          </w:p>
        </w:tc>
        <w:tc>
          <w:tcPr>
            <w:tcW w:w="991" w:type="dxa"/>
            <w:gridSpan w:val="2"/>
            <w:tcBorders>
              <w:top w:val="nil"/>
              <w:left w:val="nil"/>
              <w:bottom w:val="nil"/>
              <w:right w:val="nil"/>
            </w:tcBorders>
            <w:vAlign w:val="bottom"/>
          </w:tcPr>
          <w:p w14:paraId="1192B62B" w14:textId="5CC32A1B" w:rsidR="00D05738" w:rsidRPr="00FF5565" w:rsidRDefault="00D05738" w:rsidP="00FF5565">
            <w:pPr>
              <w:widowControl w:val="0"/>
              <w:autoSpaceDE w:val="0"/>
              <w:autoSpaceDN w:val="0"/>
              <w:adjustRightInd w:val="0"/>
              <w:ind w:right="-97"/>
              <w:jc w:val="center"/>
              <w:rPr>
                <w:rFonts w:eastAsia="Times New Roman"/>
                <w:color w:val="000000"/>
                <w:sz w:val="18"/>
                <w:szCs w:val="18"/>
              </w:rPr>
            </w:pPr>
            <w:r w:rsidRPr="00FF5565">
              <w:rPr>
                <w:rFonts w:eastAsia="Times New Roman"/>
                <w:color w:val="000000"/>
                <w:sz w:val="18"/>
                <w:szCs w:val="18"/>
              </w:rPr>
              <w:t>0.0525</w:t>
            </w:r>
          </w:p>
        </w:tc>
        <w:tc>
          <w:tcPr>
            <w:tcW w:w="991" w:type="dxa"/>
            <w:gridSpan w:val="2"/>
            <w:tcBorders>
              <w:top w:val="nil"/>
              <w:left w:val="nil"/>
              <w:bottom w:val="nil"/>
              <w:right w:val="nil"/>
            </w:tcBorders>
            <w:vAlign w:val="bottom"/>
          </w:tcPr>
          <w:p w14:paraId="7F605E56" w14:textId="20F495B8" w:rsidR="00D05738" w:rsidRPr="00FF5565" w:rsidRDefault="00D05738" w:rsidP="00FF5565">
            <w:pPr>
              <w:widowControl w:val="0"/>
              <w:autoSpaceDE w:val="0"/>
              <w:autoSpaceDN w:val="0"/>
              <w:adjustRightInd w:val="0"/>
              <w:ind w:right="-97"/>
              <w:jc w:val="center"/>
              <w:rPr>
                <w:sz w:val="18"/>
                <w:szCs w:val="18"/>
              </w:rPr>
            </w:pPr>
            <w:r w:rsidRPr="00FF5565">
              <w:rPr>
                <w:rFonts w:eastAsia="Times New Roman"/>
                <w:color w:val="000000"/>
                <w:sz w:val="18"/>
                <w:szCs w:val="18"/>
              </w:rPr>
              <w:t>0.1656***</w:t>
            </w:r>
          </w:p>
        </w:tc>
        <w:tc>
          <w:tcPr>
            <w:tcW w:w="977" w:type="dxa"/>
            <w:gridSpan w:val="2"/>
            <w:tcBorders>
              <w:top w:val="nil"/>
              <w:left w:val="nil"/>
              <w:bottom w:val="nil"/>
              <w:right w:val="nil"/>
            </w:tcBorders>
            <w:vAlign w:val="bottom"/>
          </w:tcPr>
          <w:p w14:paraId="2F0FFE22" w14:textId="2C38A0C0" w:rsidR="00D05738" w:rsidRPr="00FF5565" w:rsidRDefault="00D05738" w:rsidP="00FF5565">
            <w:pPr>
              <w:widowControl w:val="0"/>
              <w:autoSpaceDE w:val="0"/>
              <w:autoSpaceDN w:val="0"/>
              <w:adjustRightInd w:val="0"/>
              <w:ind w:right="-100"/>
              <w:jc w:val="center"/>
              <w:rPr>
                <w:sz w:val="18"/>
                <w:szCs w:val="18"/>
              </w:rPr>
            </w:pPr>
            <w:r w:rsidRPr="00FF5565">
              <w:rPr>
                <w:rFonts w:eastAsia="Times New Roman"/>
                <w:color w:val="000000"/>
                <w:sz w:val="18"/>
                <w:szCs w:val="18"/>
              </w:rPr>
              <w:t>0.1646***</w:t>
            </w:r>
          </w:p>
        </w:tc>
        <w:tc>
          <w:tcPr>
            <w:tcW w:w="971" w:type="dxa"/>
            <w:gridSpan w:val="2"/>
            <w:tcBorders>
              <w:top w:val="nil"/>
              <w:left w:val="nil"/>
              <w:bottom w:val="nil"/>
              <w:right w:val="nil"/>
            </w:tcBorders>
            <w:vAlign w:val="bottom"/>
          </w:tcPr>
          <w:p w14:paraId="13951F9E" w14:textId="6F1E5F59" w:rsidR="00D05738" w:rsidRPr="00FF5565" w:rsidRDefault="00D05738" w:rsidP="00FF5565">
            <w:pPr>
              <w:widowControl w:val="0"/>
              <w:autoSpaceDE w:val="0"/>
              <w:autoSpaceDN w:val="0"/>
              <w:adjustRightInd w:val="0"/>
              <w:ind w:right="-117"/>
              <w:jc w:val="center"/>
              <w:rPr>
                <w:sz w:val="18"/>
                <w:szCs w:val="18"/>
              </w:rPr>
            </w:pPr>
            <w:r w:rsidRPr="00FF5565">
              <w:rPr>
                <w:rFonts w:eastAsia="Times New Roman"/>
                <w:color w:val="000000"/>
                <w:sz w:val="18"/>
                <w:szCs w:val="18"/>
              </w:rPr>
              <w:t>0.1658***</w:t>
            </w:r>
          </w:p>
        </w:tc>
        <w:tc>
          <w:tcPr>
            <w:tcW w:w="929" w:type="dxa"/>
            <w:gridSpan w:val="2"/>
            <w:tcBorders>
              <w:top w:val="nil"/>
              <w:left w:val="nil"/>
              <w:bottom w:val="nil"/>
              <w:right w:val="nil"/>
            </w:tcBorders>
            <w:vAlign w:val="bottom"/>
          </w:tcPr>
          <w:p w14:paraId="5AEAABE4" w14:textId="03B99AF2" w:rsidR="00D05738" w:rsidRPr="00FF5565" w:rsidRDefault="00D05738" w:rsidP="00FF5565">
            <w:pPr>
              <w:widowControl w:val="0"/>
              <w:autoSpaceDE w:val="0"/>
              <w:autoSpaceDN w:val="0"/>
              <w:adjustRightInd w:val="0"/>
              <w:ind w:right="-117"/>
              <w:jc w:val="center"/>
              <w:rPr>
                <w:sz w:val="18"/>
                <w:szCs w:val="18"/>
              </w:rPr>
            </w:pPr>
            <w:r w:rsidRPr="00FF5565">
              <w:rPr>
                <w:rFonts w:eastAsia="Times New Roman"/>
                <w:color w:val="000000"/>
                <w:sz w:val="18"/>
                <w:szCs w:val="18"/>
              </w:rPr>
              <w:t>0.1648***</w:t>
            </w:r>
          </w:p>
        </w:tc>
        <w:tc>
          <w:tcPr>
            <w:tcW w:w="994" w:type="dxa"/>
            <w:gridSpan w:val="2"/>
            <w:tcBorders>
              <w:top w:val="nil"/>
              <w:left w:val="nil"/>
              <w:bottom w:val="nil"/>
              <w:right w:val="nil"/>
            </w:tcBorders>
            <w:vAlign w:val="bottom"/>
          </w:tcPr>
          <w:p w14:paraId="42B8E3FF" w14:textId="376D58D4" w:rsidR="00D05738" w:rsidRPr="00FF5565" w:rsidRDefault="00D05738" w:rsidP="00FF5565">
            <w:pPr>
              <w:widowControl w:val="0"/>
              <w:autoSpaceDE w:val="0"/>
              <w:autoSpaceDN w:val="0"/>
              <w:adjustRightInd w:val="0"/>
              <w:ind w:right="-117"/>
              <w:jc w:val="center"/>
              <w:rPr>
                <w:rFonts w:eastAsia="Times New Roman"/>
                <w:color w:val="000000"/>
                <w:sz w:val="18"/>
                <w:szCs w:val="18"/>
              </w:rPr>
            </w:pPr>
            <w:r w:rsidRPr="00FF5565">
              <w:rPr>
                <w:rFonts w:eastAsia="Times New Roman"/>
                <w:color w:val="000000"/>
                <w:sz w:val="18"/>
                <w:szCs w:val="18"/>
              </w:rPr>
              <w:t>0.1672***</w:t>
            </w:r>
          </w:p>
        </w:tc>
        <w:tc>
          <w:tcPr>
            <w:tcW w:w="992" w:type="dxa"/>
            <w:gridSpan w:val="2"/>
            <w:tcBorders>
              <w:top w:val="nil"/>
              <w:left w:val="nil"/>
              <w:bottom w:val="nil"/>
              <w:right w:val="nil"/>
            </w:tcBorders>
            <w:vAlign w:val="bottom"/>
          </w:tcPr>
          <w:p w14:paraId="7850D0DF" w14:textId="78F582FF" w:rsidR="00D05738" w:rsidRPr="00FF5565" w:rsidRDefault="00D05738" w:rsidP="00FF5565">
            <w:pPr>
              <w:widowControl w:val="0"/>
              <w:autoSpaceDE w:val="0"/>
              <w:autoSpaceDN w:val="0"/>
              <w:adjustRightInd w:val="0"/>
              <w:ind w:right="-117"/>
              <w:jc w:val="center"/>
              <w:rPr>
                <w:rFonts w:eastAsia="Times New Roman"/>
                <w:color w:val="000000"/>
                <w:sz w:val="18"/>
                <w:szCs w:val="18"/>
              </w:rPr>
            </w:pPr>
            <w:r w:rsidRPr="00FF5565">
              <w:rPr>
                <w:rFonts w:eastAsia="Times New Roman"/>
                <w:color w:val="000000"/>
                <w:sz w:val="18"/>
                <w:szCs w:val="18"/>
              </w:rPr>
              <w:t>0.1669***</w:t>
            </w:r>
          </w:p>
        </w:tc>
      </w:tr>
      <w:tr w:rsidR="00D05738" w:rsidRPr="00C8257C" w14:paraId="6EA959F5" w14:textId="77777777" w:rsidTr="008F1EE3">
        <w:trPr>
          <w:jc w:val="center"/>
        </w:trPr>
        <w:tc>
          <w:tcPr>
            <w:tcW w:w="903" w:type="dxa"/>
            <w:tcBorders>
              <w:top w:val="nil"/>
              <w:left w:val="nil"/>
              <w:right w:val="nil"/>
            </w:tcBorders>
          </w:tcPr>
          <w:p w14:paraId="7E7063BA" w14:textId="77777777" w:rsidR="00D05738" w:rsidRPr="00C8257C" w:rsidRDefault="00D05738" w:rsidP="00FF5565">
            <w:pPr>
              <w:widowControl w:val="0"/>
              <w:autoSpaceDE w:val="0"/>
              <w:autoSpaceDN w:val="0"/>
              <w:adjustRightInd w:val="0"/>
              <w:ind w:right="-117"/>
              <w:rPr>
                <w:i/>
                <w:sz w:val="22"/>
                <w:szCs w:val="22"/>
              </w:rPr>
            </w:pPr>
          </w:p>
        </w:tc>
        <w:tc>
          <w:tcPr>
            <w:tcW w:w="725" w:type="dxa"/>
            <w:tcBorders>
              <w:top w:val="nil"/>
              <w:left w:val="nil"/>
              <w:right w:val="nil"/>
            </w:tcBorders>
          </w:tcPr>
          <w:p w14:paraId="38AEE323" w14:textId="77777777" w:rsidR="00D05738" w:rsidRPr="00C8257C" w:rsidRDefault="00D05738" w:rsidP="007E20C2">
            <w:pPr>
              <w:widowControl w:val="0"/>
              <w:autoSpaceDE w:val="0"/>
              <w:autoSpaceDN w:val="0"/>
              <w:adjustRightInd w:val="0"/>
              <w:jc w:val="center"/>
              <w:rPr>
                <w:sz w:val="22"/>
                <w:szCs w:val="22"/>
              </w:rPr>
            </w:pPr>
          </w:p>
        </w:tc>
        <w:tc>
          <w:tcPr>
            <w:tcW w:w="991" w:type="dxa"/>
            <w:tcBorders>
              <w:top w:val="nil"/>
              <w:left w:val="nil"/>
              <w:right w:val="nil"/>
            </w:tcBorders>
            <w:vAlign w:val="bottom"/>
          </w:tcPr>
          <w:p w14:paraId="31ACC9C0" w14:textId="46332D7E" w:rsidR="00D05738" w:rsidRPr="00FF5565" w:rsidRDefault="00D05738" w:rsidP="00FF5565">
            <w:pPr>
              <w:widowControl w:val="0"/>
              <w:autoSpaceDE w:val="0"/>
              <w:autoSpaceDN w:val="0"/>
              <w:adjustRightInd w:val="0"/>
              <w:ind w:right="-97"/>
              <w:jc w:val="center"/>
              <w:rPr>
                <w:rFonts w:eastAsia="Times New Roman"/>
                <w:color w:val="000000"/>
                <w:sz w:val="18"/>
                <w:szCs w:val="18"/>
              </w:rPr>
            </w:pPr>
            <w:r w:rsidRPr="00FF5565">
              <w:rPr>
                <w:rFonts w:eastAsia="Times New Roman"/>
                <w:color w:val="000000"/>
                <w:sz w:val="18"/>
                <w:szCs w:val="18"/>
              </w:rPr>
              <w:t>(0.8345)</w:t>
            </w:r>
          </w:p>
        </w:tc>
        <w:tc>
          <w:tcPr>
            <w:tcW w:w="991" w:type="dxa"/>
            <w:gridSpan w:val="2"/>
            <w:tcBorders>
              <w:top w:val="nil"/>
              <w:left w:val="nil"/>
              <w:right w:val="nil"/>
            </w:tcBorders>
            <w:vAlign w:val="bottom"/>
          </w:tcPr>
          <w:p w14:paraId="4CC4A723" w14:textId="346512E4" w:rsidR="00D05738" w:rsidRPr="00FF5565" w:rsidRDefault="00D05738" w:rsidP="00FF5565">
            <w:pPr>
              <w:widowControl w:val="0"/>
              <w:autoSpaceDE w:val="0"/>
              <w:autoSpaceDN w:val="0"/>
              <w:adjustRightInd w:val="0"/>
              <w:ind w:right="-97"/>
              <w:jc w:val="center"/>
              <w:rPr>
                <w:rFonts w:eastAsia="Times New Roman"/>
                <w:color w:val="000000"/>
                <w:sz w:val="18"/>
                <w:szCs w:val="18"/>
              </w:rPr>
            </w:pPr>
            <w:r w:rsidRPr="00FF5565">
              <w:rPr>
                <w:rFonts w:eastAsia="Times New Roman"/>
                <w:color w:val="000000"/>
                <w:sz w:val="18"/>
                <w:szCs w:val="18"/>
              </w:rPr>
              <w:t>(0.8093)</w:t>
            </w:r>
          </w:p>
        </w:tc>
        <w:tc>
          <w:tcPr>
            <w:tcW w:w="991" w:type="dxa"/>
            <w:gridSpan w:val="2"/>
            <w:tcBorders>
              <w:top w:val="nil"/>
              <w:left w:val="nil"/>
              <w:right w:val="nil"/>
            </w:tcBorders>
            <w:vAlign w:val="bottom"/>
          </w:tcPr>
          <w:p w14:paraId="284C8644" w14:textId="4463547B" w:rsidR="00D05738" w:rsidRPr="00FF5565" w:rsidRDefault="00D05738" w:rsidP="00FF5565">
            <w:pPr>
              <w:widowControl w:val="0"/>
              <w:autoSpaceDE w:val="0"/>
              <w:autoSpaceDN w:val="0"/>
              <w:adjustRightInd w:val="0"/>
              <w:ind w:right="-97"/>
              <w:jc w:val="center"/>
              <w:rPr>
                <w:sz w:val="18"/>
                <w:szCs w:val="18"/>
              </w:rPr>
            </w:pPr>
            <w:r w:rsidRPr="00FF5565">
              <w:rPr>
                <w:rFonts w:eastAsia="Times New Roman"/>
                <w:color w:val="000000"/>
                <w:sz w:val="18"/>
                <w:szCs w:val="18"/>
              </w:rPr>
              <w:t>(2.7221)</w:t>
            </w:r>
          </w:p>
        </w:tc>
        <w:tc>
          <w:tcPr>
            <w:tcW w:w="977" w:type="dxa"/>
            <w:gridSpan w:val="2"/>
            <w:tcBorders>
              <w:top w:val="nil"/>
              <w:left w:val="nil"/>
              <w:right w:val="nil"/>
            </w:tcBorders>
            <w:vAlign w:val="bottom"/>
          </w:tcPr>
          <w:p w14:paraId="1AC79C4C" w14:textId="480F896A" w:rsidR="00D05738" w:rsidRPr="00FF5565" w:rsidRDefault="00D05738" w:rsidP="00FF5565">
            <w:pPr>
              <w:widowControl w:val="0"/>
              <w:autoSpaceDE w:val="0"/>
              <w:autoSpaceDN w:val="0"/>
              <w:adjustRightInd w:val="0"/>
              <w:ind w:right="-100"/>
              <w:jc w:val="center"/>
              <w:rPr>
                <w:sz w:val="18"/>
                <w:szCs w:val="18"/>
              </w:rPr>
            </w:pPr>
            <w:r w:rsidRPr="00FF5565">
              <w:rPr>
                <w:rFonts w:eastAsia="Times New Roman"/>
                <w:color w:val="000000"/>
                <w:sz w:val="18"/>
                <w:szCs w:val="18"/>
              </w:rPr>
              <w:t>(2.7052)</w:t>
            </w:r>
          </w:p>
        </w:tc>
        <w:tc>
          <w:tcPr>
            <w:tcW w:w="971" w:type="dxa"/>
            <w:gridSpan w:val="2"/>
            <w:tcBorders>
              <w:top w:val="nil"/>
              <w:left w:val="nil"/>
              <w:right w:val="nil"/>
            </w:tcBorders>
            <w:vAlign w:val="bottom"/>
          </w:tcPr>
          <w:p w14:paraId="76C3CEEC" w14:textId="2DCE33AD" w:rsidR="00D05738" w:rsidRPr="00FF5565" w:rsidRDefault="00D05738" w:rsidP="00FF5565">
            <w:pPr>
              <w:widowControl w:val="0"/>
              <w:autoSpaceDE w:val="0"/>
              <w:autoSpaceDN w:val="0"/>
              <w:adjustRightInd w:val="0"/>
              <w:ind w:right="-117"/>
              <w:jc w:val="center"/>
              <w:rPr>
                <w:sz w:val="18"/>
                <w:szCs w:val="18"/>
              </w:rPr>
            </w:pPr>
            <w:r w:rsidRPr="00FF5565">
              <w:rPr>
                <w:rFonts w:eastAsia="Times New Roman"/>
                <w:color w:val="000000"/>
                <w:sz w:val="18"/>
                <w:szCs w:val="18"/>
              </w:rPr>
              <w:t>(2.7184)</w:t>
            </w:r>
          </w:p>
        </w:tc>
        <w:tc>
          <w:tcPr>
            <w:tcW w:w="929" w:type="dxa"/>
            <w:gridSpan w:val="2"/>
            <w:tcBorders>
              <w:top w:val="nil"/>
              <w:left w:val="nil"/>
              <w:right w:val="nil"/>
            </w:tcBorders>
            <w:vAlign w:val="bottom"/>
          </w:tcPr>
          <w:p w14:paraId="50E6203B" w14:textId="4AA04D9C" w:rsidR="00D05738" w:rsidRPr="00FF5565" w:rsidRDefault="00D05738" w:rsidP="00FF5565">
            <w:pPr>
              <w:widowControl w:val="0"/>
              <w:autoSpaceDE w:val="0"/>
              <w:autoSpaceDN w:val="0"/>
              <w:adjustRightInd w:val="0"/>
              <w:ind w:right="-117"/>
              <w:jc w:val="center"/>
              <w:rPr>
                <w:sz w:val="18"/>
                <w:szCs w:val="18"/>
              </w:rPr>
            </w:pPr>
            <w:r w:rsidRPr="00FF5565">
              <w:rPr>
                <w:rFonts w:eastAsia="Times New Roman"/>
                <w:color w:val="000000"/>
                <w:sz w:val="18"/>
                <w:szCs w:val="18"/>
              </w:rPr>
              <w:t>(2.7017)</w:t>
            </w:r>
          </w:p>
        </w:tc>
        <w:tc>
          <w:tcPr>
            <w:tcW w:w="994" w:type="dxa"/>
            <w:gridSpan w:val="2"/>
            <w:tcBorders>
              <w:top w:val="nil"/>
              <w:left w:val="nil"/>
              <w:right w:val="nil"/>
            </w:tcBorders>
            <w:vAlign w:val="bottom"/>
          </w:tcPr>
          <w:p w14:paraId="50E14416" w14:textId="3C0E9E36" w:rsidR="00D05738" w:rsidRPr="00FF5565" w:rsidRDefault="00D05738" w:rsidP="00FF5565">
            <w:pPr>
              <w:widowControl w:val="0"/>
              <w:autoSpaceDE w:val="0"/>
              <w:autoSpaceDN w:val="0"/>
              <w:adjustRightInd w:val="0"/>
              <w:ind w:right="-117"/>
              <w:jc w:val="center"/>
              <w:rPr>
                <w:rFonts w:eastAsia="Times New Roman"/>
                <w:color w:val="000000"/>
                <w:sz w:val="18"/>
                <w:szCs w:val="18"/>
              </w:rPr>
            </w:pPr>
            <w:r w:rsidRPr="00FF5565">
              <w:rPr>
                <w:rFonts w:eastAsia="Times New Roman"/>
                <w:color w:val="000000"/>
                <w:sz w:val="18"/>
                <w:szCs w:val="18"/>
              </w:rPr>
              <w:t>(2.4484)</w:t>
            </w:r>
          </w:p>
        </w:tc>
        <w:tc>
          <w:tcPr>
            <w:tcW w:w="992" w:type="dxa"/>
            <w:gridSpan w:val="2"/>
            <w:tcBorders>
              <w:top w:val="nil"/>
              <w:left w:val="nil"/>
              <w:right w:val="nil"/>
            </w:tcBorders>
            <w:vAlign w:val="bottom"/>
          </w:tcPr>
          <w:p w14:paraId="2D0B7F01" w14:textId="17D84733" w:rsidR="00D05738" w:rsidRPr="00FF5565" w:rsidRDefault="00D05738" w:rsidP="00FF5565">
            <w:pPr>
              <w:widowControl w:val="0"/>
              <w:autoSpaceDE w:val="0"/>
              <w:autoSpaceDN w:val="0"/>
              <w:adjustRightInd w:val="0"/>
              <w:ind w:right="-117"/>
              <w:jc w:val="center"/>
              <w:rPr>
                <w:rFonts w:eastAsia="Times New Roman"/>
                <w:color w:val="000000"/>
                <w:sz w:val="18"/>
                <w:szCs w:val="18"/>
              </w:rPr>
            </w:pPr>
            <w:r w:rsidRPr="00FF5565">
              <w:rPr>
                <w:rFonts w:eastAsia="Times New Roman"/>
                <w:color w:val="000000"/>
                <w:sz w:val="18"/>
                <w:szCs w:val="18"/>
              </w:rPr>
              <w:t>(2.4434)</w:t>
            </w:r>
          </w:p>
        </w:tc>
      </w:tr>
      <w:tr w:rsidR="00D05738" w:rsidRPr="00C8257C" w14:paraId="08C57264" w14:textId="77777777" w:rsidTr="008F1EE3">
        <w:trPr>
          <w:trHeight w:val="279"/>
          <w:jc w:val="center"/>
        </w:trPr>
        <w:tc>
          <w:tcPr>
            <w:tcW w:w="903" w:type="dxa"/>
            <w:tcBorders>
              <w:top w:val="nil"/>
              <w:left w:val="nil"/>
              <w:right w:val="nil"/>
            </w:tcBorders>
          </w:tcPr>
          <w:p w14:paraId="730D3D0D" w14:textId="01A1CAF3" w:rsidR="00D05738" w:rsidRPr="00C8257C" w:rsidRDefault="00D05738" w:rsidP="00FF5565">
            <w:pPr>
              <w:widowControl w:val="0"/>
              <w:autoSpaceDE w:val="0"/>
              <w:autoSpaceDN w:val="0"/>
              <w:adjustRightInd w:val="0"/>
              <w:ind w:right="-117"/>
              <w:rPr>
                <w:i/>
                <w:sz w:val="22"/>
                <w:szCs w:val="22"/>
              </w:rPr>
            </w:pPr>
            <w:r>
              <w:rPr>
                <w:i/>
                <w:sz w:val="22"/>
                <w:szCs w:val="22"/>
              </w:rPr>
              <w:t>LogAT</w:t>
            </w:r>
            <w:r w:rsidRPr="00FF5565">
              <w:rPr>
                <w:i/>
                <w:sz w:val="22"/>
                <w:szCs w:val="22"/>
                <w:vertAlign w:val="subscript"/>
              </w:rPr>
              <w:t>t-1</w:t>
            </w:r>
          </w:p>
        </w:tc>
        <w:tc>
          <w:tcPr>
            <w:tcW w:w="725" w:type="dxa"/>
            <w:tcBorders>
              <w:top w:val="nil"/>
              <w:left w:val="nil"/>
              <w:right w:val="nil"/>
            </w:tcBorders>
          </w:tcPr>
          <w:p w14:paraId="5DEC225E" w14:textId="36F37DBB" w:rsidR="00D05738" w:rsidRPr="00C8257C" w:rsidRDefault="00D05738" w:rsidP="007E20C2">
            <w:pPr>
              <w:widowControl w:val="0"/>
              <w:autoSpaceDE w:val="0"/>
              <w:autoSpaceDN w:val="0"/>
              <w:adjustRightInd w:val="0"/>
              <w:jc w:val="center"/>
              <w:rPr>
                <w:sz w:val="22"/>
                <w:szCs w:val="22"/>
              </w:rPr>
            </w:pPr>
            <w:r>
              <w:rPr>
                <w:sz w:val="22"/>
                <w:szCs w:val="22"/>
              </w:rPr>
              <w:t>-</w:t>
            </w:r>
          </w:p>
        </w:tc>
        <w:tc>
          <w:tcPr>
            <w:tcW w:w="991" w:type="dxa"/>
            <w:tcBorders>
              <w:top w:val="nil"/>
              <w:left w:val="nil"/>
              <w:right w:val="nil"/>
            </w:tcBorders>
            <w:vAlign w:val="bottom"/>
          </w:tcPr>
          <w:p w14:paraId="2EC052B7" w14:textId="24927FAF" w:rsidR="00D05738" w:rsidRPr="00FF5565" w:rsidRDefault="00D05738" w:rsidP="00FF5565">
            <w:pPr>
              <w:widowControl w:val="0"/>
              <w:autoSpaceDE w:val="0"/>
              <w:autoSpaceDN w:val="0"/>
              <w:adjustRightInd w:val="0"/>
              <w:ind w:right="-97"/>
              <w:jc w:val="center"/>
              <w:rPr>
                <w:rFonts w:eastAsia="Times New Roman"/>
                <w:color w:val="000000"/>
                <w:sz w:val="18"/>
                <w:szCs w:val="18"/>
              </w:rPr>
            </w:pPr>
            <w:r w:rsidRPr="00FF5565">
              <w:rPr>
                <w:rFonts w:eastAsia="Times New Roman"/>
                <w:color w:val="000000"/>
                <w:sz w:val="18"/>
                <w:szCs w:val="18"/>
              </w:rPr>
              <w:t>-0.0294***</w:t>
            </w:r>
          </w:p>
        </w:tc>
        <w:tc>
          <w:tcPr>
            <w:tcW w:w="991" w:type="dxa"/>
            <w:gridSpan w:val="2"/>
            <w:tcBorders>
              <w:top w:val="nil"/>
              <w:left w:val="nil"/>
              <w:right w:val="nil"/>
            </w:tcBorders>
            <w:vAlign w:val="bottom"/>
          </w:tcPr>
          <w:p w14:paraId="23321172" w14:textId="233921A9" w:rsidR="00D05738" w:rsidRPr="00FF5565" w:rsidRDefault="00D05738" w:rsidP="00FF5565">
            <w:pPr>
              <w:widowControl w:val="0"/>
              <w:autoSpaceDE w:val="0"/>
              <w:autoSpaceDN w:val="0"/>
              <w:adjustRightInd w:val="0"/>
              <w:ind w:right="-97"/>
              <w:jc w:val="center"/>
              <w:rPr>
                <w:rFonts w:eastAsia="Times New Roman"/>
                <w:color w:val="000000"/>
                <w:sz w:val="18"/>
                <w:szCs w:val="18"/>
              </w:rPr>
            </w:pPr>
            <w:r w:rsidRPr="00FF5565">
              <w:rPr>
                <w:rFonts w:eastAsia="Times New Roman"/>
                <w:color w:val="000000"/>
                <w:sz w:val="18"/>
                <w:szCs w:val="18"/>
              </w:rPr>
              <w:t>-0.0292***</w:t>
            </w:r>
          </w:p>
        </w:tc>
        <w:tc>
          <w:tcPr>
            <w:tcW w:w="991" w:type="dxa"/>
            <w:gridSpan w:val="2"/>
            <w:tcBorders>
              <w:top w:val="nil"/>
              <w:left w:val="nil"/>
              <w:right w:val="nil"/>
            </w:tcBorders>
            <w:vAlign w:val="bottom"/>
          </w:tcPr>
          <w:p w14:paraId="46EF59B9" w14:textId="2F4CC222" w:rsidR="00D05738" w:rsidRPr="00FF5565" w:rsidRDefault="00D05738" w:rsidP="00FF5565">
            <w:pPr>
              <w:widowControl w:val="0"/>
              <w:autoSpaceDE w:val="0"/>
              <w:autoSpaceDN w:val="0"/>
              <w:adjustRightInd w:val="0"/>
              <w:ind w:right="-97"/>
              <w:jc w:val="center"/>
              <w:rPr>
                <w:sz w:val="18"/>
                <w:szCs w:val="18"/>
              </w:rPr>
            </w:pPr>
            <w:r w:rsidRPr="00FF5565">
              <w:rPr>
                <w:rFonts w:eastAsia="Times New Roman"/>
                <w:color w:val="000000"/>
                <w:sz w:val="18"/>
                <w:szCs w:val="18"/>
              </w:rPr>
              <w:t>-0.0297***</w:t>
            </w:r>
          </w:p>
        </w:tc>
        <w:tc>
          <w:tcPr>
            <w:tcW w:w="977" w:type="dxa"/>
            <w:gridSpan w:val="2"/>
            <w:tcBorders>
              <w:top w:val="nil"/>
              <w:left w:val="nil"/>
              <w:right w:val="nil"/>
            </w:tcBorders>
            <w:vAlign w:val="bottom"/>
          </w:tcPr>
          <w:p w14:paraId="6751E56C" w14:textId="5554C67E" w:rsidR="00D05738" w:rsidRPr="00FF5565" w:rsidRDefault="00D05738" w:rsidP="00FF5565">
            <w:pPr>
              <w:widowControl w:val="0"/>
              <w:autoSpaceDE w:val="0"/>
              <w:autoSpaceDN w:val="0"/>
              <w:adjustRightInd w:val="0"/>
              <w:ind w:right="-100"/>
              <w:jc w:val="center"/>
              <w:rPr>
                <w:sz w:val="18"/>
                <w:szCs w:val="18"/>
              </w:rPr>
            </w:pPr>
            <w:r w:rsidRPr="00FF5565">
              <w:rPr>
                <w:rFonts w:eastAsia="Times New Roman"/>
                <w:color w:val="000000"/>
                <w:sz w:val="18"/>
                <w:szCs w:val="18"/>
              </w:rPr>
              <w:t>-0.0296***</w:t>
            </w:r>
          </w:p>
        </w:tc>
        <w:tc>
          <w:tcPr>
            <w:tcW w:w="971" w:type="dxa"/>
            <w:gridSpan w:val="2"/>
            <w:tcBorders>
              <w:top w:val="nil"/>
              <w:left w:val="nil"/>
              <w:right w:val="nil"/>
            </w:tcBorders>
            <w:vAlign w:val="bottom"/>
          </w:tcPr>
          <w:p w14:paraId="4BDB4A8F" w14:textId="079CC562" w:rsidR="00D05738" w:rsidRPr="00FF5565" w:rsidRDefault="00D05738" w:rsidP="00FF5565">
            <w:pPr>
              <w:widowControl w:val="0"/>
              <w:autoSpaceDE w:val="0"/>
              <w:autoSpaceDN w:val="0"/>
              <w:adjustRightInd w:val="0"/>
              <w:ind w:right="-117"/>
              <w:jc w:val="center"/>
              <w:rPr>
                <w:sz w:val="18"/>
                <w:szCs w:val="18"/>
              </w:rPr>
            </w:pPr>
            <w:r w:rsidRPr="00FF5565">
              <w:rPr>
                <w:rFonts w:eastAsia="Times New Roman"/>
                <w:color w:val="000000"/>
                <w:sz w:val="18"/>
                <w:szCs w:val="18"/>
              </w:rPr>
              <w:t>-0.0297***</w:t>
            </w:r>
          </w:p>
        </w:tc>
        <w:tc>
          <w:tcPr>
            <w:tcW w:w="929" w:type="dxa"/>
            <w:gridSpan w:val="2"/>
            <w:tcBorders>
              <w:top w:val="nil"/>
              <w:left w:val="nil"/>
              <w:right w:val="nil"/>
            </w:tcBorders>
            <w:vAlign w:val="bottom"/>
          </w:tcPr>
          <w:p w14:paraId="36C82020" w14:textId="7219164F" w:rsidR="00D05738" w:rsidRPr="00FF5565" w:rsidRDefault="00D05738" w:rsidP="00FF5565">
            <w:pPr>
              <w:widowControl w:val="0"/>
              <w:autoSpaceDE w:val="0"/>
              <w:autoSpaceDN w:val="0"/>
              <w:adjustRightInd w:val="0"/>
              <w:ind w:right="-117"/>
              <w:jc w:val="center"/>
              <w:rPr>
                <w:sz w:val="18"/>
                <w:szCs w:val="18"/>
              </w:rPr>
            </w:pPr>
            <w:r w:rsidRPr="00FF5565">
              <w:rPr>
                <w:rFonts w:eastAsia="Times New Roman"/>
                <w:color w:val="000000"/>
                <w:sz w:val="18"/>
                <w:szCs w:val="18"/>
              </w:rPr>
              <w:t>-0.0296***</w:t>
            </w:r>
          </w:p>
        </w:tc>
        <w:tc>
          <w:tcPr>
            <w:tcW w:w="994" w:type="dxa"/>
            <w:gridSpan w:val="2"/>
            <w:tcBorders>
              <w:top w:val="nil"/>
              <w:left w:val="nil"/>
              <w:right w:val="nil"/>
            </w:tcBorders>
            <w:vAlign w:val="bottom"/>
          </w:tcPr>
          <w:p w14:paraId="62F66267" w14:textId="32B43832" w:rsidR="00D05738" w:rsidRPr="00FF5565" w:rsidRDefault="00D05738" w:rsidP="00FF5565">
            <w:pPr>
              <w:widowControl w:val="0"/>
              <w:autoSpaceDE w:val="0"/>
              <w:autoSpaceDN w:val="0"/>
              <w:adjustRightInd w:val="0"/>
              <w:ind w:right="-117"/>
              <w:jc w:val="center"/>
              <w:rPr>
                <w:rFonts w:eastAsia="Times New Roman"/>
                <w:color w:val="000000"/>
                <w:sz w:val="18"/>
                <w:szCs w:val="18"/>
              </w:rPr>
            </w:pPr>
            <w:r w:rsidRPr="00FF5565">
              <w:rPr>
                <w:rFonts w:eastAsia="Times New Roman"/>
                <w:color w:val="000000"/>
                <w:sz w:val="18"/>
                <w:szCs w:val="18"/>
              </w:rPr>
              <w:t>-0.0297***</w:t>
            </w:r>
          </w:p>
        </w:tc>
        <w:tc>
          <w:tcPr>
            <w:tcW w:w="992" w:type="dxa"/>
            <w:gridSpan w:val="2"/>
            <w:tcBorders>
              <w:top w:val="nil"/>
              <w:left w:val="nil"/>
              <w:right w:val="nil"/>
            </w:tcBorders>
            <w:vAlign w:val="bottom"/>
          </w:tcPr>
          <w:p w14:paraId="7929ECF7" w14:textId="46DCA716" w:rsidR="00D05738" w:rsidRPr="00FF5565" w:rsidRDefault="00D05738" w:rsidP="00FF5565">
            <w:pPr>
              <w:widowControl w:val="0"/>
              <w:autoSpaceDE w:val="0"/>
              <w:autoSpaceDN w:val="0"/>
              <w:adjustRightInd w:val="0"/>
              <w:ind w:right="-117"/>
              <w:jc w:val="center"/>
              <w:rPr>
                <w:rFonts w:eastAsia="Times New Roman"/>
                <w:color w:val="000000"/>
                <w:sz w:val="18"/>
                <w:szCs w:val="18"/>
              </w:rPr>
            </w:pPr>
            <w:r w:rsidRPr="00FF5565">
              <w:rPr>
                <w:rFonts w:eastAsia="Times New Roman"/>
                <w:color w:val="000000"/>
                <w:sz w:val="18"/>
                <w:szCs w:val="18"/>
              </w:rPr>
              <w:t>-0.0297***</w:t>
            </w:r>
          </w:p>
        </w:tc>
      </w:tr>
      <w:tr w:rsidR="00D05738" w:rsidRPr="00C8257C" w14:paraId="242EEE6A" w14:textId="77777777" w:rsidTr="008F1EE3">
        <w:trPr>
          <w:jc w:val="center"/>
        </w:trPr>
        <w:tc>
          <w:tcPr>
            <w:tcW w:w="903" w:type="dxa"/>
            <w:tcBorders>
              <w:top w:val="nil"/>
              <w:left w:val="nil"/>
              <w:right w:val="nil"/>
            </w:tcBorders>
          </w:tcPr>
          <w:p w14:paraId="2CA221D4" w14:textId="77777777" w:rsidR="00D05738" w:rsidRPr="00C8257C" w:rsidRDefault="00D05738" w:rsidP="00FF5565">
            <w:pPr>
              <w:widowControl w:val="0"/>
              <w:autoSpaceDE w:val="0"/>
              <w:autoSpaceDN w:val="0"/>
              <w:adjustRightInd w:val="0"/>
              <w:ind w:right="-117"/>
              <w:rPr>
                <w:i/>
                <w:sz w:val="22"/>
                <w:szCs w:val="22"/>
              </w:rPr>
            </w:pPr>
          </w:p>
        </w:tc>
        <w:tc>
          <w:tcPr>
            <w:tcW w:w="725" w:type="dxa"/>
            <w:tcBorders>
              <w:top w:val="nil"/>
              <w:left w:val="nil"/>
              <w:right w:val="nil"/>
            </w:tcBorders>
          </w:tcPr>
          <w:p w14:paraId="62F890D7" w14:textId="77777777" w:rsidR="00D05738" w:rsidRPr="00C8257C" w:rsidRDefault="00D05738" w:rsidP="007E20C2">
            <w:pPr>
              <w:widowControl w:val="0"/>
              <w:autoSpaceDE w:val="0"/>
              <w:autoSpaceDN w:val="0"/>
              <w:adjustRightInd w:val="0"/>
              <w:jc w:val="center"/>
              <w:rPr>
                <w:sz w:val="22"/>
                <w:szCs w:val="22"/>
              </w:rPr>
            </w:pPr>
          </w:p>
        </w:tc>
        <w:tc>
          <w:tcPr>
            <w:tcW w:w="991" w:type="dxa"/>
            <w:tcBorders>
              <w:top w:val="nil"/>
              <w:left w:val="nil"/>
              <w:right w:val="nil"/>
            </w:tcBorders>
            <w:vAlign w:val="bottom"/>
          </w:tcPr>
          <w:p w14:paraId="2B7E1B9E" w14:textId="61CD1600" w:rsidR="00D05738" w:rsidRPr="00FF5565" w:rsidRDefault="00D05738" w:rsidP="00FF5565">
            <w:pPr>
              <w:widowControl w:val="0"/>
              <w:autoSpaceDE w:val="0"/>
              <w:autoSpaceDN w:val="0"/>
              <w:adjustRightInd w:val="0"/>
              <w:ind w:right="-97"/>
              <w:jc w:val="center"/>
              <w:rPr>
                <w:rFonts w:eastAsia="Times New Roman"/>
                <w:color w:val="000000"/>
                <w:sz w:val="18"/>
                <w:szCs w:val="18"/>
              </w:rPr>
            </w:pPr>
            <w:r w:rsidRPr="00FF5565">
              <w:rPr>
                <w:rFonts w:eastAsia="Times New Roman"/>
                <w:color w:val="000000"/>
                <w:sz w:val="18"/>
                <w:szCs w:val="18"/>
              </w:rPr>
              <w:t>(-12.3967)</w:t>
            </w:r>
          </w:p>
        </w:tc>
        <w:tc>
          <w:tcPr>
            <w:tcW w:w="991" w:type="dxa"/>
            <w:gridSpan w:val="2"/>
            <w:tcBorders>
              <w:top w:val="nil"/>
              <w:left w:val="nil"/>
              <w:right w:val="nil"/>
            </w:tcBorders>
            <w:vAlign w:val="bottom"/>
          </w:tcPr>
          <w:p w14:paraId="1FF6503F" w14:textId="13D1F464" w:rsidR="00D05738" w:rsidRPr="00FF5565" w:rsidRDefault="00D05738" w:rsidP="00FF5565">
            <w:pPr>
              <w:widowControl w:val="0"/>
              <w:autoSpaceDE w:val="0"/>
              <w:autoSpaceDN w:val="0"/>
              <w:adjustRightInd w:val="0"/>
              <w:ind w:right="-97"/>
              <w:jc w:val="center"/>
              <w:rPr>
                <w:rFonts w:eastAsia="Times New Roman"/>
                <w:color w:val="000000"/>
                <w:sz w:val="18"/>
                <w:szCs w:val="18"/>
              </w:rPr>
            </w:pPr>
            <w:r w:rsidRPr="00FF5565">
              <w:rPr>
                <w:rFonts w:eastAsia="Times New Roman"/>
                <w:color w:val="000000"/>
                <w:sz w:val="18"/>
                <w:szCs w:val="18"/>
              </w:rPr>
              <w:t>(-12.3649)</w:t>
            </w:r>
          </w:p>
        </w:tc>
        <w:tc>
          <w:tcPr>
            <w:tcW w:w="991" w:type="dxa"/>
            <w:gridSpan w:val="2"/>
            <w:tcBorders>
              <w:top w:val="nil"/>
              <w:left w:val="nil"/>
              <w:right w:val="nil"/>
            </w:tcBorders>
            <w:vAlign w:val="bottom"/>
          </w:tcPr>
          <w:p w14:paraId="74D9653D" w14:textId="52D40985" w:rsidR="00D05738" w:rsidRPr="00FF5565" w:rsidRDefault="00D05738" w:rsidP="00FF5565">
            <w:pPr>
              <w:widowControl w:val="0"/>
              <w:autoSpaceDE w:val="0"/>
              <w:autoSpaceDN w:val="0"/>
              <w:adjustRightInd w:val="0"/>
              <w:ind w:right="-97"/>
              <w:jc w:val="center"/>
              <w:rPr>
                <w:sz w:val="18"/>
                <w:szCs w:val="18"/>
              </w:rPr>
            </w:pPr>
            <w:r w:rsidRPr="00FF5565">
              <w:rPr>
                <w:rFonts w:eastAsia="Times New Roman"/>
                <w:color w:val="000000"/>
                <w:sz w:val="18"/>
                <w:szCs w:val="18"/>
              </w:rPr>
              <w:t>(-12.5003)</w:t>
            </w:r>
          </w:p>
        </w:tc>
        <w:tc>
          <w:tcPr>
            <w:tcW w:w="977" w:type="dxa"/>
            <w:gridSpan w:val="2"/>
            <w:tcBorders>
              <w:top w:val="nil"/>
              <w:left w:val="nil"/>
              <w:right w:val="nil"/>
            </w:tcBorders>
            <w:vAlign w:val="bottom"/>
          </w:tcPr>
          <w:p w14:paraId="530DCCE5" w14:textId="6206CEAB" w:rsidR="00D05738" w:rsidRPr="00FF5565" w:rsidRDefault="00D05738" w:rsidP="00FF5565">
            <w:pPr>
              <w:widowControl w:val="0"/>
              <w:autoSpaceDE w:val="0"/>
              <w:autoSpaceDN w:val="0"/>
              <w:adjustRightInd w:val="0"/>
              <w:ind w:right="-100"/>
              <w:jc w:val="center"/>
              <w:rPr>
                <w:sz w:val="18"/>
                <w:szCs w:val="18"/>
              </w:rPr>
            </w:pPr>
            <w:r w:rsidRPr="00FF5565">
              <w:rPr>
                <w:rFonts w:eastAsia="Times New Roman"/>
                <w:color w:val="000000"/>
                <w:sz w:val="18"/>
                <w:szCs w:val="18"/>
              </w:rPr>
              <w:t>(-12.4721)</w:t>
            </w:r>
          </w:p>
        </w:tc>
        <w:tc>
          <w:tcPr>
            <w:tcW w:w="971" w:type="dxa"/>
            <w:gridSpan w:val="2"/>
            <w:tcBorders>
              <w:top w:val="nil"/>
              <w:left w:val="nil"/>
              <w:right w:val="nil"/>
            </w:tcBorders>
            <w:vAlign w:val="bottom"/>
          </w:tcPr>
          <w:p w14:paraId="537A5138" w14:textId="4ACFFDE8" w:rsidR="00D05738" w:rsidRPr="00FF5565" w:rsidRDefault="00D05738" w:rsidP="00FF5565">
            <w:pPr>
              <w:widowControl w:val="0"/>
              <w:autoSpaceDE w:val="0"/>
              <w:autoSpaceDN w:val="0"/>
              <w:adjustRightInd w:val="0"/>
              <w:ind w:right="-117"/>
              <w:jc w:val="center"/>
              <w:rPr>
                <w:sz w:val="18"/>
                <w:szCs w:val="18"/>
              </w:rPr>
            </w:pPr>
            <w:r w:rsidRPr="00FF5565">
              <w:rPr>
                <w:rFonts w:eastAsia="Times New Roman"/>
                <w:color w:val="000000"/>
                <w:sz w:val="18"/>
                <w:szCs w:val="18"/>
              </w:rPr>
              <w:t>(-12.4962)</w:t>
            </w:r>
          </w:p>
        </w:tc>
        <w:tc>
          <w:tcPr>
            <w:tcW w:w="929" w:type="dxa"/>
            <w:gridSpan w:val="2"/>
            <w:tcBorders>
              <w:top w:val="nil"/>
              <w:left w:val="nil"/>
              <w:right w:val="nil"/>
            </w:tcBorders>
            <w:vAlign w:val="bottom"/>
          </w:tcPr>
          <w:p w14:paraId="168ABDFE" w14:textId="375B7240" w:rsidR="00D05738" w:rsidRPr="00FF5565" w:rsidRDefault="00D05738" w:rsidP="00FF5565">
            <w:pPr>
              <w:widowControl w:val="0"/>
              <w:autoSpaceDE w:val="0"/>
              <w:autoSpaceDN w:val="0"/>
              <w:adjustRightInd w:val="0"/>
              <w:ind w:right="-117"/>
              <w:jc w:val="center"/>
              <w:rPr>
                <w:sz w:val="18"/>
                <w:szCs w:val="18"/>
              </w:rPr>
            </w:pPr>
            <w:r w:rsidRPr="00FF5565">
              <w:rPr>
                <w:rFonts w:eastAsia="Times New Roman"/>
                <w:color w:val="000000"/>
                <w:sz w:val="18"/>
                <w:szCs w:val="18"/>
              </w:rPr>
              <w:t>(-12.4680)</w:t>
            </w:r>
          </w:p>
        </w:tc>
        <w:tc>
          <w:tcPr>
            <w:tcW w:w="994" w:type="dxa"/>
            <w:gridSpan w:val="2"/>
            <w:tcBorders>
              <w:top w:val="nil"/>
              <w:left w:val="nil"/>
              <w:right w:val="nil"/>
            </w:tcBorders>
            <w:vAlign w:val="bottom"/>
          </w:tcPr>
          <w:p w14:paraId="5EF4AD2A" w14:textId="40419AE1" w:rsidR="00D05738" w:rsidRPr="00FF5565" w:rsidRDefault="00D05738" w:rsidP="00FF5565">
            <w:pPr>
              <w:widowControl w:val="0"/>
              <w:autoSpaceDE w:val="0"/>
              <w:autoSpaceDN w:val="0"/>
              <w:adjustRightInd w:val="0"/>
              <w:ind w:right="-117"/>
              <w:jc w:val="center"/>
              <w:rPr>
                <w:rFonts w:eastAsia="Times New Roman"/>
                <w:color w:val="000000"/>
                <w:sz w:val="18"/>
                <w:szCs w:val="18"/>
              </w:rPr>
            </w:pPr>
            <w:r w:rsidRPr="00FF5565">
              <w:rPr>
                <w:rFonts w:eastAsia="Times New Roman"/>
                <w:color w:val="000000"/>
                <w:sz w:val="18"/>
                <w:szCs w:val="18"/>
              </w:rPr>
              <w:t>(-11.5339)</w:t>
            </w:r>
          </w:p>
        </w:tc>
        <w:tc>
          <w:tcPr>
            <w:tcW w:w="992" w:type="dxa"/>
            <w:gridSpan w:val="2"/>
            <w:tcBorders>
              <w:top w:val="nil"/>
              <w:left w:val="nil"/>
              <w:right w:val="nil"/>
            </w:tcBorders>
            <w:vAlign w:val="bottom"/>
          </w:tcPr>
          <w:p w14:paraId="0F2285F6" w14:textId="2FDF73D8" w:rsidR="00D05738" w:rsidRPr="00FF5565" w:rsidRDefault="00D05738" w:rsidP="00FF5565">
            <w:pPr>
              <w:widowControl w:val="0"/>
              <w:autoSpaceDE w:val="0"/>
              <w:autoSpaceDN w:val="0"/>
              <w:adjustRightInd w:val="0"/>
              <w:ind w:right="-117"/>
              <w:jc w:val="center"/>
              <w:rPr>
                <w:rFonts w:eastAsia="Times New Roman"/>
                <w:color w:val="000000"/>
                <w:sz w:val="18"/>
                <w:szCs w:val="18"/>
              </w:rPr>
            </w:pPr>
            <w:r w:rsidRPr="00FF5565">
              <w:rPr>
                <w:rFonts w:eastAsia="Times New Roman"/>
                <w:color w:val="000000"/>
                <w:sz w:val="18"/>
                <w:szCs w:val="18"/>
              </w:rPr>
              <w:t>(-11.5165)</w:t>
            </w:r>
          </w:p>
        </w:tc>
      </w:tr>
      <w:tr w:rsidR="00D05738" w:rsidRPr="00C8257C" w14:paraId="5FF559BE" w14:textId="77777777" w:rsidTr="008F1EE3">
        <w:trPr>
          <w:jc w:val="center"/>
        </w:trPr>
        <w:tc>
          <w:tcPr>
            <w:tcW w:w="903" w:type="dxa"/>
            <w:tcBorders>
              <w:top w:val="nil"/>
              <w:left w:val="nil"/>
              <w:right w:val="nil"/>
            </w:tcBorders>
          </w:tcPr>
          <w:p w14:paraId="19C22C04" w14:textId="576F37A4" w:rsidR="00D05738" w:rsidRPr="00C8257C" w:rsidRDefault="00D05738" w:rsidP="00FF5565">
            <w:pPr>
              <w:widowControl w:val="0"/>
              <w:autoSpaceDE w:val="0"/>
              <w:autoSpaceDN w:val="0"/>
              <w:adjustRightInd w:val="0"/>
              <w:ind w:right="-117"/>
              <w:rPr>
                <w:i/>
                <w:sz w:val="22"/>
                <w:szCs w:val="22"/>
              </w:rPr>
            </w:pPr>
            <w:r>
              <w:rPr>
                <w:i/>
                <w:sz w:val="22"/>
                <w:szCs w:val="22"/>
              </w:rPr>
              <w:t>ROA</w:t>
            </w:r>
            <w:r w:rsidRPr="00FF5565">
              <w:rPr>
                <w:i/>
                <w:sz w:val="22"/>
                <w:szCs w:val="22"/>
                <w:vertAlign w:val="subscript"/>
              </w:rPr>
              <w:t>t-1</w:t>
            </w:r>
          </w:p>
        </w:tc>
        <w:tc>
          <w:tcPr>
            <w:tcW w:w="725" w:type="dxa"/>
            <w:tcBorders>
              <w:top w:val="nil"/>
              <w:left w:val="nil"/>
              <w:right w:val="nil"/>
            </w:tcBorders>
          </w:tcPr>
          <w:p w14:paraId="491F4615" w14:textId="77777777" w:rsidR="00D05738" w:rsidRPr="00C8257C" w:rsidRDefault="00D05738" w:rsidP="007E20C2">
            <w:pPr>
              <w:widowControl w:val="0"/>
              <w:autoSpaceDE w:val="0"/>
              <w:autoSpaceDN w:val="0"/>
              <w:adjustRightInd w:val="0"/>
              <w:jc w:val="center"/>
              <w:rPr>
                <w:sz w:val="22"/>
                <w:szCs w:val="22"/>
              </w:rPr>
            </w:pPr>
            <w:r w:rsidRPr="00C8257C">
              <w:rPr>
                <w:sz w:val="22"/>
                <w:szCs w:val="22"/>
              </w:rPr>
              <w:t>+</w:t>
            </w:r>
          </w:p>
        </w:tc>
        <w:tc>
          <w:tcPr>
            <w:tcW w:w="991" w:type="dxa"/>
            <w:tcBorders>
              <w:top w:val="nil"/>
              <w:left w:val="nil"/>
              <w:right w:val="nil"/>
            </w:tcBorders>
            <w:vAlign w:val="bottom"/>
          </w:tcPr>
          <w:p w14:paraId="5E6B3484" w14:textId="78995380" w:rsidR="00D05738" w:rsidRPr="00FF5565" w:rsidRDefault="00D05738" w:rsidP="00FF5565">
            <w:pPr>
              <w:widowControl w:val="0"/>
              <w:autoSpaceDE w:val="0"/>
              <w:autoSpaceDN w:val="0"/>
              <w:adjustRightInd w:val="0"/>
              <w:ind w:right="-97"/>
              <w:jc w:val="center"/>
              <w:rPr>
                <w:rFonts w:eastAsia="Times New Roman"/>
                <w:color w:val="000000"/>
                <w:sz w:val="18"/>
                <w:szCs w:val="18"/>
              </w:rPr>
            </w:pPr>
            <w:r w:rsidRPr="00FF5565">
              <w:rPr>
                <w:rFonts w:eastAsia="Times New Roman"/>
                <w:color w:val="000000"/>
                <w:sz w:val="18"/>
                <w:szCs w:val="18"/>
              </w:rPr>
              <w:t>0.3150***</w:t>
            </w:r>
          </w:p>
        </w:tc>
        <w:tc>
          <w:tcPr>
            <w:tcW w:w="991" w:type="dxa"/>
            <w:gridSpan w:val="2"/>
            <w:tcBorders>
              <w:top w:val="nil"/>
              <w:left w:val="nil"/>
              <w:right w:val="nil"/>
            </w:tcBorders>
            <w:vAlign w:val="bottom"/>
          </w:tcPr>
          <w:p w14:paraId="51CA8292" w14:textId="2D255807" w:rsidR="00D05738" w:rsidRPr="00FF5565" w:rsidRDefault="00D05738" w:rsidP="00FF5565">
            <w:pPr>
              <w:widowControl w:val="0"/>
              <w:autoSpaceDE w:val="0"/>
              <w:autoSpaceDN w:val="0"/>
              <w:adjustRightInd w:val="0"/>
              <w:ind w:right="-97"/>
              <w:jc w:val="center"/>
              <w:rPr>
                <w:rFonts w:eastAsia="Times New Roman"/>
                <w:color w:val="000000"/>
                <w:sz w:val="18"/>
                <w:szCs w:val="18"/>
              </w:rPr>
            </w:pPr>
            <w:r w:rsidRPr="00FF5565">
              <w:rPr>
                <w:rFonts w:eastAsia="Times New Roman"/>
                <w:color w:val="000000"/>
                <w:sz w:val="18"/>
                <w:szCs w:val="18"/>
              </w:rPr>
              <w:t>0.3148***</w:t>
            </w:r>
          </w:p>
        </w:tc>
        <w:tc>
          <w:tcPr>
            <w:tcW w:w="991" w:type="dxa"/>
            <w:gridSpan w:val="2"/>
            <w:tcBorders>
              <w:top w:val="nil"/>
              <w:left w:val="nil"/>
              <w:right w:val="nil"/>
            </w:tcBorders>
            <w:vAlign w:val="bottom"/>
          </w:tcPr>
          <w:p w14:paraId="4FD0690C" w14:textId="47713E2E" w:rsidR="00D05738" w:rsidRPr="00FF5565" w:rsidRDefault="00D05738" w:rsidP="00FF5565">
            <w:pPr>
              <w:widowControl w:val="0"/>
              <w:autoSpaceDE w:val="0"/>
              <w:autoSpaceDN w:val="0"/>
              <w:adjustRightInd w:val="0"/>
              <w:ind w:right="-97"/>
              <w:jc w:val="center"/>
              <w:rPr>
                <w:sz w:val="18"/>
                <w:szCs w:val="18"/>
              </w:rPr>
            </w:pPr>
            <w:r w:rsidRPr="00FF5565">
              <w:rPr>
                <w:rFonts w:eastAsia="Times New Roman"/>
                <w:color w:val="000000"/>
                <w:sz w:val="18"/>
                <w:szCs w:val="18"/>
              </w:rPr>
              <w:t>0.4843***</w:t>
            </w:r>
          </w:p>
        </w:tc>
        <w:tc>
          <w:tcPr>
            <w:tcW w:w="977" w:type="dxa"/>
            <w:gridSpan w:val="2"/>
            <w:tcBorders>
              <w:top w:val="nil"/>
              <w:left w:val="nil"/>
              <w:right w:val="nil"/>
            </w:tcBorders>
            <w:vAlign w:val="bottom"/>
          </w:tcPr>
          <w:p w14:paraId="095ACDE6" w14:textId="7A23A60D" w:rsidR="00D05738" w:rsidRPr="00FF5565" w:rsidRDefault="00D05738" w:rsidP="00FF5565">
            <w:pPr>
              <w:widowControl w:val="0"/>
              <w:autoSpaceDE w:val="0"/>
              <w:autoSpaceDN w:val="0"/>
              <w:adjustRightInd w:val="0"/>
              <w:ind w:right="-100"/>
              <w:jc w:val="center"/>
              <w:rPr>
                <w:sz w:val="18"/>
                <w:szCs w:val="18"/>
              </w:rPr>
            </w:pPr>
            <w:r w:rsidRPr="00FF5565">
              <w:rPr>
                <w:rFonts w:eastAsia="Times New Roman"/>
                <w:color w:val="000000"/>
                <w:sz w:val="18"/>
                <w:szCs w:val="18"/>
              </w:rPr>
              <w:t>0.4846***</w:t>
            </w:r>
          </w:p>
        </w:tc>
        <w:tc>
          <w:tcPr>
            <w:tcW w:w="971" w:type="dxa"/>
            <w:gridSpan w:val="2"/>
            <w:tcBorders>
              <w:top w:val="nil"/>
              <w:left w:val="nil"/>
              <w:right w:val="nil"/>
            </w:tcBorders>
            <w:vAlign w:val="bottom"/>
          </w:tcPr>
          <w:p w14:paraId="7B99B08A" w14:textId="58DF616F" w:rsidR="00D05738" w:rsidRPr="00FF5565" w:rsidRDefault="00D05738" w:rsidP="00FF5565">
            <w:pPr>
              <w:widowControl w:val="0"/>
              <w:autoSpaceDE w:val="0"/>
              <w:autoSpaceDN w:val="0"/>
              <w:adjustRightInd w:val="0"/>
              <w:ind w:right="-117"/>
              <w:jc w:val="center"/>
              <w:rPr>
                <w:sz w:val="18"/>
                <w:szCs w:val="18"/>
              </w:rPr>
            </w:pPr>
            <w:r w:rsidRPr="00FF5565">
              <w:rPr>
                <w:rFonts w:eastAsia="Times New Roman"/>
                <w:color w:val="000000"/>
                <w:sz w:val="18"/>
                <w:szCs w:val="18"/>
              </w:rPr>
              <w:t>0.4853***</w:t>
            </w:r>
          </w:p>
        </w:tc>
        <w:tc>
          <w:tcPr>
            <w:tcW w:w="929" w:type="dxa"/>
            <w:gridSpan w:val="2"/>
            <w:tcBorders>
              <w:top w:val="nil"/>
              <w:left w:val="nil"/>
              <w:right w:val="nil"/>
            </w:tcBorders>
            <w:vAlign w:val="bottom"/>
          </w:tcPr>
          <w:p w14:paraId="5216A2FB" w14:textId="61250C5B" w:rsidR="00D05738" w:rsidRPr="00FF5565" w:rsidRDefault="00D05738" w:rsidP="00FF5565">
            <w:pPr>
              <w:widowControl w:val="0"/>
              <w:autoSpaceDE w:val="0"/>
              <w:autoSpaceDN w:val="0"/>
              <w:adjustRightInd w:val="0"/>
              <w:ind w:right="-117"/>
              <w:jc w:val="center"/>
              <w:rPr>
                <w:sz w:val="18"/>
                <w:szCs w:val="18"/>
              </w:rPr>
            </w:pPr>
            <w:r w:rsidRPr="00FF5565">
              <w:rPr>
                <w:rFonts w:eastAsia="Times New Roman"/>
                <w:color w:val="000000"/>
                <w:sz w:val="18"/>
                <w:szCs w:val="18"/>
              </w:rPr>
              <w:t>0.4857***</w:t>
            </w:r>
          </w:p>
        </w:tc>
        <w:tc>
          <w:tcPr>
            <w:tcW w:w="994" w:type="dxa"/>
            <w:gridSpan w:val="2"/>
            <w:tcBorders>
              <w:top w:val="nil"/>
              <w:left w:val="nil"/>
              <w:right w:val="nil"/>
            </w:tcBorders>
            <w:vAlign w:val="bottom"/>
          </w:tcPr>
          <w:p w14:paraId="0FBEFB15" w14:textId="6557F465" w:rsidR="00D05738" w:rsidRPr="00FF5565" w:rsidRDefault="00D05738" w:rsidP="00FF5565">
            <w:pPr>
              <w:widowControl w:val="0"/>
              <w:autoSpaceDE w:val="0"/>
              <w:autoSpaceDN w:val="0"/>
              <w:adjustRightInd w:val="0"/>
              <w:ind w:right="-117"/>
              <w:jc w:val="center"/>
              <w:rPr>
                <w:rFonts w:eastAsia="Times New Roman"/>
                <w:color w:val="000000"/>
                <w:sz w:val="18"/>
                <w:szCs w:val="18"/>
              </w:rPr>
            </w:pPr>
            <w:r w:rsidRPr="00FF5565">
              <w:rPr>
                <w:rFonts w:eastAsia="Times New Roman"/>
                <w:color w:val="000000"/>
                <w:sz w:val="18"/>
                <w:szCs w:val="18"/>
              </w:rPr>
              <w:t>0.4925***</w:t>
            </w:r>
          </w:p>
        </w:tc>
        <w:tc>
          <w:tcPr>
            <w:tcW w:w="992" w:type="dxa"/>
            <w:gridSpan w:val="2"/>
            <w:tcBorders>
              <w:top w:val="nil"/>
              <w:left w:val="nil"/>
              <w:right w:val="nil"/>
            </w:tcBorders>
            <w:vAlign w:val="bottom"/>
          </w:tcPr>
          <w:p w14:paraId="7092105F" w14:textId="7A47B1C3" w:rsidR="00D05738" w:rsidRPr="00FF5565" w:rsidRDefault="00D05738" w:rsidP="00FF5565">
            <w:pPr>
              <w:widowControl w:val="0"/>
              <w:autoSpaceDE w:val="0"/>
              <w:autoSpaceDN w:val="0"/>
              <w:adjustRightInd w:val="0"/>
              <w:ind w:right="-117"/>
              <w:jc w:val="center"/>
              <w:rPr>
                <w:rFonts w:eastAsia="Times New Roman"/>
                <w:color w:val="000000"/>
                <w:sz w:val="18"/>
                <w:szCs w:val="18"/>
              </w:rPr>
            </w:pPr>
            <w:r w:rsidRPr="00FF5565">
              <w:rPr>
                <w:rFonts w:eastAsia="Times New Roman"/>
                <w:color w:val="000000"/>
                <w:sz w:val="18"/>
                <w:szCs w:val="18"/>
              </w:rPr>
              <w:t>0.4934***</w:t>
            </w:r>
          </w:p>
        </w:tc>
      </w:tr>
      <w:tr w:rsidR="00D05738" w:rsidRPr="00C8257C" w14:paraId="42E0F0B4" w14:textId="77777777" w:rsidTr="008F1EE3">
        <w:trPr>
          <w:trHeight w:val="215"/>
          <w:jc w:val="center"/>
        </w:trPr>
        <w:tc>
          <w:tcPr>
            <w:tcW w:w="903" w:type="dxa"/>
            <w:tcBorders>
              <w:left w:val="nil"/>
              <w:right w:val="nil"/>
            </w:tcBorders>
          </w:tcPr>
          <w:p w14:paraId="3B639FD4" w14:textId="77777777" w:rsidR="00D05738" w:rsidRPr="00C8257C" w:rsidRDefault="00D05738" w:rsidP="00FF5565">
            <w:pPr>
              <w:widowControl w:val="0"/>
              <w:autoSpaceDE w:val="0"/>
              <w:autoSpaceDN w:val="0"/>
              <w:adjustRightInd w:val="0"/>
              <w:ind w:right="-117"/>
              <w:rPr>
                <w:i/>
                <w:sz w:val="22"/>
                <w:szCs w:val="22"/>
              </w:rPr>
            </w:pPr>
          </w:p>
        </w:tc>
        <w:tc>
          <w:tcPr>
            <w:tcW w:w="725" w:type="dxa"/>
            <w:tcBorders>
              <w:left w:val="nil"/>
              <w:right w:val="nil"/>
            </w:tcBorders>
          </w:tcPr>
          <w:p w14:paraId="77F76154" w14:textId="77777777" w:rsidR="00D05738" w:rsidRPr="00C8257C" w:rsidRDefault="00D05738" w:rsidP="007E20C2">
            <w:pPr>
              <w:widowControl w:val="0"/>
              <w:autoSpaceDE w:val="0"/>
              <w:autoSpaceDN w:val="0"/>
              <w:adjustRightInd w:val="0"/>
              <w:jc w:val="center"/>
              <w:rPr>
                <w:sz w:val="22"/>
                <w:szCs w:val="22"/>
              </w:rPr>
            </w:pPr>
          </w:p>
        </w:tc>
        <w:tc>
          <w:tcPr>
            <w:tcW w:w="991" w:type="dxa"/>
            <w:tcBorders>
              <w:left w:val="nil"/>
              <w:right w:val="nil"/>
            </w:tcBorders>
            <w:vAlign w:val="bottom"/>
          </w:tcPr>
          <w:p w14:paraId="563FAEF6" w14:textId="0CAEC835" w:rsidR="00D05738" w:rsidRPr="00FF5565" w:rsidRDefault="00D05738" w:rsidP="00FF5565">
            <w:pPr>
              <w:widowControl w:val="0"/>
              <w:autoSpaceDE w:val="0"/>
              <w:autoSpaceDN w:val="0"/>
              <w:adjustRightInd w:val="0"/>
              <w:ind w:right="-97"/>
              <w:jc w:val="center"/>
              <w:rPr>
                <w:rFonts w:eastAsia="Times New Roman"/>
                <w:color w:val="000000"/>
                <w:sz w:val="18"/>
                <w:szCs w:val="18"/>
              </w:rPr>
            </w:pPr>
            <w:r w:rsidRPr="00FF5565">
              <w:rPr>
                <w:rFonts w:eastAsia="Times New Roman"/>
                <w:color w:val="000000"/>
                <w:sz w:val="18"/>
                <w:szCs w:val="18"/>
              </w:rPr>
              <w:t>(5.5148)</w:t>
            </w:r>
          </w:p>
        </w:tc>
        <w:tc>
          <w:tcPr>
            <w:tcW w:w="991" w:type="dxa"/>
            <w:gridSpan w:val="2"/>
            <w:tcBorders>
              <w:left w:val="nil"/>
              <w:right w:val="nil"/>
            </w:tcBorders>
            <w:vAlign w:val="bottom"/>
          </w:tcPr>
          <w:p w14:paraId="6427F7D8" w14:textId="28434D8E" w:rsidR="00D05738" w:rsidRPr="00FF5565" w:rsidRDefault="00D05738" w:rsidP="00FF5565">
            <w:pPr>
              <w:widowControl w:val="0"/>
              <w:autoSpaceDE w:val="0"/>
              <w:autoSpaceDN w:val="0"/>
              <w:adjustRightInd w:val="0"/>
              <w:ind w:right="-97"/>
              <w:jc w:val="center"/>
              <w:rPr>
                <w:rFonts w:eastAsia="Times New Roman"/>
                <w:color w:val="000000"/>
                <w:sz w:val="18"/>
                <w:szCs w:val="18"/>
              </w:rPr>
            </w:pPr>
            <w:r w:rsidRPr="00FF5565">
              <w:rPr>
                <w:rFonts w:eastAsia="Times New Roman"/>
                <w:color w:val="000000"/>
                <w:sz w:val="18"/>
                <w:szCs w:val="18"/>
              </w:rPr>
              <w:t>(5.5206)</w:t>
            </w:r>
          </w:p>
        </w:tc>
        <w:tc>
          <w:tcPr>
            <w:tcW w:w="991" w:type="dxa"/>
            <w:gridSpan w:val="2"/>
            <w:tcBorders>
              <w:left w:val="nil"/>
              <w:right w:val="nil"/>
            </w:tcBorders>
            <w:vAlign w:val="bottom"/>
          </w:tcPr>
          <w:p w14:paraId="685DC122" w14:textId="60FFF3FA" w:rsidR="00D05738" w:rsidRPr="00FF5565" w:rsidRDefault="00D05738" w:rsidP="00FF5565">
            <w:pPr>
              <w:widowControl w:val="0"/>
              <w:autoSpaceDE w:val="0"/>
              <w:autoSpaceDN w:val="0"/>
              <w:adjustRightInd w:val="0"/>
              <w:ind w:right="-97"/>
              <w:jc w:val="center"/>
              <w:rPr>
                <w:sz w:val="18"/>
                <w:szCs w:val="18"/>
              </w:rPr>
            </w:pPr>
            <w:r w:rsidRPr="00FF5565">
              <w:rPr>
                <w:rFonts w:eastAsia="Times New Roman"/>
                <w:color w:val="000000"/>
                <w:sz w:val="18"/>
                <w:szCs w:val="18"/>
              </w:rPr>
              <w:t>(8.4341)</w:t>
            </w:r>
          </w:p>
        </w:tc>
        <w:tc>
          <w:tcPr>
            <w:tcW w:w="977" w:type="dxa"/>
            <w:gridSpan w:val="2"/>
            <w:tcBorders>
              <w:left w:val="nil"/>
              <w:right w:val="nil"/>
            </w:tcBorders>
            <w:vAlign w:val="bottom"/>
          </w:tcPr>
          <w:p w14:paraId="6FC72BA9" w14:textId="730CED6F" w:rsidR="00D05738" w:rsidRPr="00FF5565" w:rsidRDefault="00D05738" w:rsidP="00FF5565">
            <w:pPr>
              <w:widowControl w:val="0"/>
              <w:autoSpaceDE w:val="0"/>
              <w:autoSpaceDN w:val="0"/>
              <w:adjustRightInd w:val="0"/>
              <w:ind w:right="-100"/>
              <w:jc w:val="center"/>
              <w:rPr>
                <w:sz w:val="18"/>
                <w:szCs w:val="18"/>
              </w:rPr>
            </w:pPr>
            <w:r w:rsidRPr="00FF5565">
              <w:rPr>
                <w:rFonts w:eastAsia="Times New Roman"/>
                <w:color w:val="000000"/>
                <w:sz w:val="18"/>
                <w:szCs w:val="18"/>
              </w:rPr>
              <w:t>(8.4518)</w:t>
            </w:r>
          </w:p>
        </w:tc>
        <w:tc>
          <w:tcPr>
            <w:tcW w:w="971" w:type="dxa"/>
            <w:gridSpan w:val="2"/>
            <w:tcBorders>
              <w:left w:val="nil"/>
              <w:right w:val="nil"/>
            </w:tcBorders>
            <w:vAlign w:val="bottom"/>
          </w:tcPr>
          <w:p w14:paraId="46E2EB54" w14:textId="6539B1DC" w:rsidR="00D05738" w:rsidRPr="00FF5565" w:rsidRDefault="00D05738" w:rsidP="00FF5565">
            <w:pPr>
              <w:widowControl w:val="0"/>
              <w:autoSpaceDE w:val="0"/>
              <w:autoSpaceDN w:val="0"/>
              <w:adjustRightInd w:val="0"/>
              <w:ind w:right="-117"/>
              <w:jc w:val="center"/>
              <w:rPr>
                <w:sz w:val="18"/>
                <w:szCs w:val="18"/>
              </w:rPr>
            </w:pPr>
            <w:r w:rsidRPr="00FF5565">
              <w:rPr>
                <w:rFonts w:eastAsia="Times New Roman"/>
                <w:color w:val="000000"/>
                <w:sz w:val="18"/>
                <w:szCs w:val="18"/>
              </w:rPr>
              <w:t>(8.4945)</w:t>
            </w:r>
          </w:p>
        </w:tc>
        <w:tc>
          <w:tcPr>
            <w:tcW w:w="929" w:type="dxa"/>
            <w:gridSpan w:val="2"/>
            <w:tcBorders>
              <w:left w:val="nil"/>
              <w:right w:val="nil"/>
            </w:tcBorders>
            <w:vAlign w:val="bottom"/>
          </w:tcPr>
          <w:p w14:paraId="0A6AD5F4" w14:textId="19E76E99" w:rsidR="00D05738" w:rsidRPr="00FF5565" w:rsidRDefault="00D05738" w:rsidP="00FF5565">
            <w:pPr>
              <w:widowControl w:val="0"/>
              <w:autoSpaceDE w:val="0"/>
              <w:autoSpaceDN w:val="0"/>
              <w:adjustRightInd w:val="0"/>
              <w:ind w:right="-117"/>
              <w:jc w:val="center"/>
              <w:rPr>
                <w:sz w:val="18"/>
                <w:szCs w:val="18"/>
              </w:rPr>
            </w:pPr>
            <w:r w:rsidRPr="00FF5565">
              <w:rPr>
                <w:rFonts w:eastAsia="Times New Roman"/>
                <w:color w:val="000000"/>
                <w:sz w:val="18"/>
                <w:szCs w:val="18"/>
              </w:rPr>
              <w:t>(8.5147)</w:t>
            </w:r>
          </w:p>
        </w:tc>
        <w:tc>
          <w:tcPr>
            <w:tcW w:w="994" w:type="dxa"/>
            <w:gridSpan w:val="2"/>
            <w:tcBorders>
              <w:left w:val="nil"/>
              <w:right w:val="nil"/>
            </w:tcBorders>
            <w:vAlign w:val="bottom"/>
          </w:tcPr>
          <w:p w14:paraId="6B4AC57A" w14:textId="5E8AA0B9" w:rsidR="00D05738" w:rsidRPr="00FF5565" w:rsidRDefault="00D05738" w:rsidP="00FF5565">
            <w:pPr>
              <w:widowControl w:val="0"/>
              <w:autoSpaceDE w:val="0"/>
              <w:autoSpaceDN w:val="0"/>
              <w:adjustRightInd w:val="0"/>
              <w:ind w:right="-117"/>
              <w:jc w:val="center"/>
              <w:rPr>
                <w:rFonts w:eastAsia="Times New Roman"/>
                <w:color w:val="000000"/>
                <w:sz w:val="18"/>
                <w:szCs w:val="18"/>
              </w:rPr>
            </w:pPr>
            <w:r w:rsidRPr="00FF5565">
              <w:rPr>
                <w:rFonts w:eastAsia="Times New Roman"/>
                <w:color w:val="000000"/>
                <w:sz w:val="18"/>
                <w:szCs w:val="18"/>
              </w:rPr>
              <w:t>(7.6610)</w:t>
            </w:r>
          </w:p>
        </w:tc>
        <w:tc>
          <w:tcPr>
            <w:tcW w:w="992" w:type="dxa"/>
            <w:gridSpan w:val="2"/>
            <w:tcBorders>
              <w:left w:val="nil"/>
              <w:right w:val="nil"/>
            </w:tcBorders>
            <w:vAlign w:val="bottom"/>
          </w:tcPr>
          <w:p w14:paraId="25938FC0" w14:textId="0744BB71" w:rsidR="00D05738" w:rsidRPr="00FF5565" w:rsidRDefault="00D05738" w:rsidP="00FF5565">
            <w:pPr>
              <w:widowControl w:val="0"/>
              <w:autoSpaceDE w:val="0"/>
              <w:autoSpaceDN w:val="0"/>
              <w:adjustRightInd w:val="0"/>
              <w:ind w:right="-117"/>
              <w:jc w:val="center"/>
              <w:rPr>
                <w:rFonts w:eastAsia="Times New Roman"/>
                <w:color w:val="000000"/>
                <w:sz w:val="18"/>
                <w:szCs w:val="18"/>
              </w:rPr>
            </w:pPr>
            <w:r w:rsidRPr="00FF5565">
              <w:rPr>
                <w:rFonts w:eastAsia="Times New Roman"/>
                <w:color w:val="000000"/>
                <w:sz w:val="18"/>
                <w:szCs w:val="18"/>
              </w:rPr>
              <w:t>(7.6823)</w:t>
            </w:r>
          </w:p>
        </w:tc>
      </w:tr>
      <w:tr w:rsidR="00D05738" w:rsidRPr="00C8257C" w14:paraId="3255ED40" w14:textId="77777777" w:rsidTr="008F1EE3">
        <w:trPr>
          <w:trHeight w:val="215"/>
          <w:jc w:val="center"/>
        </w:trPr>
        <w:tc>
          <w:tcPr>
            <w:tcW w:w="903" w:type="dxa"/>
            <w:tcBorders>
              <w:left w:val="nil"/>
              <w:right w:val="nil"/>
            </w:tcBorders>
          </w:tcPr>
          <w:p w14:paraId="6847D0D5" w14:textId="0EDDC9D0" w:rsidR="00D05738" w:rsidRPr="00C8257C" w:rsidRDefault="00D05738" w:rsidP="00FF5565">
            <w:pPr>
              <w:widowControl w:val="0"/>
              <w:autoSpaceDE w:val="0"/>
              <w:autoSpaceDN w:val="0"/>
              <w:adjustRightInd w:val="0"/>
              <w:ind w:right="-117"/>
              <w:rPr>
                <w:i/>
                <w:sz w:val="22"/>
                <w:szCs w:val="22"/>
              </w:rPr>
            </w:pPr>
            <w:r>
              <w:rPr>
                <w:i/>
                <w:sz w:val="22"/>
                <w:szCs w:val="22"/>
              </w:rPr>
              <w:t>G</w:t>
            </w:r>
          </w:p>
        </w:tc>
        <w:tc>
          <w:tcPr>
            <w:tcW w:w="725" w:type="dxa"/>
            <w:tcBorders>
              <w:left w:val="nil"/>
              <w:right w:val="nil"/>
            </w:tcBorders>
          </w:tcPr>
          <w:p w14:paraId="26235E36" w14:textId="7565E28D" w:rsidR="00D05738" w:rsidRPr="00C8257C" w:rsidRDefault="00D05738" w:rsidP="007E20C2">
            <w:pPr>
              <w:widowControl w:val="0"/>
              <w:autoSpaceDE w:val="0"/>
              <w:autoSpaceDN w:val="0"/>
              <w:adjustRightInd w:val="0"/>
              <w:jc w:val="center"/>
              <w:rPr>
                <w:sz w:val="22"/>
                <w:szCs w:val="22"/>
              </w:rPr>
            </w:pPr>
            <w:r>
              <w:rPr>
                <w:sz w:val="22"/>
                <w:szCs w:val="22"/>
              </w:rPr>
              <w:t>+</w:t>
            </w:r>
          </w:p>
        </w:tc>
        <w:tc>
          <w:tcPr>
            <w:tcW w:w="991" w:type="dxa"/>
            <w:tcBorders>
              <w:left w:val="nil"/>
              <w:right w:val="nil"/>
            </w:tcBorders>
            <w:vAlign w:val="bottom"/>
          </w:tcPr>
          <w:p w14:paraId="21E7A8F7" w14:textId="77777777" w:rsidR="00D05738" w:rsidRPr="00FF5565" w:rsidRDefault="00D05738" w:rsidP="00FF5565">
            <w:pPr>
              <w:widowControl w:val="0"/>
              <w:autoSpaceDE w:val="0"/>
              <w:autoSpaceDN w:val="0"/>
              <w:adjustRightInd w:val="0"/>
              <w:ind w:right="-97"/>
              <w:jc w:val="center"/>
              <w:rPr>
                <w:sz w:val="18"/>
                <w:szCs w:val="18"/>
              </w:rPr>
            </w:pPr>
          </w:p>
        </w:tc>
        <w:tc>
          <w:tcPr>
            <w:tcW w:w="991" w:type="dxa"/>
            <w:gridSpan w:val="2"/>
            <w:tcBorders>
              <w:left w:val="nil"/>
              <w:right w:val="nil"/>
            </w:tcBorders>
            <w:vAlign w:val="bottom"/>
          </w:tcPr>
          <w:p w14:paraId="4F49C281" w14:textId="3903122F" w:rsidR="00D05738" w:rsidRPr="00FF5565" w:rsidRDefault="00D05738" w:rsidP="00FF5565">
            <w:pPr>
              <w:widowControl w:val="0"/>
              <w:autoSpaceDE w:val="0"/>
              <w:autoSpaceDN w:val="0"/>
              <w:adjustRightInd w:val="0"/>
              <w:ind w:right="-97"/>
              <w:jc w:val="center"/>
              <w:rPr>
                <w:sz w:val="18"/>
                <w:szCs w:val="18"/>
              </w:rPr>
            </w:pPr>
            <w:r w:rsidRPr="00FF5565">
              <w:rPr>
                <w:rFonts w:eastAsia="Times New Roman"/>
                <w:color w:val="000000"/>
                <w:sz w:val="18"/>
                <w:szCs w:val="18"/>
              </w:rPr>
              <w:t>0.0019*</w:t>
            </w:r>
          </w:p>
        </w:tc>
        <w:tc>
          <w:tcPr>
            <w:tcW w:w="991" w:type="dxa"/>
            <w:gridSpan w:val="2"/>
            <w:tcBorders>
              <w:left w:val="nil"/>
              <w:right w:val="nil"/>
            </w:tcBorders>
            <w:vAlign w:val="bottom"/>
          </w:tcPr>
          <w:p w14:paraId="35E2077F" w14:textId="6C5C098F" w:rsidR="00D05738" w:rsidRPr="00FF5565" w:rsidRDefault="00D05738" w:rsidP="00FF5565">
            <w:pPr>
              <w:widowControl w:val="0"/>
              <w:autoSpaceDE w:val="0"/>
              <w:autoSpaceDN w:val="0"/>
              <w:adjustRightInd w:val="0"/>
              <w:ind w:right="-97"/>
              <w:jc w:val="center"/>
              <w:rPr>
                <w:sz w:val="18"/>
                <w:szCs w:val="18"/>
              </w:rPr>
            </w:pPr>
          </w:p>
        </w:tc>
        <w:tc>
          <w:tcPr>
            <w:tcW w:w="977" w:type="dxa"/>
            <w:gridSpan w:val="2"/>
            <w:tcBorders>
              <w:left w:val="nil"/>
              <w:right w:val="nil"/>
            </w:tcBorders>
            <w:vAlign w:val="bottom"/>
          </w:tcPr>
          <w:p w14:paraId="3B4670B9" w14:textId="249EA5EC" w:rsidR="00D05738" w:rsidRPr="00FF5565" w:rsidRDefault="00D05738" w:rsidP="00FF5565">
            <w:pPr>
              <w:widowControl w:val="0"/>
              <w:autoSpaceDE w:val="0"/>
              <w:autoSpaceDN w:val="0"/>
              <w:adjustRightInd w:val="0"/>
              <w:ind w:right="-100"/>
              <w:jc w:val="center"/>
              <w:rPr>
                <w:sz w:val="18"/>
                <w:szCs w:val="18"/>
              </w:rPr>
            </w:pPr>
            <w:r w:rsidRPr="00FF5565">
              <w:rPr>
                <w:rFonts w:eastAsia="Times New Roman"/>
                <w:color w:val="000000"/>
                <w:sz w:val="18"/>
                <w:szCs w:val="18"/>
              </w:rPr>
              <w:t>0.0017*</w:t>
            </w:r>
          </w:p>
        </w:tc>
        <w:tc>
          <w:tcPr>
            <w:tcW w:w="971" w:type="dxa"/>
            <w:gridSpan w:val="2"/>
            <w:tcBorders>
              <w:left w:val="nil"/>
              <w:right w:val="nil"/>
            </w:tcBorders>
            <w:vAlign w:val="bottom"/>
          </w:tcPr>
          <w:p w14:paraId="185F3E07" w14:textId="77777777" w:rsidR="00D05738" w:rsidRPr="00FF5565" w:rsidRDefault="00D05738" w:rsidP="00FF5565">
            <w:pPr>
              <w:widowControl w:val="0"/>
              <w:autoSpaceDE w:val="0"/>
              <w:autoSpaceDN w:val="0"/>
              <w:adjustRightInd w:val="0"/>
              <w:ind w:right="-117"/>
              <w:jc w:val="center"/>
              <w:rPr>
                <w:sz w:val="18"/>
                <w:szCs w:val="18"/>
              </w:rPr>
            </w:pPr>
          </w:p>
        </w:tc>
        <w:tc>
          <w:tcPr>
            <w:tcW w:w="929" w:type="dxa"/>
            <w:gridSpan w:val="2"/>
            <w:tcBorders>
              <w:left w:val="nil"/>
              <w:right w:val="nil"/>
            </w:tcBorders>
            <w:vAlign w:val="bottom"/>
          </w:tcPr>
          <w:p w14:paraId="18DB5DB3" w14:textId="6BDBFF8E" w:rsidR="00D05738" w:rsidRPr="00FF5565" w:rsidRDefault="00D05738" w:rsidP="00FF5565">
            <w:pPr>
              <w:widowControl w:val="0"/>
              <w:autoSpaceDE w:val="0"/>
              <w:autoSpaceDN w:val="0"/>
              <w:adjustRightInd w:val="0"/>
              <w:ind w:right="-117"/>
              <w:jc w:val="center"/>
              <w:rPr>
                <w:sz w:val="18"/>
                <w:szCs w:val="18"/>
              </w:rPr>
            </w:pPr>
            <w:r w:rsidRPr="00FF5565">
              <w:rPr>
                <w:rFonts w:eastAsia="Times New Roman"/>
                <w:color w:val="000000"/>
                <w:sz w:val="18"/>
                <w:szCs w:val="18"/>
              </w:rPr>
              <w:t>0.0017*</w:t>
            </w:r>
          </w:p>
        </w:tc>
        <w:tc>
          <w:tcPr>
            <w:tcW w:w="994" w:type="dxa"/>
            <w:gridSpan w:val="2"/>
            <w:tcBorders>
              <w:left w:val="nil"/>
              <w:right w:val="nil"/>
            </w:tcBorders>
            <w:vAlign w:val="bottom"/>
          </w:tcPr>
          <w:p w14:paraId="06427C35" w14:textId="77777777" w:rsidR="00D05738" w:rsidRPr="00FF5565" w:rsidRDefault="00D05738" w:rsidP="00FF5565">
            <w:pPr>
              <w:widowControl w:val="0"/>
              <w:autoSpaceDE w:val="0"/>
              <w:autoSpaceDN w:val="0"/>
              <w:adjustRightInd w:val="0"/>
              <w:ind w:right="-117"/>
              <w:jc w:val="center"/>
              <w:rPr>
                <w:rFonts w:eastAsia="Times New Roman"/>
                <w:color w:val="000000"/>
                <w:sz w:val="18"/>
                <w:szCs w:val="18"/>
              </w:rPr>
            </w:pPr>
          </w:p>
        </w:tc>
        <w:tc>
          <w:tcPr>
            <w:tcW w:w="992" w:type="dxa"/>
            <w:gridSpan w:val="2"/>
            <w:tcBorders>
              <w:left w:val="nil"/>
              <w:right w:val="nil"/>
            </w:tcBorders>
            <w:vAlign w:val="bottom"/>
          </w:tcPr>
          <w:p w14:paraId="48E02150" w14:textId="5A26516A" w:rsidR="00D05738" w:rsidRPr="00FF5565" w:rsidRDefault="00D05738" w:rsidP="00FF5565">
            <w:pPr>
              <w:widowControl w:val="0"/>
              <w:autoSpaceDE w:val="0"/>
              <w:autoSpaceDN w:val="0"/>
              <w:adjustRightInd w:val="0"/>
              <w:ind w:right="-117"/>
              <w:jc w:val="center"/>
              <w:rPr>
                <w:rFonts w:eastAsia="Times New Roman"/>
                <w:color w:val="000000"/>
                <w:sz w:val="18"/>
                <w:szCs w:val="18"/>
              </w:rPr>
            </w:pPr>
            <w:r w:rsidRPr="00FF5565">
              <w:rPr>
                <w:rFonts w:eastAsia="Times New Roman"/>
                <w:color w:val="000000"/>
                <w:sz w:val="18"/>
                <w:szCs w:val="18"/>
              </w:rPr>
              <w:t>0.0016</w:t>
            </w:r>
          </w:p>
        </w:tc>
      </w:tr>
      <w:tr w:rsidR="00D05738" w:rsidRPr="00C8257C" w14:paraId="2572B368" w14:textId="77777777" w:rsidTr="008F1EE3">
        <w:trPr>
          <w:trHeight w:val="215"/>
          <w:jc w:val="center"/>
        </w:trPr>
        <w:tc>
          <w:tcPr>
            <w:tcW w:w="903" w:type="dxa"/>
            <w:tcBorders>
              <w:left w:val="nil"/>
              <w:right w:val="nil"/>
            </w:tcBorders>
          </w:tcPr>
          <w:p w14:paraId="51B7DE1C" w14:textId="77777777" w:rsidR="00D05738" w:rsidRPr="00C8257C" w:rsidRDefault="00D05738" w:rsidP="00FF5565">
            <w:pPr>
              <w:widowControl w:val="0"/>
              <w:autoSpaceDE w:val="0"/>
              <w:autoSpaceDN w:val="0"/>
              <w:adjustRightInd w:val="0"/>
              <w:ind w:right="-117"/>
              <w:rPr>
                <w:i/>
                <w:sz w:val="22"/>
                <w:szCs w:val="22"/>
              </w:rPr>
            </w:pPr>
          </w:p>
        </w:tc>
        <w:tc>
          <w:tcPr>
            <w:tcW w:w="725" w:type="dxa"/>
            <w:tcBorders>
              <w:left w:val="nil"/>
              <w:right w:val="nil"/>
            </w:tcBorders>
          </w:tcPr>
          <w:p w14:paraId="15D0BE14" w14:textId="77777777" w:rsidR="00D05738" w:rsidRPr="00C8257C" w:rsidRDefault="00D05738" w:rsidP="007E20C2">
            <w:pPr>
              <w:widowControl w:val="0"/>
              <w:autoSpaceDE w:val="0"/>
              <w:autoSpaceDN w:val="0"/>
              <w:adjustRightInd w:val="0"/>
              <w:jc w:val="center"/>
              <w:rPr>
                <w:sz w:val="22"/>
                <w:szCs w:val="22"/>
              </w:rPr>
            </w:pPr>
          </w:p>
        </w:tc>
        <w:tc>
          <w:tcPr>
            <w:tcW w:w="991" w:type="dxa"/>
            <w:tcBorders>
              <w:left w:val="nil"/>
              <w:right w:val="nil"/>
            </w:tcBorders>
            <w:vAlign w:val="bottom"/>
          </w:tcPr>
          <w:p w14:paraId="2E8B01AD" w14:textId="77777777" w:rsidR="00D05738" w:rsidRPr="00FF5565" w:rsidRDefault="00D05738" w:rsidP="00FF5565">
            <w:pPr>
              <w:widowControl w:val="0"/>
              <w:autoSpaceDE w:val="0"/>
              <w:autoSpaceDN w:val="0"/>
              <w:adjustRightInd w:val="0"/>
              <w:ind w:right="-97"/>
              <w:jc w:val="center"/>
              <w:rPr>
                <w:sz w:val="18"/>
                <w:szCs w:val="18"/>
              </w:rPr>
            </w:pPr>
          </w:p>
        </w:tc>
        <w:tc>
          <w:tcPr>
            <w:tcW w:w="991" w:type="dxa"/>
            <w:gridSpan w:val="2"/>
            <w:tcBorders>
              <w:left w:val="nil"/>
              <w:right w:val="nil"/>
            </w:tcBorders>
            <w:vAlign w:val="bottom"/>
          </w:tcPr>
          <w:p w14:paraId="25CC288F" w14:textId="45DD677F" w:rsidR="00D05738" w:rsidRPr="00FF5565" w:rsidRDefault="00D05738" w:rsidP="00FF5565">
            <w:pPr>
              <w:widowControl w:val="0"/>
              <w:autoSpaceDE w:val="0"/>
              <w:autoSpaceDN w:val="0"/>
              <w:adjustRightInd w:val="0"/>
              <w:ind w:right="-97"/>
              <w:jc w:val="center"/>
              <w:rPr>
                <w:sz w:val="18"/>
                <w:szCs w:val="18"/>
              </w:rPr>
            </w:pPr>
            <w:r w:rsidRPr="00FF5565">
              <w:rPr>
                <w:rFonts w:eastAsia="Times New Roman"/>
                <w:color w:val="000000"/>
                <w:sz w:val="18"/>
                <w:szCs w:val="18"/>
              </w:rPr>
              <w:t>(1.5334)</w:t>
            </w:r>
          </w:p>
        </w:tc>
        <w:tc>
          <w:tcPr>
            <w:tcW w:w="991" w:type="dxa"/>
            <w:gridSpan w:val="2"/>
            <w:tcBorders>
              <w:left w:val="nil"/>
              <w:right w:val="nil"/>
            </w:tcBorders>
            <w:vAlign w:val="bottom"/>
          </w:tcPr>
          <w:p w14:paraId="0418B9F2" w14:textId="5BB7A03C" w:rsidR="00D05738" w:rsidRPr="00FF5565" w:rsidRDefault="00D05738" w:rsidP="00FF5565">
            <w:pPr>
              <w:widowControl w:val="0"/>
              <w:autoSpaceDE w:val="0"/>
              <w:autoSpaceDN w:val="0"/>
              <w:adjustRightInd w:val="0"/>
              <w:ind w:right="-97"/>
              <w:jc w:val="center"/>
              <w:rPr>
                <w:sz w:val="18"/>
                <w:szCs w:val="18"/>
              </w:rPr>
            </w:pPr>
          </w:p>
        </w:tc>
        <w:tc>
          <w:tcPr>
            <w:tcW w:w="977" w:type="dxa"/>
            <w:gridSpan w:val="2"/>
            <w:tcBorders>
              <w:left w:val="nil"/>
              <w:right w:val="nil"/>
            </w:tcBorders>
            <w:vAlign w:val="bottom"/>
          </w:tcPr>
          <w:p w14:paraId="43A220A0" w14:textId="4C04098B" w:rsidR="00D05738" w:rsidRPr="00FF5565" w:rsidRDefault="00D05738" w:rsidP="00FF5565">
            <w:pPr>
              <w:widowControl w:val="0"/>
              <w:autoSpaceDE w:val="0"/>
              <w:autoSpaceDN w:val="0"/>
              <w:adjustRightInd w:val="0"/>
              <w:ind w:right="-100"/>
              <w:jc w:val="center"/>
              <w:rPr>
                <w:sz w:val="18"/>
                <w:szCs w:val="18"/>
              </w:rPr>
            </w:pPr>
            <w:r w:rsidRPr="00FF5565">
              <w:rPr>
                <w:rFonts w:eastAsia="Times New Roman"/>
                <w:color w:val="000000"/>
                <w:sz w:val="18"/>
                <w:szCs w:val="18"/>
              </w:rPr>
              <w:t>(1.4174)</w:t>
            </w:r>
          </w:p>
        </w:tc>
        <w:tc>
          <w:tcPr>
            <w:tcW w:w="971" w:type="dxa"/>
            <w:gridSpan w:val="2"/>
            <w:tcBorders>
              <w:left w:val="nil"/>
              <w:right w:val="nil"/>
            </w:tcBorders>
            <w:vAlign w:val="bottom"/>
          </w:tcPr>
          <w:p w14:paraId="3DCA7E4E" w14:textId="77777777" w:rsidR="00D05738" w:rsidRPr="00FF5565" w:rsidRDefault="00D05738" w:rsidP="00FF5565">
            <w:pPr>
              <w:widowControl w:val="0"/>
              <w:autoSpaceDE w:val="0"/>
              <w:autoSpaceDN w:val="0"/>
              <w:adjustRightInd w:val="0"/>
              <w:ind w:right="-117"/>
              <w:jc w:val="center"/>
              <w:rPr>
                <w:sz w:val="18"/>
                <w:szCs w:val="18"/>
              </w:rPr>
            </w:pPr>
          </w:p>
        </w:tc>
        <w:tc>
          <w:tcPr>
            <w:tcW w:w="929" w:type="dxa"/>
            <w:gridSpan w:val="2"/>
            <w:tcBorders>
              <w:left w:val="nil"/>
              <w:right w:val="nil"/>
            </w:tcBorders>
            <w:vAlign w:val="bottom"/>
          </w:tcPr>
          <w:p w14:paraId="1C5C4A8F" w14:textId="1A8EFD6B" w:rsidR="00D05738" w:rsidRPr="00FF5565" w:rsidRDefault="00D05738" w:rsidP="00FF5565">
            <w:pPr>
              <w:widowControl w:val="0"/>
              <w:autoSpaceDE w:val="0"/>
              <w:autoSpaceDN w:val="0"/>
              <w:adjustRightInd w:val="0"/>
              <w:ind w:right="-117"/>
              <w:jc w:val="center"/>
              <w:rPr>
                <w:sz w:val="18"/>
                <w:szCs w:val="18"/>
              </w:rPr>
            </w:pPr>
            <w:r w:rsidRPr="00FF5565">
              <w:rPr>
                <w:rFonts w:eastAsia="Times New Roman"/>
                <w:color w:val="000000"/>
                <w:sz w:val="18"/>
                <w:szCs w:val="18"/>
              </w:rPr>
              <w:t>(1.4084)</w:t>
            </w:r>
          </w:p>
        </w:tc>
        <w:tc>
          <w:tcPr>
            <w:tcW w:w="994" w:type="dxa"/>
            <w:gridSpan w:val="2"/>
            <w:tcBorders>
              <w:left w:val="nil"/>
              <w:right w:val="nil"/>
            </w:tcBorders>
            <w:vAlign w:val="bottom"/>
          </w:tcPr>
          <w:p w14:paraId="04AEB3E5" w14:textId="77777777" w:rsidR="00D05738" w:rsidRPr="00FF5565" w:rsidRDefault="00D05738" w:rsidP="00FF5565">
            <w:pPr>
              <w:widowControl w:val="0"/>
              <w:autoSpaceDE w:val="0"/>
              <w:autoSpaceDN w:val="0"/>
              <w:adjustRightInd w:val="0"/>
              <w:ind w:right="-117"/>
              <w:jc w:val="center"/>
              <w:rPr>
                <w:rFonts w:eastAsia="Times New Roman"/>
                <w:color w:val="000000"/>
                <w:sz w:val="18"/>
                <w:szCs w:val="18"/>
              </w:rPr>
            </w:pPr>
          </w:p>
        </w:tc>
        <w:tc>
          <w:tcPr>
            <w:tcW w:w="992" w:type="dxa"/>
            <w:gridSpan w:val="2"/>
            <w:tcBorders>
              <w:left w:val="nil"/>
              <w:right w:val="nil"/>
            </w:tcBorders>
            <w:vAlign w:val="bottom"/>
          </w:tcPr>
          <w:p w14:paraId="7219790B" w14:textId="2E3EBF45" w:rsidR="00D05738" w:rsidRPr="00FF5565" w:rsidRDefault="00D05738" w:rsidP="00FF5565">
            <w:pPr>
              <w:widowControl w:val="0"/>
              <w:autoSpaceDE w:val="0"/>
              <w:autoSpaceDN w:val="0"/>
              <w:adjustRightInd w:val="0"/>
              <w:ind w:right="-117"/>
              <w:jc w:val="center"/>
              <w:rPr>
                <w:rFonts w:eastAsia="Times New Roman"/>
                <w:color w:val="000000"/>
                <w:sz w:val="18"/>
                <w:szCs w:val="18"/>
              </w:rPr>
            </w:pPr>
            <w:r w:rsidRPr="00FF5565">
              <w:rPr>
                <w:rFonts w:eastAsia="Times New Roman"/>
                <w:color w:val="000000"/>
                <w:sz w:val="18"/>
                <w:szCs w:val="18"/>
              </w:rPr>
              <w:t>(1.1640)</w:t>
            </w:r>
          </w:p>
        </w:tc>
      </w:tr>
      <w:tr w:rsidR="00D05738" w:rsidRPr="00C8257C" w14:paraId="38081C72" w14:textId="77777777" w:rsidTr="008F1EE3">
        <w:trPr>
          <w:gridAfter w:val="1"/>
          <w:wAfter w:w="28" w:type="dxa"/>
          <w:trHeight w:val="477"/>
          <w:jc w:val="center"/>
        </w:trPr>
        <w:tc>
          <w:tcPr>
            <w:tcW w:w="1628" w:type="dxa"/>
            <w:gridSpan w:val="2"/>
            <w:tcBorders>
              <w:left w:val="nil"/>
              <w:bottom w:val="single" w:sz="4" w:space="0" w:color="auto"/>
              <w:right w:val="nil"/>
            </w:tcBorders>
            <w:vAlign w:val="bottom"/>
          </w:tcPr>
          <w:p w14:paraId="0AED12BC" w14:textId="24F48103" w:rsidR="00D05738" w:rsidRPr="00C8257C" w:rsidRDefault="00D05738" w:rsidP="00603510">
            <w:pPr>
              <w:widowControl w:val="0"/>
              <w:autoSpaceDE w:val="0"/>
              <w:autoSpaceDN w:val="0"/>
              <w:adjustRightInd w:val="0"/>
              <w:jc w:val="center"/>
              <w:rPr>
                <w:sz w:val="22"/>
                <w:szCs w:val="22"/>
              </w:rPr>
            </w:pPr>
            <w:r w:rsidRPr="00C8257C">
              <w:rPr>
                <w:sz w:val="22"/>
                <w:szCs w:val="22"/>
              </w:rPr>
              <w:t>Adjusted R</w:t>
            </w:r>
            <w:r w:rsidRPr="00C8257C">
              <w:rPr>
                <w:sz w:val="22"/>
                <w:szCs w:val="22"/>
                <w:vertAlign w:val="superscript"/>
              </w:rPr>
              <w:t>2</w:t>
            </w:r>
          </w:p>
        </w:tc>
        <w:tc>
          <w:tcPr>
            <w:tcW w:w="991" w:type="dxa"/>
            <w:tcBorders>
              <w:left w:val="nil"/>
              <w:bottom w:val="single" w:sz="4" w:space="0" w:color="auto"/>
              <w:right w:val="nil"/>
            </w:tcBorders>
            <w:vAlign w:val="bottom"/>
          </w:tcPr>
          <w:p w14:paraId="43F46AF9" w14:textId="743C3F2D" w:rsidR="00D05738" w:rsidRPr="00FF5565" w:rsidRDefault="00D05738" w:rsidP="00FF5565">
            <w:pPr>
              <w:widowControl w:val="0"/>
              <w:autoSpaceDE w:val="0"/>
              <w:autoSpaceDN w:val="0"/>
              <w:adjustRightInd w:val="0"/>
              <w:ind w:right="-97"/>
              <w:jc w:val="center"/>
              <w:rPr>
                <w:sz w:val="18"/>
                <w:szCs w:val="18"/>
              </w:rPr>
            </w:pPr>
            <w:r w:rsidRPr="00FF5565">
              <w:rPr>
                <w:rFonts w:eastAsia="Times New Roman"/>
                <w:color w:val="000000"/>
                <w:sz w:val="18"/>
                <w:szCs w:val="18"/>
              </w:rPr>
              <w:t>0.1603</w:t>
            </w:r>
          </w:p>
        </w:tc>
        <w:tc>
          <w:tcPr>
            <w:tcW w:w="977" w:type="dxa"/>
            <w:tcBorders>
              <w:left w:val="nil"/>
              <w:bottom w:val="single" w:sz="4" w:space="0" w:color="auto"/>
              <w:right w:val="nil"/>
            </w:tcBorders>
            <w:vAlign w:val="bottom"/>
          </w:tcPr>
          <w:p w14:paraId="49A664F4" w14:textId="59D8457B" w:rsidR="00D05738" w:rsidRPr="00FF5565" w:rsidRDefault="00D05738" w:rsidP="00FF5565">
            <w:pPr>
              <w:widowControl w:val="0"/>
              <w:autoSpaceDE w:val="0"/>
              <w:autoSpaceDN w:val="0"/>
              <w:adjustRightInd w:val="0"/>
              <w:ind w:right="-100"/>
              <w:jc w:val="center"/>
              <w:rPr>
                <w:rFonts w:eastAsia="Times New Roman"/>
                <w:color w:val="000000"/>
                <w:sz w:val="18"/>
                <w:szCs w:val="18"/>
              </w:rPr>
            </w:pPr>
            <w:r w:rsidRPr="00FF5565">
              <w:rPr>
                <w:rFonts w:eastAsia="Times New Roman"/>
                <w:color w:val="000000"/>
                <w:sz w:val="18"/>
                <w:szCs w:val="18"/>
              </w:rPr>
              <w:t>0.1698</w:t>
            </w:r>
          </w:p>
        </w:tc>
        <w:tc>
          <w:tcPr>
            <w:tcW w:w="977" w:type="dxa"/>
            <w:gridSpan w:val="2"/>
            <w:tcBorders>
              <w:left w:val="nil"/>
              <w:bottom w:val="single" w:sz="4" w:space="0" w:color="auto"/>
              <w:right w:val="nil"/>
            </w:tcBorders>
            <w:vAlign w:val="bottom"/>
          </w:tcPr>
          <w:p w14:paraId="0F7BCB39" w14:textId="58EE716C" w:rsidR="00D05738" w:rsidRPr="00FF5565" w:rsidRDefault="00D05738" w:rsidP="00FF5565">
            <w:pPr>
              <w:widowControl w:val="0"/>
              <w:autoSpaceDE w:val="0"/>
              <w:autoSpaceDN w:val="0"/>
              <w:adjustRightInd w:val="0"/>
              <w:ind w:right="-100"/>
              <w:jc w:val="center"/>
              <w:rPr>
                <w:rFonts w:eastAsia="Times New Roman"/>
                <w:color w:val="000000"/>
                <w:sz w:val="18"/>
                <w:szCs w:val="18"/>
              </w:rPr>
            </w:pPr>
            <w:r w:rsidRPr="00FF5565">
              <w:rPr>
                <w:rFonts w:eastAsia="Times New Roman"/>
                <w:color w:val="000000"/>
                <w:sz w:val="18"/>
                <w:szCs w:val="18"/>
              </w:rPr>
              <w:t>0.1704</w:t>
            </w:r>
          </w:p>
        </w:tc>
        <w:tc>
          <w:tcPr>
            <w:tcW w:w="977" w:type="dxa"/>
            <w:gridSpan w:val="2"/>
            <w:tcBorders>
              <w:left w:val="nil"/>
              <w:bottom w:val="single" w:sz="4" w:space="0" w:color="auto"/>
              <w:right w:val="nil"/>
            </w:tcBorders>
            <w:vAlign w:val="bottom"/>
          </w:tcPr>
          <w:p w14:paraId="12B8A089" w14:textId="243CC035" w:rsidR="00D05738" w:rsidRPr="00FF5565" w:rsidRDefault="00D05738" w:rsidP="00FF5565">
            <w:pPr>
              <w:widowControl w:val="0"/>
              <w:autoSpaceDE w:val="0"/>
              <w:autoSpaceDN w:val="0"/>
              <w:adjustRightInd w:val="0"/>
              <w:ind w:right="-100"/>
              <w:jc w:val="center"/>
              <w:rPr>
                <w:sz w:val="18"/>
                <w:szCs w:val="18"/>
              </w:rPr>
            </w:pPr>
            <w:r w:rsidRPr="00FF5565">
              <w:rPr>
                <w:rFonts w:eastAsia="Times New Roman"/>
                <w:color w:val="000000"/>
                <w:sz w:val="18"/>
                <w:szCs w:val="18"/>
              </w:rPr>
              <w:t>0.1608</w:t>
            </w:r>
          </w:p>
        </w:tc>
        <w:tc>
          <w:tcPr>
            <w:tcW w:w="971" w:type="dxa"/>
            <w:gridSpan w:val="2"/>
            <w:tcBorders>
              <w:left w:val="nil"/>
              <w:bottom w:val="single" w:sz="4" w:space="0" w:color="auto"/>
              <w:right w:val="nil"/>
            </w:tcBorders>
            <w:vAlign w:val="bottom"/>
          </w:tcPr>
          <w:p w14:paraId="4FF36596" w14:textId="1E389136" w:rsidR="00D05738" w:rsidRPr="00FF5565" w:rsidRDefault="00D05738" w:rsidP="00FF5565">
            <w:pPr>
              <w:widowControl w:val="0"/>
              <w:autoSpaceDE w:val="0"/>
              <w:autoSpaceDN w:val="0"/>
              <w:adjustRightInd w:val="0"/>
              <w:ind w:right="-117"/>
              <w:jc w:val="center"/>
              <w:rPr>
                <w:sz w:val="18"/>
                <w:szCs w:val="18"/>
              </w:rPr>
            </w:pPr>
            <w:r w:rsidRPr="00FF5565">
              <w:rPr>
                <w:rFonts w:eastAsia="Times New Roman"/>
                <w:color w:val="000000"/>
                <w:sz w:val="18"/>
                <w:szCs w:val="18"/>
              </w:rPr>
              <w:t>0.1603</w:t>
            </w:r>
          </w:p>
        </w:tc>
        <w:tc>
          <w:tcPr>
            <w:tcW w:w="929" w:type="dxa"/>
            <w:gridSpan w:val="2"/>
            <w:tcBorders>
              <w:left w:val="nil"/>
              <w:bottom w:val="single" w:sz="4" w:space="0" w:color="auto"/>
              <w:right w:val="nil"/>
            </w:tcBorders>
            <w:vAlign w:val="bottom"/>
          </w:tcPr>
          <w:p w14:paraId="478CFFB6" w14:textId="7B27844E" w:rsidR="00D05738" w:rsidRPr="00FF5565" w:rsidRDefault="00D05738" w:rsidP="00FF5565">
            <w:pPr>
              <w:widowControl w:val="0"/>
              <w:autoSpaceDE w:val="0"/>
              <w:autoSpaceDN w:val="0"/>
              <w:adjustRightInd w:val="0"/>
              <w:ind w:right="-117"/>
              <w:jc w:val="center"/>
              <w:rPr>
                <w:rFonts w:eastAsia="Times New Roman"/>
                <w:color w:val="000000"/>
                <w:sz w:val="18"/>
                <w:szCs w:val="18"/>
              </w:rPr>
            </w:pPr>
            <w:r w:rsidRPr="00FF5565">
              <w:rPr>
                <w:rFonts w:eastAsia="Times New Roman"/>
                <w:color w:val="000000"/>
                <w:sz w:val="18"/>
                <w:szCs w:val="18"/>
              </w:rPr>
              <w:t>0.1608</w:t>
            </w:r>
          </w:p>
        </w:tc>
        <w:tc>
          <w:tcPr>
            <w:tcW w:w="994" w:type="dxa"/>
            <w:gridSpan w:val="2"/>
            <w:tcBorders>
              <w:left w:val="nil"/>
              <w:bottom w:val="single" w:sz="4" w:space="0" w:color="auto"/>
              <w:right w:val="nil"/>
            </w:tcBorders>
            <w:vAlign w:val="bottom"/>
          </w:tcPr>
          <w:p w14:paraId="073AC941" w14:textId="360B8D50" w:rsidR="00D05738" w:rsidRPr="00FF5565" w:rsidRDefault="00D05738" w:rsidP="00FF5565">
            <w:pPr>
              <w:widowControl w:val="0"/>
              <w:autoSpaceDE w:val="0"/>
              <w:autoSpaceDN w:val="0"/>
              <w:adjustRightInd w:val="0"/>
              <w:ind w:right="-117"/>
              <w:jc w:val="center"/>
              <w:rPr>
                <w:rFonts w:eastAsia="Times New Roman"/>
                <w:color w:val="000000"/>
                <w:sz w:val="18"/>
                <w:szCs w:val="18"/>
              </w:rPr>
            </w:pPr>
            <w:r w:rsidRPr="00FF5565">
              <w:rPr>
                <w:rFonts w:eastAsia="Times New Roman"/>
                <w:color w:val="000000"/>
                <w:sz w:val="18"/>
                <w:szCs w:val="18"/>
              </w:rPr>
              <w:t>0.1661</w:t>
            </w:r>
          </w:p>
        </w:tc>
        <w:tc>
          <w:tcPr>
            <w:tcW w:w="992" w:type="dxa"/>
            <w:gridSpan w:val="2"/>
            <w:tcBorders>
              <w:left w:val="nil"/>
              <w:bottom w:val="single" w:sz="4" w:space="0" w:color="auto"/>
              <w:right w:val="nil"/>
            </w:tcBorders>
            <w:vAlign w:val="bottom"/>
          </w:tcPr>
          <w:p w14:paraId="754777CF" w14:textId="7438FBF8" w:rsidR="00D05738" w:rsidRPr="00FF5565" w:rsidRDefault="00D05738" w:rsidP="00FF5565">
            <w:pPr>
              <w:widowControl w:val="0"/>
              <w:autoSpaceDE w:val="0"/>
              <w:autoSpaceDN w:val="0"/>
              <w:adjustRightInd w:val="0"/>
              <w:ind w:right="-117"/>
              <w:jc w:val="center"/>
              <w:rPr>
                <w:rFonts w:eastAsia="Times New Roman"/>
                <w:color w:val="000000"/>
                <w:sz w:val="18"/>
                <w:szCs w:val="18"/>
              </w:rPr>
            </w:pPr>
            <w:r w:rsidRPr="00FF5565">
              <w:rPr>
                <w:rFonts w:eastAsia="Times New Roman"/>
                <w:color w:val="000000"/>
                <w:sz w:val="18"/>
                <w:szCs w:val="18"/>
              </w:rPr>
              <w:t>0.1665</w:t>
            </w:r>
          </w:p>
        </w:tc>
      </w:tr>
    </w:tbl>
    <w:p w14:paraId="764622B1" w14:textId="77777777" w:rsidR="004179E9" w:rsidRDefault="004179E9" w:rsidP="004179E9">
      <w:pPr>
        <w:widowControl w:val="0"/>
        <w:autoSpaceDE w:val="0"/>
        <w:autoSpaceDN w:val="0"/>
        <w:adjustRightInd w:val="0"/>
        <w:rPr>
          <w:sz w:val="20"/>
          <w:szCs w:val="20"/>
        </w:rPr>
      </w:pPr>
    </w:p>
    <w:p w14:paraId="5F6FFC4F" w14:textId="70A775B8" w:rsidR="002D3EC7" w:rsidRPr="00D40129" w:rsidRDefault="004179E9" w:rsidP="0098351A">
      <w:pPr>
        <w:jc w:val="both"/>
        <w:rPr>
          <w:sz w:val="22"/>
          <w:szCs w:val="22"/>
        </w:rPr>
      </w:pPr>
      <w:r w:rsidRPr="002D3EC7">
        <w:rPr>
          <w:sz w:val="22"/>
          <w:szCs w:val="22"/>
        </w:rPr>
        <w:t xml:space="preserve">Table </w:t>
      </w:r>
      <w:proofErr w:type="gramStart"/>
      <w:r w:rsidR="002D3EC7" w:rsidRPr="002D3EC7">
        <w:rPr>
          <w:sz w:val="22"/>
          <w:szCs w:val="22"/>
        </w:rPr>
        <w:t>7</w:t>
      </w:r>
      <w:proofErr w:type="gramEnd"/>
      <w:r w:rsidRPr="002D3EC7">
        <w:rPr>
          <w:sz w:val="22"/>
          <w:szCs w:val="22"/>
        </w:rPr>
        <w:t xml:space="preserve"> present</w:t>
      </w:r>
      <w:r w:rsidR="00A125D0">
        <w:rPr>
          <w:sz w:val="22"/>
          <w:szCs w:val="22"/>
        </w:rPr>
        <w:t xml:space="preserve"> </w:t>
      </w:r>
      <w:r w:rsidRPr="002D3EC7">
        <w:rPr>
          <w:sz w:val="22"/>
          <w:szCs w:val="22"/>
        </w:rPr>
        <w:t xml:space="preserve">coefficients and </w:t>
      </w:r>
      <w:r w:rsidR="00A125D0">
        <w:rPr>
          <w:sz w:val="22"/>
          <w:szCs w:val="22"/>
        </w:rPr>
        <w:t xml:space="preserve">t-statistics </w:t>
      </w:r>
      <w:r w:rsidRPr="002D3EC7">
        <w:rPr>
          <w:sz w:val="22"/>
          <w:szCs w:val="22"/>
        </w:rPr>
        <w:t xml:space="preserve">from regressions </w:t>
      </w:r>
      <w:r w:rsidR="00FF5565">
        <w:rPr>
          <w:sz w:val="22"/>
          <w:szCs w:val="22"/>
        </w:rPr>
        <w:t>of</w:t>
      </w:r>
      <w:r w:rsidR="00FF5565" w:rsidRPr="002D3EC7">
        <w:rPr>
          <w:sz w:val="22"/>
          <w:szCs w:val="22"/>
        </w:rPr>
        <w:t xml:space="preserve"> 2</w:t>
      </w:r>
      <w:r w:rsidR="00FF5565">
        <w:rPr>
          <w:sz w:val="22"/>
          <w:szCs w:val="22"/>
        </w:rPr>
        <w:t>1</w:t>
      </w:r>
      <w:r w:rsidR="002D3EC7" w:rsidRPr="002D3EC7">
        <w:rPr>
          <w:sz w:val="22"/>
          <w:szCs w:val="22"/>
        </w:rPr>
        <w:t>,</w:t>
      </w:r>
      <w:r w:rsidR="00FF5565">
        <w:rPr>
          <w:sz w:val="22"/>
          <w:szCs w:val="22"/>
        </w:rPr>
        <w:t xml:space="preserve">306 </w:t>
      </w:r>
      <w:r w:rsidR="002D3EC7" w:rsidRPr="002D3EC7">
        <w:rPr>
          <w:sz w:val="22"/>
          <w:szCs w:val="22"/>
        </w:rPr>
        <w:t xml:space="preserve">firm-year observations from </w:t>
      </w:r>
      <w:proofErr w:type="spellStart"/>
      <w:r w:rsidR="002D3EC7" w:rsidRPr="00D251D2">
        <w:rPr>
          <w:i/>
          <w:sz w:val="22"/>
          <w:szCs w:val="22"/>
        </w:rPr>
        <w:t>Compustat</w:t>
      </w:r>
      <w:proofErr w:type="spellEnd"/>
      <w:r w:rsidR="002D3EC7" w:rsidRPr="00D251D2">
        <w:rPr>
          <w:i/>
          <w:sz w:val="22"/>
          <w:szCs w:val="22"/>
        </w:rPr>
        <w:t xml:space="preserve"> North America </w:t>
      </w:r>
      <w:r w:rsidR="002D3EC7" w:rsidRPr="00D251D2">
        <w:rPr>
          <w:sz w:val="22"/>
          <w:szCs w:val="22"/>
        </w:rPr>
        <w:t>and</w:t>
      </w:r>
      <w:r w:rsidR="002D3EC7" w:rsidRPr="00D251D2">
        <w:rPr>
          <w:i/>
          <w:sz w:val="22"/>
          <w:szCs w:val="22"/>
        </w:rPr>
        <w:t xml:space="preserve"> Global</w:t>
      </w:r>
      <w:r w:rsidR="002D3EC7" w:rsidRPr="002D3EC7">
        <w:rPr>
          <w:sz w:val="22"/>
          <w:szCs w:val="22"/>
        </w:rPr>
        <w:t xml:space="preserve"> with non-missing data required for estimation</w:t>
      </w:r>
      <w:r w:rsidRPr="002D3EC7">
        <w:rPr>
          <w:sz w:val="22"/>
          <w:szCs w:val="22"/>
        </w:rPr>
        <w:t xml:space="preserve">. </w:t>
      </w:r>
      <w:r w:rsidR="007A5774">
        <w:rPr>
          <w:sz w:val="22"/>
          <w:szCs w:val="22"/>
        </w:rPr>
        <w:t xml:space="preserve">Panel A presents results using </w:t>
      </w:r>
      <w:r w:rsidR="00B77E53">
        <w:rPr>
          <w:i/>
          <w:iCs/>
          <w:sz w:val="22"/>
          <w:szCs w:val="22"/>
        </w:rPr>
        <w:t xml:space="preserve">INV1 </w:t>
      </w:r>
      <w:r w:rsidR="00B77E53" w:rsidRPr="009133F4">
        <w:rPr>
          <w:iCs/>
          <w:sz w:val="22"/>
          <w:szCs w:val="22"/>
        </w:rPr>
        <w:t>as the dependent variable</w:t>
      </w:r>
      <w:r w:rsidR="007A5774" w:rsidRPr="00600369">
        <w:rPr>
          <w:sz w:val="22"/>
          <w:szCs w:val="22"/>
        </w:rPr>
        <w:t>.</w:t>
      </w:r>
      <w:r w:rsidR="007A5774">
        <w:rPr>
          <w:sz w:val="22"/>
          <w:szCs w:val="22"/>
        </w:rPr>
        <w:t xml:space="preserve"> Column</w:t>
      </w:r>
      <w:r w:rsidR="00B77E53">
        <w:rPr>
          <w:sz w:val="22"/>
          <w:szCs w:val="22"/>
        </w:rPr>
        <w:t>s</w:t>
      </w:r>
      <w:r w:rsidR="007A5774">
        <w:rPr>
          <w:sz w:val="22"/>
          <w:szCs w:val="22"/>
        </w:rPr>
        <w:t xml:space="preserve"> (1)</w:t>
      </w:r>
      <w:r w:rsidR="00B77E53">
        <w:rPr>
          <w:sz w:val="22"/>
          <w:szCs w:val="22"/>
        </w:rPr>
        <w:t>, (3), (5), and (7)</w:t>
      </w:r>
      <w:r w:rsidR="007A5774">
        <w:rPr>
          <w:sz w:val="22"/>
          <w:szCs w:val="22"/>
        </w:rPr>
        <w:t xml:space="preserve"> replicate the main </w:t>
      </w:r>
      <w:r w:rsidR="00B77E53">
        <w:rPr>
          <w:sz w:val="22"/>
          <w:szCs w:val="22"/>
        </w:rPr>
        <w:t>investment model</w:t>
      </w:r>
      <w:r w:rsidR="007A5774">
        <w:rPr>
          <w:sz w:val="22"/>
          <w:szCs w:val="22"/>
        </w:rPr>
        <w:t xml:space="preserve"> using our sample. Column</w:t>
      </w:r>
      <w:r w:rsidR="00B77E53">
        <w:rPr>
          <w:sz w:val="22"/>
          <w:szCs w:val="22"/>
        </w:rPr>
        <w:t>s</w:t>
      </w:r>
      <w:r w:rsidR="007A5774">
        <w:rPr>
          <w:sz w:val="22"/>
          <w:szCs w:val="22"/>
        </w:rPr>
        <w:t xml:space="preserve"> (2)</w:t>
      </w:r>
      <w:r w:rsidR="00B77E53">
        <w:rPr>
          <w:sz w:val="22"/>
          <w:szCs w:val="22"/>
        </w:rPr>
        <w:t>, (4), (6), and (8)</w:t>
      </w:r>
      <w:r w:rsidR="007A5774">
        <w:rPr>
          <w:sz w:val="22"/>
          <w:szCs w:val="22"/>
        </w:rPr>
        <w:t xml:space="preserve"> </w:t>
      </w:r>
      <w:r w:rsidR="00B77E53">
        <w:rPr>
          <w:sz w:val="22"/>
          <w:szCs w:val="22"/>
        </w:rPr>
        <w:t xml:space="preserve">add </w:t>
      </w:r>
      <w:r w:rsidR="007A5774">
        <w:rPr>
          <w:sz w:val="22"/>
          <w:szCs w:val="22"/>
        </w:rPr>
        <w:t xml:space="preserve">our firm-specific measure of income shifting aggressiveness </w:t>
      </w:r>
      <w:r w:rsidR="007A5774">
        <w:rPr>
          <w:i/>
          <w:sz w:val="22"/>
          <w:szCs w:val="22"/>
        </w:rPr>
        <w:t xml:space="preserve">G. </w:t>
      </w:r>
      <w:r w:rsidR="00FC2922">
        <w:rPr>
          <w:sz w:val="22"/>
          <w:szCs w:val="22"/>
        </w:rPr>
        <w:t>Column</w:t>
      </w:r>
      <w:r w:rsidR="00B77E53">
        <w:rPr>
          <w:sz w:val="22"/>
          <w:szCs w:val="22"/>
        </w:rPr>
        <w:t>s</w:t>
      </w:r>
      <w:r w:rsidR="007A5774">
        <w:rPr>
          <w:sz w:val="22"/>
          <w:szCs w:val="22"/>
        </w:rPr>
        <w:t xml:space="preserve"> </w:t>
      </w:r>
      <w:r w:rsidR="00B77E53">
        <w:rPr>
          <w:sz w:val="22"/>
          <w:szCs w:val="22"/>
        </w:rPr>
        <w:t>otherwise vary in the proxy for growth opportunities: (1)-</w:t>
      </w:r>
      <w:r w:rsidR="007A5774">
        <w:rPr>
          <w:sz w:val="22"/>
          <w:szCs w:val="22"/>
        </w:rPr>
        <w:t>(</w:t>
      </w:r>
      <w:r w:rsidR="00B77E53">
        <w:rPr>
          <w:sz w:val="22"/>
          <w:szCs w:val="22"/>
        </w:rPr>
        <w:t>2</w:t>
      </w:r>
      <w:r w:rsidR="007A5774">
        <w:rPr>
          <w:sz w:val="22"/>
          <w:szCs w:val="22"/>
        </w:rPr>
        <w:t xml:space="preserve">) </w:t>
      </w:r>
      <w:r w:rsidR="00B77E53">
        <w:rPr>
          <w:sz w:val="22"/>
          <w:szCs w:val="22"/>
        </w:rPr>
        <w:t xml:space="preserve">use </w:t>
      </w:r>
      <w:r w:rsidR="00D05738">
        <w:rPr>
          <w:i/>
          <w:iCs/>
          <w:sz w:val="22"/>
          <w:szCs w:val="22"/>
        </w:rPr>
        <w:t>Q</w:t>
      </w:r>
      <w:r w:rsidR="00D05738" w:rsidRPr="00930AFD">
        <w:rPr>
          <w:i/>
          <w:iCs/>
          <w:sz w:val="22"/>
          <w:szCs w:val="22"/>
          <w:vertAlign w:val="subscript"/>
        </w:rPr>
        <w:t>t-1</w:t>
      </w:r>
      <w:r w:rsidR="00D05738" w:rsidRPr="009133F4">
        <w:rPr>
          <w:i/>
          <w:iCs/>
          <w:sz w:val="22"/>
          <w:szCs w:val="22"/>
        </w:rPr>
        <w:t>,</w:t>
      </w:r>
      <w:r w:rsidR="00D05738">
        <w:rPr>
          <w:i/>
          <w:iCs/>
          <w:sz w:val="22"/>
          <w:szCs w:val="22"/>
          <w:vertAlign w:val="subscript"/>
        </w:rPr>
        <w:t xml:space="preserve"> </w:t>
      </w:r>
      <w:r w:rsidR="00B77E53" w:rsidRPr="009133F4">
        <w:rPr>
          <w:sz w:val="22"/>
          <w:szCs w:val="22"/>
        </w:rPr>
        <w:t>(3)-(4) use</w:t>
      </w:r>
      <w:r w:rsidR="00B77E53">
        <w:rPr>
          <w:i/>
          <w:iCs/>
          <w:sz w:val="22"/>
          <w:szCs w:val="22"/>
        </w:rPr>
        <w:t xml:space="preserve"> </w:t>
      </w:r>
      <w:r w:rsidR="00D05738">
        <w:rPr>
          <w:i/>
          <w:iCs/>
          <w:sz w:val="22"/>
          <w:szCs w:val="22"/>
        </w:rPr>
        <w:t>MeanQ</w:t>
      </w:r>
      <w:r w:rsidR="00D05738" w:rsidRPr="00930AFD">
        <w:rPr>
          <w:i/>
          <w:iCs/>
          <w:sz w:val="22"/>
          <w:szCs w:val="22"/>
          <w:vertAlign w:val="subscript"/>
        </w:rPr>
        <w:t>t-1</w:t>
      </w:r>
      <w:r w:rsidR="00D05738" w:rsidRPr="00930AFD">
        <w:rPr>
          <w:sz w:val="22"/>
          <w:szCs w:val="22"/>
        </w:rPr>
        <w:t>,</w:t>
      </w:r>
      <w:r w:rsidR="00B77E53" w:rsidRPr="009133F4">
        <w:rPr>
          <w:sz w:val="22"/>
          <w:szCs w:val="22"/>
        </w:rPr>
        <w:t xml:space="preserve"> (5)-(6) use</w:t>
      </w:r>
      <w:r w:rsidR="00B77E53">
        <w:rPr>
          <w:i/>
          <w:iCs/>
          <w:sz w:val="22"/>
          <w:szCs w:val="22"/>
        </w:rPr>
        <w:t xml:space="preserve"> </w:t>
      </w:r>
      <w:r w:rsidR="00D05738">
        <w:rPr>
          <w:i/>
          <w:iCs/>
          <w:sz w:val="22"/>
          <w:szCs w:val="22"/>
        </w:rPr>
        <w:t>MedQ</w:t>
      </w:r>
      <w:r w:rsidR="00D05738" w:rsidRPr="00930AFD">
        <w:rPr>
          <w:i/>
          <w:iCs/>
          <w:sz w:val="22"/>
          <w:szCs w:val="22"/>
          <w:vertAlign w:val="subscript"/>
        </w:rPr>
        <w:t>t-1</w:t>
      </w:r>
      <w:r w:rsidR="00D05738" w:rsidRPr="00930AFD">
        <w:rPr>
          <w:sz w:val="22"/>
          <w:szCs w:val="22"/>
        </w:rPr>
        <w:t>,</w:t>
      </w:r>
      <w:r w:rsidR="00B77E53" w:rsidRPr="009133F4">
        <w:rPr>
          <w:sz w:val="22"/>
          <w:szCs w:val="22"/>
        </w:rPr>
        <w:t xml:space="preserve"> and (7)-(8) use</w:t>
      </w:r>
      <w:r w:rsidR="00D05738" w:rsidRPr="00D05738">
        <w:rPr>
          <w:i/>
          <w:iCs/>
          <w:sz w:val="22"/>
          <w:szCs w:val="22"/>
        </w:rPr>
        <w:t xml:space="preserve"> </w:t>
      </w:r>
      <w:r w:rsidR="00D05738">
        <w:rPr>
          <w:i/>
          <w:iCs/>
          <w:sz w:val="22"/>
          <w:szCs w:val="22"/>
        </w:rPr>
        <w:t>MedPE</w:t>
      </w:r>
      <w:r w:rsidR="00D05738" w:rsidRPr="00930AFD">
        <w:rPr>
          <w:i/>
          <w:iCs/>
          <w:sz w:val="22"/>
          <w:szCs w:val="22"/>
          <w:vertAlign w:val="subscript"/>
        </w:rPr>
        <w:t>t-1</w:t>
      </w:r>
      <w:r w:rsidR="00B63F62">
        <w:rPr>
          <w:i/>
          <w:sz w:val="22"/>
          <w:szCs w:val="22"/>
        </w:rPr>
        <w:t>.</w:t>
      </w:r>
      <w:r w:rsidR="00FC2922">
        <w:rPr>
          <w:i/>
          <w:sz w:val="22"/>
          <w:szCs w:val="22"/>
        </w:rPr>
        <w:t xml:space="preserve"> </w:t>
      </w:r>
      <w:r w:rsidR="00B77E53">
        <w:rPr>
          <w:i/>
          <w:sz w:val="22"/>
          <w:szCs w:val="22"/>
        </w:rPr>
        <w:t xml:space="preserve">INV1 </w:t>
      </w:r>
      <w:r w:rsidR="00B77E53">
        <w:rPr>
          <w:sz w:val="22"/>
          <w:szCs w:val="22"/>
        </w:rPr>
        <w:t xml:space="preserve">is </w:t>
      </w:r>
      <w:proofErr w:type="spellStart"/>
      <w:r w:rsidR="00B77E53">
        <w:rPr>
          <w:i/>
          <w:sz w:val="22"/>
          <w:szCs w:val="22"/>
        </w:rPr>
        <w:t>CapExp</w:t>
      </w:r>
      <w:proofErr w:type="spellEnd"/>
      <w:r w:rsidR="00B77E53">
        <w:rPr>
          <w:i/>
          <w:sz w:val="22"/>
          <w:szCs w:val="22"/>
        </w:rPr>
        <w:t xml:space="preserve"> </w:t>
      </w:r>
      <w:r w:rsidR="00B77E53">
        <w:rPr>
          <w:sz w:val="22"/>
          <w:szCs w:val="22"/>
        </w:rPr>
        <w:t xml:space="preserve">scaled by </w:t>
      </w:r>
      <w:r w:rsidR="00B77E53" w:rsidRPr="001D7148">
        <w:rPr>
          <w:i/>
          <w:sz w:val="22"/>
          <w:szCs w:val="22"/>
        </w:rPr>
        <w:t>PPE</w:t>
      </w:r>
      <w:r w:rsidR="00FA5595">
        <w:rPr>
          <w:i/>
          <w:sz w:val="22"/>
          <w:szCs w:val="22"/>
        </w:rPr>
        <w:t>NT</w:t>
      </w:r>
      <w:r w:rsidR="00B77E53" w:rsidRPr="001D7148">
        <w:rPr>
          <w:i/>
          <w:sz w:val="22"/>
          <w:szCs w:val="22"/>
          <w:vertAlign w:val="subscript"/>
        </w:rPr>
        <w:t>t-1</w:t>
      </w:r>
      <w:r w:rsidR="00B77E53">
        <w:rPr>
          <w:sz w:val="22"/>
          <w:szCs w:val="22"/>
        </w:rPr>
        <w:t>.</w:t>
      </w:r>
      <w:r w:rsidR="00B77E53" w:rsidRPr="00C7273D">
        <w:rPr>
          <w:sz w:val="22"/>
          <w:szCs w:val="22"/>
        </w:rPr>
        <w:t xml:space="preserve"> </w:t>
      </w:r>
      <w:r w:rsidR="005A08EB" w:rsidRPr="00C7273D">
        <w:rPr>
          <w:i/>
          <w:sz w:val="22"/>
          <w:szCs w:val="22"/>
        </w:rPr>
        <w:t>Q</w:t>
      </w:r>
      <w:r w:rsidR="005A08EB">
        <w:rPr>
          <w:i/>
          <w:sz w:val="22"/>
          <w:szCs w:val="22"/>
          <w:vertAlign w:val="subscript"/>
        </w:rPr>
        <w:t>t-1</w:t>
      </w:r>
      <w:r w:rsidR="005A08EB" w:rsidRPr="00C7273D">
        <w:rPr>
          <w:sz w:val="22"/>
          <w:szCs w:val="22"/>
        </w:rPr>
        <w:t xml:space="preserve"> is </w:t>
      </w:r>
      <w:r w:rsidR="005A08EB">
        <w:rPr>
          <w:sz w:val="22"/>
          <w:szCs w:val="22"/>
        </w:rPr>
        <w:t xml:space="preserve">firm-year </w:t>
      </w:r>
      <w:r w:rsidR="005A08EB" w:rsidRPr="00C7273D">
        <w:rPr>
          <w:sz w:val="22"/>
          <w:szCs w:val="22"/>
        </w:rPr>
        <w:t xml:space="preserve">market value of equity in year </w:t>
      </w:r>
      <w:r w:rsidR="005A08EB" w:rsidRPr="00C7273D">
        <w:rPr>
          <w:i/>
          <w:sz w:val="22"/>
          <w:szCs w:val="22"/>
        </w:rPr>
        <w:t>t</w:t>
      </w:r>
      <w:r w:rsidR="005A08EB">
        <w:rPr>
          <w:i/>
          <w:sz w:val="22"/>
          <w:szCs w:val="22"/>
        </w:rPr>
        <w:t>-1</w:t>
      </w:r>
      <w:r w:rsidR="005A08EB" w:rsidRPr="00C7273D">
        <w:rPr>
          <w:i/>
          <w:sz w:val="22"/>
          <w:szCs w:val="22"/>
        </w:rPr>
        <w:t xml:space="preserve"> </w:t>
      </w:r>
      <w:r w:rsidR="005A08EB" w:rsidRPr="00C7273D">
        <w:rPr>
          <w:sz w:val="22"/>
          <w:szCs w:val="22"/>
        </w:rPr>
        <w:t>(</w:t>
      </w:r>
      <w:r w:rsidR="005A08EB" w:rsidRPr="00C7273D">
        <w:rPr>
          <w:i/>
          <w:sz w:val="22"/>
          <w:szCs w:val="22"/>
        </w:rPr>
        <w:t>PRCC_F*CSHO</w:t>
      </w:r>
      <w:r w:rsidR="005A08EB" w:rsidRPr="00C7273D">
        <w:rPr>
          <w:sz w:val="22"/>
          <w:szCs w:val="22"/>
        </w:rPr>
        <w:t>)</w:t>
      </w:r>
      <w:r w:rsidR="005A08EB" w:rsidRPr="00C7273D">
        <w:rPr>
          <w:i/>
          <w:sz w:val="22"/>
          <w:szCs w:val="22"/>
        </w:rPr>
        <w:t xml:space="preserve"> </w:t>
      </w:r>
      <w:r w:rsidR="005A08EB" w:rsidRPr="00C7273D">
        <w:rPr>
          <w:sz w:val="22"/>
          <w:szCs w:val="22"/>
        </w:rPr>
        <w:t xml:space="preserve">plus </w:t>
      </w:r>
      <w:r w:rsidR="0098351A">
        <w:rPr>
          <w:i/>
          <w:sz w:val="22"/>
          <w:szCs w:val="22"/>
        </w:rPr>
        <w:t>AT</w:t>
      </w:r>
      <w:r w:rsidR="005A08EB" w:rsidRPr="00C7273D">
        <w:rPr>
          <w:sz w:val="22"/>
          <w:szCs w:val="22"/>
        </w:rPr>
        <w:t xml:space="preserve"> in year </w:t>
      </w:r>
      <w:r w:rsidR="005A08EB" w:rsidRPr="00C7273D">
        <w:rPr>
          <w:i/>
          <w:sz w:val="22"/>
          <w:szCs w:val="22"/>
        </w:rPr>
        <w:t>t</w:t>
      </w:r>
      <w:r w:rsidR="005A08EB">
        <w:rPr>
          <w:i/>
          <w:sz w:val="22"/>
          <w:szCs w:val="22"/>
        </w:rPr>
        <w:t>-1</w:t>
      </w:r>
      <w:r w:rsidR="005A08EB" w:rsidRPr="00C7273D">
        <w:rPr>
          <w:i/>
          <w:sz w:val="22"/>
          <w:szCs w:val="22"/>
        </w:rPr>
        <w:t xml:space="preserve"> </w:t>
      </w:r>
      <w:r w:rsidR="005A08EB" w:rsidRPr="00C7273D">
        <w:rPr>
          <w:sz w:val="22"/>
          <w:szCs w:val="22"/>
        </w:rPr>
        <w:t xml:space="preserve">less </w:t>
      </w:r>
      <w:r w:rsidR="005A08EB" w:rsidRPr="00C7273D">
        <w:rPr>
          <w:i/>
          <w:sz w:val="22"/>
          <w:szCs w:val="22"/>
        </w:rPr>
        <w:t>CEQ</w:t>
      </w:r>
      <w:r w:rsidR="005A08EB" w:rsidRPr="00C7273D">
        <w:rPr>
          <w:i/>
          <w:sz w:val="22"/>
          <w:szCs w:val="22"/>
          <w:vertAlign w:val="subscript"/>
        </w:rPr>
        <w:t xml:space="preserve"> </w:t>
      </w:r>
      <w:r w:rsidR="005A08EB" w:rsidRPr="00C7273D">
        <w:rPr>
          <w:sz w:val="22"/>
          <w:szCs w:val="22"/>
        </w:rPr>
        <w:t xml:space="preserve">in year </w:t>
      </w:r>
      <w:r w:rsidR="005A08EB" w:rsidRPr="00C7273D">
        <w:rPr>
          <w:i/>
          <w:sz w:val="22"/>
          <w:szCs w:val="22"/>
        </w:rPr>
        <w:t>t</w:t>
      </w:r>
      <w:r w:rsidR="005A08EB">
        <w:rPr>
          <w:i/>
          <w:sz w:val="22"/>
          <w:szCs w:val="22"/>
        </w:rPr>
        <w:t>-1</w:t>
      </w:r>
      <w:r w:rsidR="005A08EB" w:rsidRPr="00C7273D">
        <w:rPr>
          <w:i/>
          <w:sz w:val="22"/>
          <w:szCs w:val="22"/>
        </w:rPr>
        <w:t xml:space="preserve">, </w:t>
      </w:r>
      <w:r w:rsidR="005A08EB" w:rsidRPr="00C7273D">
        <w:rPr>
          <w:sz w:val="22"/>
          <w:szCs w:val="22"/>
        </w:rPr>
        <w:t xml:space="preserve">scaled by </w:t>
      </w:r>
      <w:r w:rsidR="0098351A">
        <w:rPr>
          <w:i/>
          <w:sz w:val="22"/>
          <w:szCs w:val="22"/>
        </w:rPr>
        <w:t>AT</w:t>
      </w:r>
      <w:r w:rsidR="005A08EB" w:rsidRPr="00C7273D">
        <w:rPr>
          <w:i/>
          <w:sz w:val="22"/>
          <w:szCs w:val="22"/>
        </w:rPr>
        <w:t xml:space="preserve"> </w:t>
      </w:r>
      <w:r w:rsidR="005A08EB" w:rsidRPr="00C7273D">
        <w:rPr>
          <w:sz w:val="22"/>
          <w:szCs w:val="22"/>
        </w:rPr>
        <w:t xml:space="preserve">in year </w:t>
      </w:r>
      <w:r w:rsidR="005A08EB" w:rsidRPr="00C7273D">
        <w:rPr>
          <w:i/>
          <w:sz w:val="22"/>
          <w:szCs w:val="22"/>
        </w:rPr>
        <w:t>t</w:t>
      </w:r>
      <w:r w:rsidR="005A08EB">
        <w:rPr>
          <w:i/>
          <w:sz w:val="22"/>
          <w:szCs w:val="22"/>
        </w:rPr>
        <w:t>-1</w:t>
      </w:r>
      <w:r w:rsidR="005A08EB" w:rsidRPr="00C7273D">
        <w:rPr>
          <w:sz w:val="22"/>
          <w:szCs w:val="22"/>
        </w:rPr>
        <w:t xml:space="preserve">. </w:t>
      </w:r>
      <w:r w:rsidR="00B77E53">
        <w:rPr>
          <w:i/>
          <w:sz w:val="22"/>
          <w:szCs w:val="22"/>
        </w:rPr>
        <w:t>Mean</w:t>
      </w:r>
      <w:r w:rsidR="00B77E53" w:rsidRPr="00C7273D">
        <w:rPr>
          <w:i/>
          <w:sz w:val="22"/>
          <w:szCs w:val="22"/>
        </w:rPr>
        <w:t>Q</w:t>
      </w:r>
      <w:r w:rsidR="00B77E53">
        <w:rPr>
          <w:i/>
          <w:sz w:val="22"/>
          <w:szCs w:val="22"/>
          <w:vertAlign w:val="subscript"/>
        </w:rPr>
        <w:t>t-1</w:t>
      </w:r>
      <w:r w:rsidR="00B77E53" w:rsidRPr="00C7273D">
        <w:rPr>
          <w:sz w:val="22"/>
          <w:szCs w:val="22"/>
        </w:rPr>
        <w:t xml:space="preserve"> is the </w:t>
      </w:r>
      <w:r w:rsidR="00B77E53">
        <w:rPr>
          <w:sz w:val="22"/>
          <w:szCs w:val="22"/>
        </w:rPr>
        <w:t xml:space="preserve">country-industry-year mean </w:t>
      </w:r>
      <w:r w:rsidR="00B77E53" w:rsidRPr="00C7273D">
        <w:rPr>
          <w:sz w:val="22"/>
          <w:szCs w:val="22"/>
        </w:rPr>
        <w:t xml:space="preserve">market value of equity in year </w:t>
      </w:r>
      <w:r w:rsidR="00B77E53" w:rsidRPr="00C7273D">
        <w:rPr>
          <w:i/>
          <w:sz w:val="22"/>
          <w:szCs w:val="22"/>
        </w:rPr>
        <w:t>t</w:t>
      </w:r>
      <w:r w:rsidR="00B77E53">
        <w:rPr>
          <w:i/>
          <w:sz w:val="22"/>
          <w:szCs w:val="22"/>
        </w:rPr>
        <w:t>-1</w:t>
      </w:r>
      <w:r w:rsidR="00B77E53" w:rsidRPr="00C7273D">
        <w:rPr>
          <w:i/>
          <w:sz w:val="22"/>
          <w:szCs w:val="22"/>
        </w:rPr>
        <w:t xml:space="preserve"> </w:t>
      </w:r>
      <w:r w:rsidR="00B77E53" w:rsidRPr="00C7273D">
        <w:rPr>
          <w:sz w:val="22"/>
          <w:szCs w:val="22"/>
        </w:rPr>
        <w:t>(</w:t>
      </w:r>
      <w:r w:rsidR="00B77E53" w:rsidRPr="00C7273D">
        <w:rPr>
          <w:i/>
          <w:sz w:val="22"/>
          <w:szCs w:val="22"/>
        </w:rPr>
        <w:t>PRCC_F*CSHO</w:t>
      </w:r>
      <w:r w:rsidR="00B77E53" w:rsidRPr="00C7273D">
        <w:rPr>
          <w:sz w:val="22"/>
          <w:szCs w:val="22"/>
        </w:rPr>
        <w:t>)</w:t>
      </w:r>
      <w:r w:rsidR="00B77E53" w:rsidRPr="00C7273D">
        <w:rPr>
          <w:i/>
          <w:sz w:val="22"/>
          <w:szCs w:val="22"/>
        </w:rPr>
        <w:t xml:space="preserve"> </w:t>
      </w:r>
      <w:r w:rsidR="00B77E53" w:rsidRPr="00C7273D">
        <w:rPr>
          <w:sz w:val="22"/>
          <w:szCs w:val="22"/>
        </w:rPr>
        <w:t xml:space="preserve">plus </w:t>
      </w:r>
      <w:r w:rsidR="0098351A">
        <w:rPr>
          <w:i/>
          <w:sz w:val="22"/>
          <w:szCs w:val="22"/>
        </w:rPr>
        <w:t>AT</w:t>
      </w:r>
      <w:r w:rsidR="00B77E53" w:rsidRPr="00C7273D">
        <w:rPr>
          <w:sz w:val="22"/>
          <w:szCs w:val="22"/>
        </w:rPr>
        <w:t xml:space="preserve"> in year </w:t>
      </w:r>
      <w:r w:rsidR="00B77E53" w:rsidRPr="00C7273D">
        <w:rPr>
          <w:i/>
          <w:sz w:val="22"/>
          <w:szCs w:val="22"/>
        </w:rPr>
        <w:t>t</w:t>
      </w:r>
      <w:r w:rsidR="00B77E53">
        <w:rPr>
          <w:i/>
          <w:sz w:val="22"/>
          <w:szCs w:val="22"/>
        </w:rPr>
        <w:t>-1</w:t>
      </w:r>
      <w:r w:rsidR="00B77E53" w:rsidRPr="00C7273D">
        <w:rPr>
          <w:i/>
          <w:sz w:val="22"/>
          <w:szCs w:val="22"/>
        </w:rPr>
        <w:t xml:space="preserve"> </w:t>
      </w:r>
      <w:r w:rsidR="00B77E53" w:rsidRPr="00C7273D">
        <w:rPr>
          <w:sz w:val="22"/>
          <w:szCs w:val="22"/>
        </w:rPr>
        <w:t xml:space="preserve">less </w:t>
      </w:r>
      <w:r w:rsidR="00B77E53" w:rsidRPr="00C7273D">
        <w:rPr>
          <w:i/>
          <w:sz w:val="22"/>
          <w:szCs w:val="22"/>
        </w:rPr>
        <w:t>CEQ</w:t>
      </w:r>
      <w:r w:rsidR="00B77E53" w:rsidRPr="00C7273D">
        <w:rPr>
          <w:i/>
          <w:sz w:val="22"/>
          <w:szCs w:val="22"/>
          <w:vertAlign w:val="subscript"/>
        </w:rPr>
        <w:t xml:space="preserve"> </w:t>
      </w:r>
      <w:r w:rsidR="00B77E53" w:rsidRPr="00C7273D">
        <w:rPr>
          <w:sz w:val="22"/>
          <w:szCs w:val="22"/>
        </w:rPr>
        <w:t xml:space="preserve">in year </w:t>
      </w:r>
      <w:r w:rsidR="00B77E53" w:rsidRPr="00C7273D">
        <w:rPr>
          <w:i/>
          <w:sz w:val="22"/>
          <w:szCs w:val="22"/>
        </w:rPr>
        <w:t>t</w:t>
      </w:r>
      <w:r w:rsidR="00B77E53">
        <w:rPr>
          <w:i/>
          <w:sz w:val="22"/>
          <w:szCs w:val="22"/>
        </w:rPr>
        <w:t>-1</w:t>
      </w:r>
      <w:r w:rsidR="00B77E53" w:rsidRPr="00C7273D">
        <w:rPr>
          <w:i/>
          <w:sz w:val="22"/>
          <w:szCs w:val="22"/>
        </w:rPr>
        <w:t xml:space="preserve">, </w:t>
      </w:r>
      <w:r w:rsidR="00B77E53" w:rsidRPr="00C7273D">
        <w:rPr>
          <w:sz w:val="22"/>
          <w:szCs w:val="22"/>
        </w:rPr>
        <w:t xml:space="preserve">scaled by </w:t>
      </w:r>
      <w:r w:rsidR="0098351A">
        <w:rPr>
          <w:i/>
          <w:sz w:val="22"/>
          <w:szCs w:val="22"/>
        </w:rPr>
        <w:t>AT</w:t>
      </w:r>
      <w:r w:rsidR="00B77E53" w:rsidRPr="00C7273D">
        <w:rPr>
          <w:i/>
          <w:sz w:val="22"/>
          <w:szCs w:val="22"/>
        </w:rPr>
        <w:t xml:space="preserve"> </w:t>
      </w:r>
      <w:r w:rsidR="00B77E53" w:rsidRPr="00C7273D">
        <w:rPr>
          <w:sz w:val="22"/>
          <w:szCs w:val="22"/>
        </w:rPr>
        <w:t xml:space="preserve">in year </w:t>
      </w:r>
      <w:r w:rsidR="00B77E53" w:rsidRPr="00C7273D">
        <w:rPr>
          <w:i/>
          <w:sz w:val="22"/>
          <w:szCs w:val="22"/>
        </w:rPr>
        <w:t>t</w:t>
      </w:r>
      <w:r w:rsidR="00B77E53">
        <w:rPr>
          <w:i/>
          <w:sz w:val="22"/>
          <w:szCs w:val="22"/>
        </w:rPr>
        <w:t>-1</w:t>
      </w:r>
      <w:r w:rsidR="00B77E53" w:rsidRPr="00C7273D">
        <w:rPr>
          <w:sz w:val="22"/>
          <w:szCs w:val="22"/>
        </w:rPr>
        <w:t xml:space="preserve">. </w:t>
      </w:r>
      <w:r w:rsidR="00B77E53">
        <w:rPr>
          <w:i/>
          <w:sz w:val="22"/>
          <w:szCs w:val="22"/>
        </w:rPr>
        <w:t>Med</w:t>
      </w:r>
      <w:r w:rsidR="00B77E53" w:rsidRPr="00C7273D">
        <w:rPr>
          <w:i/>
          <w:sz w:val="22"/>
          <w:szCs w:val="22"/>
        </w:rPr>
        <w:t>Q</w:t>
      </w:r>
      <w:r w:rsidR="00B77E53">
        <w:rPr>
          <w:i/>
          <w:sz w:val="22"/>
          <w:szCs w:val="22"/>
          <w:vertAlign w:val="subscript"/>
        </w:rPr>
        <w:t>t-1</w:t>
      </w:r>
      <w:r w:rsidR="00B77E53" w:rsidRPr="00C7273D">
        <w:rPr>
          <w:sz w:val="22"/>
          <w:szCs w:val="22"/>
        </w:rPr>
        <w:t xml:space="preserve"> is the </w:t>
      </w:r>
      <w:r w:rsidR="00B77E53">
        <w:rPr>
          <w:sz w:val="22"/>
          <w:szCs w:val="22"/>
        </w:rPr>
        <w:t xml:space="preserve">country-industry-year median </w:t>
      </w:r>
      <w:r w:rsidR="00B77E53" w:rsidRPr="00C7273D">
        <w:rPr>
          <w:sz w:val="22"/>
          <w:szCs w:val="22"/>
        </w:rPr>
        <w:t xml:space="preserve">market value of equity in year </w:t>
      </w:r>
      <w:r w:rsidR="00B77E53" w:rsidRPr="00C7273D">
        <w:rPr>
          <w:i/>
          <w:sz w:val="22"/>
          <w:szCs w:val="22"/>
        </w:rPr>
        <w:t>t</w:t>
      </w:r>
      <w:r w:rsidR="00B77E53">
        <w:rPr>
          <w:i/>
          <w:sz w:val="22"/>
          <w:szCs w:val="22"/>
        </w:rPr>
        <w:t>-1</w:t>
      </w:r>
      <w:r w:rsidR="00B77E53" w:rsidRPr="00C7273D">
        <w:rPr>
          <w:i/>
          <w:sz w:val="22"/>
          <w:szCs w:val="22"/>
        </w:rPr>
        <w:t xml:space="preserve"> </w:t>
      </w:r>
      <w:r w:rsidR="00B77E53" w:rsidRPr="00C7273D">
        <w:rPr>
          <w:sz w:val="22"/>
          <w:szCs w:val="22"/>
        </w:rPr>
        <w:t>(</w:t>
      </w:r>
      <w:r w:rsidR="00B77E53" w:rsidRPr="00C7273D">
        <w:rPr>
          <w:i/>
          <w:sz w:val="22"/>
          <w:szCs w:val="22"/>
        </w:rPr>
        <w:t>PRCC_F*CSHO</w:t>
      </w:r>
      <w:r w:rsidR="00B77E53" w:rsidRPr="00C7273D">
        <w:rPr>
          <w:sz w:val="22"/>
          <w:szCs w:val="22"/>
        </w:rPr>
        <w:t>)</w:t>
      </w:r>
      <w:r w:rsidR="00B77E53" w:rsidRPr="00C7273D">
        <w:rPr>
          <w:i/>
          <w:sz w:val="22"/>
          <w:szCs w:val="22"/>
        </w:rPr>
        <w:t xml:space="preserve"> </w:t>
      </w:r>
      <w:r w:rsidR="00B77E53" w:rsidRPr="00C7273D">
        <w:rPr>
          <w:sz w:val="22"/>
          <w:szCs w:val="22"/>
        </w:rPr>
        <w:t xml:space="preserve">plus </w:t>
      </w:r>
      <w:r w:rsidR="0098351A">
        <w:rPr>
          <w:i/>
          <w:sz w:val="22"/>
          <w:szCs w:val="22"/>
        </w:rPr>
        <w:t>AT</w:t>
      </w:r>
      <w:r w:rsidR="00B77E53" w:rsidRPr="00C7273D">
        <w:rPr>
          <w:i/>
          <w:sz w:val="22"/>
          <w:szCs w:val="22"/>
        </w:rPr>
        <w:t xml:space="preserve"> </w:t>
      </w:r>
      <w:r w:rsidR="00B77E53" w:rsidRPr="00C7273D">
        <w:rPr>
          <w:sz w:val="22"/>
          <w:szCs w:val="22"/>
        </w:rPr>
        <w:t xml:space="preserve">in year </w:t>
      </w:r>
      <w:r w:rsidR="00B77E53" w:rsidRPr="00C7273D">
        <w:rPr>
          <w:i/>
          <w:sz w:val="22"/>
          <w:szCs w:val="22"/>
        </w:rPr>
        <w:t>t</w:t>
      </w:r>
      <w:r w:rsidR="00B77E53">
        <w:rPr>
          <w:i/>
          <w:sz w:val="22"/>
          <w:szCs w:val="22"/>
        </w:rPr>
        <w:t>-1</w:t>
      </w:r>
      <w:r w:rsidR="00B77E53" w:rsidRPr="00C7273D">
        <w:rPr>
          <w:sz w:val="22"/>
          <w:szCs w:val="22"/>
        </w:rPr>
        <w:t xml:space="preserve">. </w:t>
      </w:r>
      <w:r w:rsidR="00B77E53">
        <w:rPr>
          <w:i/>
          <w:sz w:val="22"/>
          <w:szCs w:val="22"/>
        </w:rPr>
        <w:t>MedPE</w:t>
      </w:r>
      <w:r w:rsidR="00B77E53">
        <w:rPr>
          <w:i/>
          <w:sz w:val="22"/>
          <w:szCs w:val="22"/>
          <w:vertAlign w:val="subscript"/>
        </w:rPr>
        <w:t>t-1</w:t>
      </w:r>
      <w:r w:rsidR="00B77E53" w:rsidRPr="00C7273D">
        <w:rPr>
          <w:sz w:val="22"/>
          <w:szCs w:val="22"/>
        </w:rPr>
        <w:t xml:space="preserve"> is the </w:t>
      </w:r>
      <w:r w:rsidR="00B77E53">
        <w:rPr>
          <w:sz w:val="22"/>
          <w:szCs w:val="22"/>
        </w:rPr>
        <w:t xml:space="preserve">country-industry-year median price to earnings ratio reported by </w:t>
      </w:r>
      <w:proofErr w:type="spellStart"/>
      <w:r w:rsidR="00B77E53" w:rsidRPr="00D251D2">
        <w:rPr>
          <w:i/>
          <w:sz w:val="22"/>
          <w:szCs w:val="22"/>
        </w:rPr>
        <w:t>WorldScope</w:t>
      </w:r>
      <w:proofErr w:type="spellEnd"/>
      <w:r w:rsidR="00B77E53" w:rsidRPr="00C7273D">
        <w:rPr>
          <w:sz w:val="22"/>
          <w:szCs w:val="22"/>
        </w:rPr>
        <w:t xml:space="preserve"> in year </w:t>
      </w:r>
      <w:r w:rsidR="00B77E53" w:rsidRPr="00C7273D">
        <w:rPr>
          <w:i/>
          <w:sz w:val="22"/>
          <w:szCs w:val="22"/>
        </w:rPr>
        <w:t>t</w:t>
      </w:r>
      <w:r w:rsidR="00B77E53">
        <w:rPr>
          <w:i/>
          <w:sz w:val="22"/>
          <w:szCs w:val="22"/>
        </w:rPr>
        <w:t>-1</w:t>
      </w:r>
      <w:r w:rsidR="00B77E53" w:rsidRPr="00C7273D">
        <w:rPr>
          <w:sz w:val="22"/>
          <w:szCs w:val="22"/>
        </w:rPr>
        <w:t xml:space="preserve">. </w:t>
      </w:r>
      <w:r w:rsidR="00B77E53">
        <w:rPr>
          <w:i/>
          <w:sz w:val="22"/>
          <w:szCs w:val="22"/>
        </w:rPr>
        <w:t>CF</w:t>
      </w:r>
      <w:r w:rsidR="00B77E53" w:rsidRPr="003D3966">
        <w:rPr>
          <w:i/>
          <w:sz w:val="22"/>
          <w:szCs w:val="22"/>
          <w:vertAlign w:val="subscript"/>
        </w:rPr>
        <w:t>t-1</w:t>
      </w:r>
      <w:r w:rsidR="00B77E53">
        <w:rPr>
          <w:i/>
          <w:sz w:val="22"/>
          <w:szCs w:val="22"/>
        </w:rPr>
        <w:t xml:space="preserve"> </w:t>
      </w:r>
      <w:r w:rsidR="00B77E53">
        <w:rPr>
          <w:sz w:val="22"/>
          <w:szCs w:val="22"/>
        </w:rPr>
        <w:t xml:space="preserve">is </w:t>
      </w:r>
      <w:r w:rsidR="00B77E53">
        <w:rPr>
          <w:i/>
          <w:sz w:val="22"/>
          <w:szCs w:val="22"/>
        </w:rPr>
        <w:t>C</w:t>
      </w:r>
      <w:r w:rsidR="00B77E53" w:rsidRPr="00F66523">
        <w:rPr>
          <w:i/>
          <w:sz w:val="22"/>
          <w:szCs w:val="22"/>
        </w:rPr>
        <w:t>FO</w:t>
      </w:r>
      <w:r w:rsidR="00B77E53" w:rsidRPr="003D3966">
        <w:rPr>
          <w:i/>
          <w:sz w:val="22"/>
          <w:szCs w:val="22"/>
          <w:vertAlign w:val="subscript"/>
        </w:rPr>
        <w:t>t-1</w:t>
      </w:r>
      <w:r w:rsidR="00B77E53" w:rsidRPr="00F66523">
        <w:rPr>
          <w:i/>
          <w:sz w:val="22"/>
          <w:szCs w:val="22"/>
        </w:rPr>
        <w:t xml:space="preserve"> </w:t>
      </w:r>
      <w:r w:rsidR="00B77E53" w:rsidRPr="00F66523">
        <w:rPr>
          <w:sz w:val="22"/>
          <w:szCs w:val="22"/>
        </w:rPr>
        <w:t xml:space="preserve">scaled by </w:t>
      </w:r>
      <w:r w:rsidR="0098351A">
        <w:rPr>
          <w:i/>
          <w:sz w:val="22"/>
          <w:szCs w:val="22"/>
        </w:rPr>
        <w:t>AT</w:t>
      </w:r>
      <w:r w:rsidR="00B77E53" w:rsidRPr="00F66523">
        <w:rPr>
          <w:i/>
          <w:sz w:val="22"/>
          <w:szCs w:val="22"/>
          <w:vertAlign w:val="subscript"/>
        </w:rPr>
        <w:t>t-</w:t>
      </w:r>
      <w:r w:rsidR="00B77E53">
        <w:rPr>
          <w:i/>
          <w:sz w:val="22"/>
          <w:szCs w:val="22"/>
          <w:vertAlign w:val="subscript"/>
        </w:rPr>
        <w:t>2</w:t>
      </w:r>
      <w:r w:rsidR="00B77E53" w:rsidRPr="00F66523">
        <w:rPr>
          <w:sz w:val="22"/>
          <w:szCs w:val="22"/>
        </w:rPr>
        <w:t xml:space="preserve">. </w:t>
      </w:r>
      <w:r w:rsidR="00B77E53" w:rsidRPr="003D3966">
        <w:rPr>
          <w:i/>
          <w:iCs/>
          <w:sz w:val="22"/>
          <w:szCs w:val="22"/>
        </w:rPr>
        <w:t>LogAT</w:t>
      </w:r>
      <w:r w:rsidR="00B77E53" w:rsidRPr="003D3966">
        <w:rPr>
          <w:i/>
          <w:iCs/>
          <w:sz w:val="22"/>
          <w:szCs w:val="22"/>
          <w:vertAlign w:val="subscript"/>
        </w:rPr>
        <w:t>t-1</w:t>
      </w:r>
      <w:r w:rsidR="00B77E53">
        <w:rPr>
          <w:sz w:val="22"/>
          <w:szCs w:val="22"/>
        </w:rPr>
        <w:t xml:space="preserve"> is the natural log of </w:t>
      </w:r>
      <w:r w:rsidR="0098351A">
        <w:rPr>
          <w:i/>
          <w:sz w:val="22"/>
          <w:szCs w:val="22"/>
        </w:rPr>
        <w:t>AT</w:t>
      </w:r>
      <w:r w:rsidR="00B77E53" w:rsidRPr="003D3966">
        <w:rPr>
          <w:i/>
          <w:sz w:val="22"/>
          <w:szCs w:val="22"/>
          <w:vertAlign w:val="subscript"/>
        </w:rPr>
        <w:t>t-1</w:t>
      </w:r>
      <w:r w:rsidR="00B77E53" w:rsidRPr="00F66523">
        <w:rPr>
          <w:sz w:val="22"/>
          <w:szCs w:val="22"/>
        </w:rPr>
        <w:t>.</w:t>
      </w:r>
      <w:r w:rsidR="00B77E53">
        <w:rPr>
          <w:sz w:val="22"/>
          <w:szCs w:val="22"/>
        </w:rPr>
        <w:t xml:space="preserve"> </w:t>
      </w:r>
      <w:r w:rsidR="00B77E53">
        <w:rPr>
          <w:i/>
          <w:iCs/>
          <w:sz w:val="22"/>
          <w:szCs w:val="22"/>
        </w:rPr>
        <w:t>ROA</w:t>
      </w:r>
      <w:r w:rsidR="00B77E53" w:rsidRPr="003D3966">
        <w:rPr>
          <w:i/>
          <w:iCs/>
          <w:sz w:val="22"/>
          <w:szCs w:val="22"/>
          <w:vertAlign w:val="subscript"/>
        </w:rPr>
        <w:t>t-1</w:t>
      </w:r>
      <w:r w:rsidR="00B77E53">
        <w:rPr>
          <w:sz w:val="22"/>
          <w:szCs w:val="22"/>
        </w:rPr>
        <w:t xml:space="preserve"> is income before extraordinary items (</w:t>
      </w:r>
      <w:r w:rsidR="00B77E53">
        <w:rPr>
          <w:i/>
          <w:iCs/>
          <w:sz w:val="22"/>
          <w:szCs w:val="22"/>
        </w:rPr>
        <w:t>IB)</w:t>
      </w:r>
      <w:r w:rsidR="00B77E53">
        <w:rPr>
          <w:sz w:val="22"/>
          <w:szCs w:val="22"/>
        </w:rPr>
        <w:t xml:space="preserve"> scaled by </w:t>
      </w:r>
      <w:r w:rsidR="0098351A">
        <w:rPr>
          <w:i/>
          <w:sz w:val="22"/>
          <w:szCs w:val="22"/>
        </w:rPr>
        <w:t>AT</w:t>
      </w:r>
      <w:r w:rsidR="00B77E53" w:rsidRPr="003D3966">
        <w:rPr>
          <w:i/>
          <w:sz w:val="22"/>
          <w:szCs w:val="22"/>
          <w:vertAlign w:val="subscript"/>
        </w:rPr>
        <w:t>t-1</w:t>
      </w:r>
      <w:r w:rsidR="00B77E53" w:rsidRPr="00F66523">
        <w:rPr>
          <w:sz w:val="22"/>
          <w:szCs w:val="22"/>
        </w:rPr>
        <w:t>.</w:t>
      </w:r>
      <w:r w:rsidR="00B77E53">
        <w:rPr>
          <w:sz w:val="22"/>
          <w:szCs w:val="22"/>
        </w:rPr>
        <w:t xml:space="preserve"> </w:t>
      </w:r>
      <w:r w:rsidR="002D3EC7" w:rsidRPr="00D40129">
        <w:rPr>
          <w:i/>
          <w:sz w:val="22"/>
          <w:szCs w:val="22"/>
        </w:rPr>
        <w:t>G</w:t>
      </w:r>
      <w:r w:rsidR="002D3EC7" w:rsidRPr="00D40129">
        <w:rPr>
          <w:sz w:val="22"/>
          <w:szCs w:val="22"/>
        </w:rPr>
        <w:t xml:space="preserve"> is a firm-specific measure of sensitivity to tax rates calculated as </w:t>
      </w:r>
      <w:r w:rsidR="002D3EC7">
        <w:rPr>
          <w:sz w:val="22"/>
          <w:szCs w:val="22"/>
        </w:rPr>
        <w:t xml:space="preserve">negative one multiplied by </w:t>
      </w:r>
      <w:r w:rsidR="002D3EC7" w:rsidRPr="00D40129">
        <w:rPr>
          <w:sz w:val="22"/>
          <w:szCs w:val="22"/>
        </w:rPr>
        <w:t xml:space="preserve">the sum of </w:t>
      </w:r>
      <w:r w:rsidR="002D3EC7">
        <w:rPr>
          <w:sz w:val="22"/>
          <w:szCs w:val="22"/>
        </w:rPr>
        <w:t>estimated</w:t>
      </w:r>
      <w:r w:rsidR="002D3EC7" w:rsidRPr="00D40129">
        <w:rPr>
          <w:i/>
          <w:sz w:val="22"/>
          <w:szCs w:val="22"/>
        </w:rPr>
        <w:t xml:space="preserve"> β</w:t>
      </w:r>
      <w:r w:rsidR="002D3EC7" w:rsidRPr="00D40129">
        <w:rPr>
          <w:i/>
          <w:sz w:val="22"/>
          <w:szCs w:val="22"/>
          <w:vertAlign w:val="subscript"/>
        </w:rPr>
        <w:t>7</w:t>
      </w:r>
      <w:r w:rsidR="002D3EC7" w:rsidRPr="00D40129">
        <w:rPr>
          <w:sz w:val="22"/>
          <w:szCs w:val="22"/>
        </w:rPr>
        <w:t xml:space="preserve"> and</w:t>
      </w:r>
      <w:r w:rsidR="002D3EC7" w:rsidRPr="00D40129">
        <w:rPr>
          <w:i/>
          <w:sz w:val="22"/>
          <w:szCs w:val="22"/>
        </w:rPr>
        <w:t xml:space="preserve"> β</w:t>
      </w:r>
      <w:r w:rsidR="002D3EC7" w:rsidRPr="00D40129">
        <w:rPr>
          <w:i/>
          <w:sz w:val="22"/>
          <w:szCs w:val="22"/>
          <w:vertAlign w:val="subscript"/>
        </w:rPr>
        <w:t>11</w:t>
      </w:r>
      <w:r w:rsidR="002D3EC7" w:rsidRPr="00D40129">
        <w:rPr>
          <w:sz w:val="22"/>
          <w:szCs w:val="22"/>
        </w:rPr>
        <w:t xml:space="preserve"> from estimating the following regression using affiliate-level data: </w:t>
      </w:r>
    </w:p>
    <w:p w14:paraId="539872D2" w14:textId="77777777" w:rsidR="00632ACC" w:rsidRPr="00D40129" w:rsidRDefault="00632ACC" w:rsidP="00632ACC">
      <w:pPr>
        <w:jc w:val="both"/>
        <w:rPr>
          <w:i/>
          <w:sz w:val="22"/>
          <w:szCs w:val="22"/>
        </w:rPr>
      </w:pPr>
      <w:proofErr w:type="gramStart"/>
      <w:r w:rsidRPr="00D40129">
        <w:rPr>
          <w:sz w:val="22"/>
          <w:szCs w:val="22"/>
        </w:rPr>
        <w:t>ln(</w:t>
      </w:r>
      <w:proofErr w:type="gramEnd"/>
      <w:r w:rsidRPr="00D40129">
        <w:rPr>
          <w:i/>
          <w:sz w:val="22"/>
          <w:szCs w:val="22"/>
        </w:rPr>
        <w:sym w:font="Symbol" w:char="F070"/>
      </w:r>
      <w:proofErr w:type="spellStart"/>
      <w:r w:rsidRPr="00D40129">
        <w:rPr>
          <w:i/>
          <w:sz w:val="22"/>
          <w:szCs w:val="22"/>
          <w:vertAlign w:val="subscript"/>
        </w:rPr>
        <w:t>i</w:t>
      </w:r>
      <w:proofErr w:type="spellEnd"/>
      <w:r w:rsidRPr="00D40129">
        <w:rPr>
          <w:sz w:val="22"/>
          <w:szCs w:val="22"/>
        </w:rPr>
        <w:t xml:space="preserve"> + 1) = </w:t>
      </w:r>
      <w:r w:rsidRPr="00D40129">
        <w:rPr>
          <w:i/>
          <w:sz w:val="22"/>
          <w:szCs w:val="22"/>
        </w:rPr>
        <w:t>β</w:t>
      </w:r>
      <w:r w:rsidRPr="00D40129">
        <w:rPr>
          <w:i/>
          <w:sz w:val="22"/>
          <w:szCs w:val="22"/>
          <w:vertAlign w:val="subscript"/>
        </w:rPr>
        <w:t>0</w:t>
      </w:r>
      <w:r w:rsidRPr="00D40129">
        <w:rPr>
          <w:sz w:val="22"/>
          <w:szCs w:val="22"/>
        </w:rPr>
        <w:t xml:space="preserve"> + </w:t>
      </w:r>
      <w:r w:rsidRPr="00D40129">
        <w:rPr>
          <w:i/>
          <w:sz w:val="22"/>
          <w:szCs w:val="22"/>
        </w:rPr>
        <w:t>β</w:t>
      </w:r>
      <w:r w:rsidRPr="00D40129">
        <w:rPr>
          <w:i/>
          <w:sz w:val="22"/>
          <w:szCs w:val="22"/>
          <w:vertAlign w:val="subscript"/>
        </w:rPr>
        <w:t>1</w:t>
      </w:r>
      <w:r w:rsidRPr="00D40129">
        <w:rPr>
          <w:i/>
          <w:sz w:val="22"/>
          <w:szCs w:val="22"/>
        </w:rPr>
        <w:t>*</w:t>
      </w:r>
      <w:r w:rsidRPr="00D40129">
        <w:rPr>
          <w:sz w:val="22"/>
          <w:szCs w:val="22"/>
        </w:rPr>
        <w:t>ln(</w:t>
      </w:r>
      <w:proofErr w:type="spellStart"/>
      <w:r w:rsidRPr="00D40129">
        <w:rPr>
          <w:i/>
          <w:sz w:val="22"/>
          <w:szCs w:val="22"/>
        </w:rPr>
        <w:t>TangibleAssets</w:t>
      </w:r>
      <w:r w:rsidRPr="00D40129">
        <w:rPr>
          <w:i/>
          <w:sz w:val="22"/>
          <w:szCs w:val="22"/>
          <w:vertAlign w:val="subscript"/>
        </w:rPr>
        <w:t>it</w:t>
      </w:r>
      <w:proofErr w:type="spellEnd"/>
      <w:r w:rsidRPr="00D40129">
        <w:rPr>
          <w:sz w:val="22"/>
          <w:szCs w:val="22"/>
        </w:rPr>
        <w:t xml:space="preserve">) + </w:t>
      </w:r>
      <w:r w:rsidRPr="00D40129">
        <w:rPr>
          <w:i/>
          <w:sz w:val="22"/>
          <w:szCs w:val="22"/>
        </w:rPr>
        <w:t>β</w:t>
      </w:r>
      <w:r w:rsidRPr="00D40129">
        <w:rPr>
          <w:i/>
          <w:sz w:val="22"/>
          <w:szCs w:val="22"/>
          <w:vertAlign w:val="subscript"/>
        </w:rPr>
        <w:t>2</w:t>
      </w:r>
      <w:r w:rsidRPr="00D40129">
        <w:rPr>
          <w:i/>
          <w:sz w:val="22"/>
          <w:szCs w:val="22"/>
        </w:rPr>
        <w:t>*</w:t>
      </w:r>
      <w:r w:rsidRPr="00D40129">
        <w:rPr>
          <w:sz w:val="22"/>
          <w:szCs w:val="22"/>
        </w:rPr>
        <w:t>ln(</w:t>
      </w:r>
      <w:proofErr w:type="spellStart"/>
      <w:r w:rsidRPr="00D40129">
        <w:rPr>
          <w:i/>
          <w:sz w:val="22"/>
          <w:szCs w:val="22"/>
        </w:rPr>
        <w:t>CompExp</w:t>
      </w:r>
      <w:r w:rsidRPr="00D40129">
        <w:rPr>
          <w:i/>
          <w:sz w:val="22"/>
          <w:szCs w:val="22"/>
          <w:vertAlign w:val="subscript"/>
        </w:rPr>
        <w:t>it</w:t>
      </w:r>
      <w:proofErr w:type="spellEnd"/>
      <w:r w:rsidRPr="00D40129">
        <w:rPr>
          <w:sz w:val="22"/>
          <w:szCs w:val="22"/>
        </w:rPr>
        <w:t xml:space="preserve">) + </w:t>
      </w:r>
      <w:r w:rsidRPr="00D40129">
        <w:rPr>
          <w:i/>
          <w:sz w:val="22"/>
          <w:szCs w:val="22"/>
        </w:rPr>
        <w:t>β</w:t>
      </w:r>
      <w:r w:rsidRPr="00D40129">
        <w:rPr>
          <w:i/>
          <w:sz w:val="22"/>
          <w:szCs w:val="22"/>
          <w:vertAlign w:val="subscript"/>
        </w:rPr>
        <w:t>3</w:t>
      </w:r>
      <w:r w:rsidRPr="00D40129">
        <w:rPr>
          <w:i/>
          <w:sz w:val="22"/>
          <w:szCs w:val="22"/>
        </w:rPr>
        <w:t>*</w:t>
      </w:r>
      <w:proofErr w:type="spellStart"/>
      <w:r w:rsidRPr="00D40129">
        <w:rPr>
          <w:i/>
          <w:sz w:val="22"/>
          <w:szCs w:val="22"/>
        </w:rPr>
        <w:t>IndustryROA</w:t>
      </w:r>
      <w:r w:rsidRPr="00D40129">
        <w:rPr>
          <w:i/>
          <w:sz w:val="22"/>
          <w:szCs w:val="22"/>
          <w:vertAlign w:val="subscript"/>
        </w:rPr>
        <w:t>t</w:t>
      </w:r>
      <w:proofErr w:type="spellEnd"/>
      <w:r w:rsidRPr="00D40129">
        <w:rPr>
          <w:sz w:val="22"/>
          <w:szCs w:val="22"/>
        </w:rPr>
        <w:t xml:space="preserve"> </w:t>
      </w:r>
      <w:r w:rsidRPr="00D40129">
        <w:rPr>
          <w:i/>
          <w:sz w:val="22"/>
          <w:szCs w:val="22"/>
        </w:rPr>
        <w:t>+ β</w:t>
      </w:r>
      <w:r w:rsidRPr="00D40129">
        <w:rPr>
          <w:i/>
          <w:sz w:val="22"/>
          <w:szCs w:val="22"/>
          <w:vertAlign w:val="subscript"/>
        </w:rPr>
        <w:t>4</w:t>
      </w:r>
      <w:r w:rsidRPr="00D40129">
        <w:rPr>
          <w:i/>
          <w:sz w:val="22"/>
          <w:szCs w:val="22"/>
        </w:rPr>
        <w:t>*</w:t>
      </w:r>
      <w:proofErr w:type="spellStart"/>
      <w:r w:rsidRPr="00D40129">
        <w:rPr>
          <w:i/>
          <w:sz w:val="22"/>
          <w:szCs w:val="22"/>
        </w:rPr>
        <w:t>Age</w:t>
      </w:r>
      <w:r w:rsidRPr="00D40129">
        <w:rPr>
          <w:i/>
          <w:sz w:val="22"/>
          <w:szCs w:val="22"/>
          <w:vertAlign w:val="subscript"/>
        </w:rPr>
        <w:t>it</w:t>
      </w:r>
      <w:proofErr w:type="spellEnd"/>
      <w:r w:rsidRPr="00D40129">
        <w:rPr>
          <w:i/>
          <w:sz w:val="22"/>
          <w:szCs w:val="22"/>
        </w:rPr>
        <w:t xml:space="preserve"> + β</w:t>
      </w:r>
      <w:r w:rsidRPr="00D40129">
        <w:rPr>
          <w:i/>
          <w:sz w:val="22"/>
          <w:szCs w:val="22"/>
          <w:vertAlign w:val="subscript"/>
        </w:rPr>
        <w:t>5</w:t>
      </w:r>
      <w:r w:rsidRPr="00D40129">
        <w:rPr>
          <w:i/>
          <w:sz w:val="22"/>
          <w:szCs w:val="22"/>
        </w:rPr>
        <w:t>*∆</w:t>
      </w:r>
      <w:proofErr w:type="spellStart"/>
      <w:r w:rsidRPr="00D40129">
        <w:rPr>
          <w:i/>
          <w:sz w:val="22"/>
          <w:szCs w:val="22"/>
        </w:rPr>
        <w:t>GDP</w:t>
      </w:r>
      <w:r w:rsidRPr="00D40129">
        <w:rPr>
          <w:i/>
          <w:sz w:val="22"/>
          <w:szCs w:val="22"/>
          <w:vertAlign w:val="subscript"/>
        </w:rPr>
        <w:t>t</w:t>
      </w:r>
      <w:proofErr w:type="spellEnd"/>
      <w:r w:rsidRPr="00D40129">
        <w:rPr>
          <w:i/>
          <w:sz w:val="22"/>
          <w:szCs w:val="22"/>
        </w:rPr>
        <w:t xml:space="preserve"> </w:t>
      </w:r>
    </w:p>
    <w:p w14:paraId="1A79BB3B" w14:textId="77777777" w:rsidR="00632ACC" w:rsidRPr="00D40129" w:rsidRDefault="00632ACC" w:rsidP="00632ACC">
      <w:pPr>
        <w:jc w:val="both"/>
        <w:rPr>
          <w:sz w:val="22"/>
          <w:szCs w:val="22"/>
        </w:rPr>
      </w:pPr>
      <w:r w:rsidRPr="00D40129">
        <w:rPr>
          <w:i/>
          <w:sz w:val="22"/>
          <w:szCs w:val="22"/>
        </w:rPr>
        <w:t xml:space="preserve">   + β</w:t>
      </w:r>
      <w:r w:rsidRPr="00D40129">
        <w:rPr>
          <w:i/>
          <w:sz w:val="22"/>
          <w:szCs w:val="22"/>
          <w:vertAlign w:val="subscript"/>
        </w:rPr>
        <w:t>6</w:t>
      </w:r>
      <w:r w:rsidRPr="00D40129">
        <w:rPr>
          <w:i/>
          <w:sz w:val="22"/>
          <w:szCs w:val="22"/>
        </w:rPr>
        <w:t>*∆</w:t>
      </w:r>
      <w:proofErr w:type="spellStart"/>
      <w:r w:rsidRPr="00D40129">
        <w:rPr>
          <w:i/>
          <w:sz w:val="22"/>
          <w:szCs w:val="22"/>
        </w:rPr>
        <w:t>MarketSize</w:t>
      </w:r>
      <w:r w:rsidRPr="00D40129">
        <w:rPr>
          <w:i/>
          <w:sz w:val="22"/>
          <w:szCs w:val="22"/>
          <w:vertAlign w:val="subscript"/>
        </w:rPr>
        <w:t>t</w:t>
      </w:r>
      <w:proofErr w:type="spellEnd"/>
      <w:r w:rsidRPr="00D40129">
        <w:rPr>
          <w:i/>
          <w:sz w:val="22"/>
          <w:szCs w:val="22"/>
        </w:rPr>
        <w:t xml:space="preserve"> + β</w:t>
      </w:r>
      <w:r w:rsidRPr="00D40129">
        <w:rPr>
          <w:i/>
          <w:sz w:val="22"/>
          <w:szCs w:val="22"/>
          <w:vertAlign w:val="subscript"/>
        </w:rPr>
        <w:t>7</w:t>
      </w:r>
      <w:r w:rsidRPr="00D40129">
        <w:rPr>
          <w:i/>
          <w:sz w:val="22"/>
          <w:szCs w:val="22"/>
        </w:rPr>
        <w:t>*</w:t>
      </w:r>
      <w:proofErr w:type="spellStart"/>
      <w:r w:rsidRPr="00D40129">
        <w:rPr>
          <w:i/>
          <w:sz w:val="22"/>
          <w:szCs w:val="22"/>
        </w:rPr>
        <w:t>C</w:t>
      </w:r>
      <w:r w:rsidRPr="00D40129">
        <w:rPr>
          <w:i/>
          <w:sz w:val="22"/>
          <w:szCs w:val="22"/>
          <w:vertAlign w:val="subscript"/>
        </w:rPr>
        <w:t>it</w:t>
      </w:r>
      <w:proofErr w:type="spellEnd"/>
      <w:r w:rsidRPr="00D40129">
        <w:rPr>
          <w:i/>
          <w:sz w:val="22"/>
          <w:szCs w:val="22"/>
        </w:rPr>
        <w:t xml:space="preserve"> + β</w:t>
      </w:r>
      <w:r w:rsidRPr="00D40129">
        <w:rPr>
          <w:i/>
          <w:sz w:val="22"/>
          <w:szCs w:val="22"/>
          <w:vertAlign w:val="subscript"/>
        </w:rPr>
        <w:t>8</w:t>
      </w:r>
      <w:r w:rsidRPr="00D40129">
        <w:rPr>
          <w:i/>
          <w:sz w:val="22"/>
          <w:szCs w:val="22"/>
        </w:rPr>
        <w:t>*</w:t>
      </w:r>
      <w:proofErr w:type="spellStart"/>
      <w:r w:rsidRPr="00D40129">
        <w:rPr>
          <w:i/>
          <w:sz w:val="22"/>
          <w:szCs w:val="22"/>
        </w:rPr>
        <w:t>Loss</w:t>
      </w:r>
      <w:r w:rsidRPr="00D40129">
        <w:rPr>
          <w:i/>
          <w:sz w:val="22"/>
          <w:szCs w:val="22"/>
          <w:vertAlign w:val="subscript"/>
        </w:rPr>
        <w:t>it</w:t>
      </w:r>
      <w:proofErr w:type="spellEnd"/>
      <w:r w:rsidRPr="00D40129">
        <w:rPr>
          <w:i/>
          <w:sz w:val="22"/>
          <w:szCs w:val="22"/>
        </w:rPr>
        <w:t xml:space="preserve"> + β</w:t>
      </w:r>
      <w:r w:rsidRPr="00D40129">
        <w:rPr>
          <w:i/>
          <w:sz w:val="22"/>
          <w:szCs w:val="22"/>
          <w:vertAlign w:val="subscript"/>
        </w:rPr>
        <w:t>9</w:t>
      </w:r>
      <w:r w:rsidRPr="00D40129">
        <w:rPr>
          <w:i/>
          <w:sz w:val="22"/>
          <w:szCs w:val="22"/>
        </w:rPr>
        <w:t>*</w:t>
      </w:r>
      <w:proofErr w:type="spellStart"/>
      <w:r w:rsidRPr="00D40129">
        <w:rPr>
          <w:i/>
          <w:sz w:val="22"/>
          <w:szCs w:val="22"/>
        </w:rPr>
        <w:t>Loss</w:t>
      </w:r>
      <w:r w:rsidRPr="00D40129">
        <w:rPr>
          <w:i/>
          <w:sz w:val="22"/>
          <w:szCs w:val="22"/>
          <w:vertAlign w:val="subscript"/>
        </w:rPr>
        <w:t>it</w:t>
      </w:r>
      <w:proofErr w:type="spellEnd"/>
      <w:r w:rsidRPr="00D40129">
        <w:rPr>
          <w:i/>
          <w:sz w:val="22"/>
          <w:szCs w:val="22"/>
        </w:rPr>
        <w:t>*</w:t>
      </w:r>
      <w:proofErr w:type="spellStart"/>
      <w:r w:rsidRPr="00D40129">
        <w:rPr>
          <w:i/>
          <w:sz w:val="22"/>
          <w:szCs w:val="22"/>
        </w:rPr>
        <w:t>C</w:t>
      </w:r>
      <w:r w:rsidRPr="00D40129">
        <w:rPr>
          <w:i/>
          <w:sz w:val="22"/>
          <w:szCs w:val="22"/>
          <w:vertAlign w:val="subscript"/>
        </w:rPr>
        <w:t>it</w:t>
      </w:r>
      <w:proofErr w:type="spellEnd"/>
      <w:r w:rsidRPr="00D40129">
        <w:rPr>
          <w:sz w:val="22"/>
          <w:szCs w:val="22"/>
        </w:rPr>
        <w:t xml:space="preserve"> + </w:t>
      </w:r>
      <w:r w:rsidRPr="00D40129">
        <w:rPr>
          <w:i/>
          <w:sz w:val="22"/>
          <w:szCs w:val="22"/>
        </w:rPr>
        <w:t>β</w:t>
      </w:r>
      <w:r w:rsidRPr="00D40129">
        <w:rPr>
          <w:i/>
          <w:sz w:val="22"/>
          <w:szCs w:val="22"/>
          <w:vertAlign w:val="subscript"/>
        </w:rPr>
        <w:t>10</w:t>
      </w:r>
      <w:proofErr w:type="gramStart"/>
      <w:r>
        <w:rPr>
          <w:i/>
          <w:sz w:val="22"/>
          <w:szCs w:val="22"/>
          <w:vertAlign w:val="subscript"/>
        </w:rPr>
        <w:t>,</w:t>
      </w:r>
      <w:r w:rsidRPr="00625372">
        <w:rPr>
          <w:i/>
          <w:sz w:val="22"/>
          <w:szCs w:val="22"/>
          <w:vertAlign w:val="subscript"/>
        </w:rPr>
        <w:t>f</w:t>
      </w:r>
      <w:proofErr w:type="gramEnd"/>
      <w:r w:rsidRPr="00D40129">
        <w:rPr>
          <w:sz w:val="22"/>
          <w:szCs w:val="22"/>
        </w:rPr>
        <w:t>*</w:t>
      </w:r>
      <w:proofErr w:type="spellStart"/>
      <w:r w:rsidRPr="00D40129">
        <w:rPr>
          <w:i/>
          <w:sz w:val="22"/>
          <w:szCs w:val="22"/>
        </w:rPr>
        <w:t>Firm</w:t>
      </w:r>
      <w:r w:rsidRPr="00625372">
        <w:rPr>
          <w:i/>
          <w:sz w:val="22"/>
          <w:szCs w:val="22"/>
          <w:vertAlign w:val="subscript"/>
        </w:rPr>
        <w:t>f</w:t>
      </w:r>
      <w:proofErr w:type="spellEnd"/>
      <w:r w:rsidRPr="00D40129">
        <w:rPr>
          <w:sz w:val="22"/>
          <w:szCs w:val="22"/>
        </w:rPr>
        <w:t xml:space="preserve"> + </w:t>
      </w:r>
      <w:r w:rsidRPr="00D40129">
        <w:rPr>
          <w:i/>
          <w:sz w:val="22"/>
          <w:szCs w:val="22"/>
        </w:rPr>
        <w:t>β</w:t>
      </w:r>
      <w:r w:rsidRPr="00D40129">
        <w:rPr>
          <w:i/>
          <w:sz w:val="22"/>
          <w:szCs w:val="22"/>
          <w:vertAlign w:val="subscript"/>
        </w:rPr>
        <w:t>11</w:t>
      </w:r>
      <w:r>
        <w:rPr>
          <w:i/>
          <w:sz w:val="22"/>
          <w:szCs w:val="22"/>
          <w:vertAlign w:val="subscript"/>
        </w:rPr>
        <w:t>,</w:t>
      </w:r>
      <w:r w:rsidRPr="00625372">
        <w:rPr>
          <w:i/>
          <w:sz w:val="22"/>
          <w:szCs w:val="22"/>
          <w:vertAlign w:val="subscript"/>
        </w:rPr>
        <w:t>f</w:t>
      </w:r>
      <w:r w:rsidRPr="00D40129">
        <w:rPr>
          <w:sz w:val="22"/>
          <w:szCs w:val="22"/>
        </w:rPr>
        <w:t>*</w:t>
      </w:r>
      <w:proofErr w:type="spellStart"/>
      <w:r w:rsidRPr="00D40129">
        <w:rPr>
          <w:i/>
          <w:sz w:val="22"/>
          <w:szCs w:val="22"/>
        </w:rPr>
        <w:t>Firm</w:t>
      </w:r>
      <w:r w:rsidRPr="00625372">
        <w:rPr>
          <w:i/>
          <w:sz w:val="22"/>
          <w:szCs w:val="22"/>
          <w:vertAlign w:val="subscript"/>
        </w:rPr>
        <w:t>f</w:t>
      </w:r>
      <w:proofErr w:type="spellEnd"/>
      <w:r w:rsidRPr="00D40129">
        <w:rPr>
          <w:i/>
          <w:sz w:val="22"/>
          <w:szCs w:val="22"/>
        </w:rPr>
        <w:t>*</w:t>
      </w:r>
      <w:proofErr w:type="spellStart"/>
      <w:r w:rsidRPr="00D40129">
        <w:rPr>
          <w:i/>
          <w:sz w:val="22"/>
          <w:szCs w:val="22"/>
        </w:rPr>
        <w:t>C</w:t>
      </w:r>
      <w:r w:rsidRPr="00D40129">
        <w:rPr>
          <w:i/>
          <w:sz w:val="22"/>
          <w:szCs w:val="22"/>
          <w:vertAlign w:val="subscript"/>
        </w:rPr>
        <w:t>it</w:t>
      </w:r>
      <w:proofErr w:type="spellEnd"/>
      <w:r w:rsidRPr="00D40129">
        <w:rPr>
          <w:sz w:val="22"/>
          <w:szCs w:val="22"/>
        </w:rPr>
        <w:t xml:space="preserve"> + </w:t>
      </w:r>
      <w:r w:rsidRPr="00D40129">
        <w:rPr>
          <w:i/>
          <w:sz w:val="22"/>
          <w:szCs w:val="22"/>
        </w:rPr>
        <w:t>β</w:t>
      </w:r>
      <w:r w:rsidRPr="00D40129">
        <w:rPr>
          <w:i/>
          <w:sz w:val="22"/>
          <w:szCs w:val="22"/>
          <w:vertAlign w:val="subscript"/>
        </w:rPr>
        <w:t>12</w:t>
      </w:r>
      <w:r>
        <w:rPr>
          <w:i/>
          <w:sz w:val="22"/>
          <w:szCs w:val="22"/>
          <w:vertAlign w:val="subscript"/>
        </w:rPr>
        <w:t>,</w:t>
      </w:r>
      <w:r w:rsidRPr="00625372">
        <w:rPr>
          <w:i/>
          <w:sz w:val="22"/>
          <w:szCs w:val="22"/>
          <w:vertAlign w:val="subscript"/>
        </w:rPr>
        <w:t>f</w:t>
      </w:r>
      <w:r w:rsidRPr="00D40129">
        <w:rPr>
          <w:i/>
          <w:sz w:val="22"/>
          <w:szCs w:val="22"/>
        </w:rPr>
        <w:t>*</w:t>
      </w:r>
      <w:proofErr w:type="spellStart"/>
      <w:r w:rsidRPr="00D40129">
        <w:rPr>
          <w:i/>
          <w:sz w:val="22"/>
          <w:szCs w:val="22"/>
        </w:rPr>
        <w:t>Firm</w:t>
      </w:r>
      <w:r w:rsidRPr="00625372">
        <w:rPr>
          <w:i/>
          <w:sz w:val="22"/>
          <w:szCs w:val="22"/>
          <w:vertAlign w:val="subscript"/>
        </w:rPr>
        <w:t>f</w:t>
      </w:r>
      <w:proofErr w:type="spellEnd"/>
      <w:r w:rsidRPr="00D40129">
        <w:rPr>
          <w:sz w:val="22"/>
          <w:szCs w:val="22"/>
        </w:rPr>
        <w:t>*</w:t>
      </w:r>
      <w:proofErr w:type="spellStart"/>
      <w:r w:rsidRPr="00D40129">
        <w:rPr>
          <w:i/>
          <w:sz w:val="22"/>
          <w:szCs w:val="22"/>
        </w:rPr>
        <w:t>Loss</w:t>
      </w:r>
      <w:r w:rsidRPr="00D40129">
        <w:rPr>
          <w:i/>
          <w:sz w:val="22"/>
          <w:szCs w:val="22"/>
          <w:vertAlign w:val="subscript"/>
        </w:rPr>
        <w:t>it</w:t>
      </w:r>
      <w:proofErr w:type="spellEnd"/>
      <w:r w:rsidRPr="00D40129">
        <w:rPr>
          <w:sz w:val="22"/>
          <w:szCs w:val="22"/>
        </w:rPr>
        <w:t xml:space="preserve"> </w:t>
      </w:r>
    </w:p>
    <w:p w14:paraId="53096934" w14:textId="7DE1F771" w:rsidR="002D3EC7" w:rsidRPr="007512D6" w:rsidRDefault="00632ACC" w:rsidP="002D3EC7">
      <w:pPr>
        <w:jc w:val="both"/>
        <w:rPr>
          <w:sz w:val="22"/>
          <w:szCs w:val="22"/>
        </w:rPr>
      </w:pPr>
      <w:r w:rsidRPr="00D40129">
        <w:rPr>
          <w:sz w:val="22"/>
          <w:szCs w:val="22"/>
        </w:rPr>
        <w:t xml:space="preserve">   + </w:t>
      </w:r>
      <w:r w:rsidRPr="00D40129">
        <w:rPr>
          <w:i/>
          <w:sz w:val="22"/>
          <w:szCs w:val="22"/>
        </w:rPr>
        <w:t>β</w:t>
      </w:r>
      <w:r w:rsidRPr="00D40129">
        <w:rPr>
          <w:i/>
          <w:sz w:val="22"/>
          <w:szCs w:val="22"/>
          <w:vertAlign w:val="subscript"/>
        </w:rPr>
        <w:t>13</w:t>
      </w:r>
      <w:proofErr w:type="gramStart"/>
      <w:r>
        <w:rPr>
          <w:i/>
          <w:sz w:val="22"/>
          <w:szCs w:val="22"/>
          <w:vertAlign w:val="subscript"/>
        </w:rPr>
        <w:t>,</w:t>
      </w:r>
      <w:r w:rsidRPr="00625372">
        <w:rPr>
          <w:i/>
          <w:sz w:val="22"/>
          <w:szCs w:val="22"/>
          <w:vertAlign w:val="subscript"/>
        </w:rPr>
        <w:t>f</w:t>
      </w:r>
      <w:proofErr w:type="gramEnd"/>
      <w:r w:rsidRPr="00D40129">
        <w:rPr>
          <w:i/>
          <w:sz w:val="22"/>
          <w:szCs w:val="22"/>
        </w:rPr>
        <w:t>*</w:t>
      </w:r>
      <w:proofErr w:type="spellStart"/>
      <w:r w:rsidRPr="00D40129">
        <w:rPr>
          <w:i/>
          <w:sz w:val="22"/>
          <w:szCs w:val="22"/>
        </w:rPr>
        <w:t>Firm</w:t>
      </w:r>
      <w:r w:rsidRPr="00625372">
        <w:rPr>
          <w:i/>
          <w:sz w:val="22"/>
          <w:szCs w:val="22"/>
          <w:vertAlign w:val="subscript"/>
        </w:rPr>
        <w:t>f</w:t>
      </w:r>
      <w:proofErr w:type="spellEnd"/>
      <w:r w:rsidRPr="00D40129">
        <w:rPr>
          <w:sz w:val="22"/>
          <w:szCs w:val="22"/>
        </w:rPr>
        <w:t>*</w:t>
      </w:r>
      <w:proofErr w:type="spellStart"/>
      <w:r w:rsidRPr="00D40129">
        <w:rPr>
          <w:i/>
          <w:sz w:val="22"/>
          <w:szCs w:val="22"/>
        </w:rPr>
        <w:t>Loss</w:t>
      </w:r>
      <w:r w:rsidRPr="00D40129">
        <w:rPr>
          <w:i/>
          <w:sz w:val="22"/>
          <w:szCs w:val="22"/>
          <w:vertAlign w:val="subscript"/>
        </w:rPr>
        <w:t>it</w:t>
      </w:r>
      <w:proofErr w:type="spellEnd"/>
      <w:r w:rsidRPr="00D40129">
        <w:rPr>
          <w:i/>
          <w:sz w:val="22"/>
          <w:szCs w:val="22"/>
        </w:rPr>
        <w:t>*</w:t>
      </w:r>
      <w:proofErr w:type="spellStart"/>
      <w:r w:rsidRPr="00D40129">
        <w:rPr>
          <w:i/>
          <w:sz w:val="22"/>
          <w:szCs w:val="22"/>
        </w:rPr>
        <w:t>C</w:t>
      </w:r>
      <w:r w:rsidRPr="00D40129">
        <w:rPr>
          <w:i/>
          <w:sz w:val="22"/>
          <w:szCs w:val="22"/>
          <w:vertAlign w:val="subscript"/>
        </w:rPr>
        <w:t>it</w:t>
      </w:r>
      <w:proofErr w:type="spellEnd"/>
      <w:r w:rsidRPr="00D40129">
        <w:rPr>
          <w:sz w:val="22"/>
          <w:szCs w:val="22"/>
        </w:rPr>
        <w:t xml:space="preserve"> </w:t>
      </w:r>
      <w:r w:rsidRPr="00D40129">
        <w:rPr>
          <w:i/>
          <w:sz w:val="22"/>
          <w:szCs w:val="22"/>
        </w:rPr>
        <w:t xml:space="preserve">+ </w:t>
      </w:r>
      <w:proofErr w:type="spellStart"/>
      <w:r w:rsidRPr="00D40129">
        <w:rPr>
          <w:i/>
          <w:sz w:val="22"/>
          <w:szCs w:val="22"/>
        </w:rPr>
        <w:t>ε</w:t>
      </w:r>
      <w:r w:rsidRPr="00D40129">
        <w:rPr>
          <w:i/>
          <w:sz w:val="22"/>
          <w:szCs w:val="22"/>
          <w:vertAlign w:val="subscript"/>
        </w:rPr>
        <w:t>it</w:t>
      </w:r>
      <w:proofErr w:type="spellEnd"/>
      <w:r w:rsidRPr="00D40129">
        <w:rPr>
          <w:sz w:val="22"/>
          <w:szCs w:val="22"/>
        </w:rPr>
        <w:t>.</w:t>
      </w:r>
      <w:r w:rsidRPr="003C3481">
        <w:rPr>
          <w:sz w:val="22"/>
          <w:szCs w:val="22"/>
        </w:rPr>
        <w:t xml:space="preserve"> </w:t>
      </w:r>
    </w:p>
    <w:p w14:paraId="5FAD9259" w14:textId="31BEC62C" w:rsidR="004179E9" w:rsidRPr="009E1FF6" w:rsidRDefault="00752EE6" w:rsidP="002D3EC7">
      <w:pPr>
        <w:jc w:val="both"/>
        <w:rPr>
          <w:sz w:val="22"/>
          <w:szCs w:val="22"/>
          <w:highlight w:val="yellow"/>
        </w:rPr>
      </w:pPr>
      <w:r w:rsidRPr="00E25A97">
        <w:rPr>
          <w:rFonts w:eastAsia="Times New Roman"/>
          <w:color w:val="000000"/>
          <w:sz w:val="22"/>
          <w:szCs w:val="22"/>
          <w:vertAlign w:val="superscript"/>
        </w:rPr>
        <w:t>***</w:t>
      </w:r>
      <w:r w:rsidRPr="00E25A97">
        <w:rPr>
          <w:rFonts w:eastAsia="Times New Roman"/>
          <w:color w:val="000000"/>
          <w:sz w:val="22"/>
          <w:szCs w:val="22"/>
        </w:rPr>
        <w:t>,</w:t>
      </w:r>
      <w:r w:rsidRPr="00E25A97">
        <w:rPr>
          <w:rFonts w:eastAsia="Times New Roman"/>
          <w:color w:val="000000"/>
          <w:sz w:val="22"/>
          <w:szCs w:val="22"/>
          <w:vertAlign w:val="superscript"/>
        </w:rPr>
        <w:t xml:space="preserve"> **</w:t>
      </w:r>
      <w:r w:rsidRPr="00E25A97">
        <w:rPr>
          <w:rFonts w:eastAsia="Times New Roman"/>
          <w:color w:val="000000"/>
          <w:sz w:val="22"/>
          <w:szCs w:val="22"/>
        </w:rPr>
        <w:t>,</w:t>
      </w:r>
      <w:r w:rsidRPr="00E25A97">
        <w:rPr>
          <w:rFonts w:eastAsia="Times New Roman"/>
          <w:color w:val="000000"/>
          <w:sz w:val="22"/>
          <w:szCs w:val="22"/>
          <w:vertAlign w:val="superscript"/>
        </w:rPr>
        <w:t xml:space="preserve"> </w:t>
      </w:r>
      <w:r w:rsidRPr="00E25A97">
        <w:rPr>
          <w:rFonts w:eastAsia="Times New Roman"/>
          <w:color w:val="000000"/>
          <w:sz w:val="22"/>
          <w:szCs w:val="22"/>
        </w:rPr>
        <w:t xml:space="preserve">and </w:t>
      </w:r>
      <w:r w:rsidRPr="00E25A97">
        <w:rPr>
          <w:rFonts w:eastAsia="Times New Roman"/>
          <w:color w:val="000000"/>
          <w:sz w:val="22"/>
          <w:szCs w:val="22"/>
          <w:vertAlign w:val="superscript"/>
        </w:rPr>
        <w:t xml:space="preserve">* </w:t>
      </w:r>
      <w:r w:rsidRPr="00E25A97">
        <w:rPr>
          <w:rFonts w:eastAsia="Times New Roman"/>
          <w:color w:val="000000"/>
          <w:sz w:val="22"/>
          <w:szCs w:val="22"/>
        </w:rPr>
        <w:t xml:space="preserve">represent </w:t>
      </w:r>
      <w:r>
        <w:rPr>
          <w:rFonts w:eastAsia="Times New Roman"/>
          <w:color w:val="000000"/>
          <w:sz w:val="22"/>
          <w:szCs w:val="22"/>
        </w:rPr>
        <w:t>(</w:t>
      </w:r>
      <w:r w:rsidR="00DB5F1B">
        <w:rPr>
          <w:rFonts w:eastAsia="Times New Roman"/>
          <w:color w:val="000000"/>
          <w:sz w:val="22"/>
          <w:szCs w:val="22"/>
        </w:rPr>
        <w:t>one</w:t>
      </w:r>
      <w:r>
        <w:rPr>
          <w:rFonts w:eastAsia="Times New Roman"/>
          <w:color w:val="000000"/>
          <w:sz w:val="22"/>
          <w:szCs w:val="22"/>
        </w:rPr>
        <w:t xml:space="preserve">-tailed) </w:t>
      </w:r>
      <w:r w:rsidRPr="00E25A97">
        <w:rPr>
          <w:rFonts w:eastAsia="Times New Roman"/>
          <w:color w:val="000000"/>
          <w:sz w:val="22"/>
          <w:szCs w:val="22"/>
        </w:rPr>
        <w:t>statistical significance at the 1, 5</w:t>
      </w:r>
      <w:r>
        <w:rPr>
          <w:rFonts w:eastAsia="Times New Roman"/>
          <w:color w:val="000000"/>
          <w:sz w:val="22"/>
          <w:szCs w:val="22"/>
        </w:rPr>
        <w:t>,</w:t>
      </w:r>
      <w:r w:rsidRPr="00E25A97">
        <w:rPr>
          <w:rFonts w:eastAsia="Times New Roman"/>
          <w:color w:val="000000"/>
          <w:sz w:val="22"/>
          <w:szCs w:val="22"/>
        </w:rPr>
        <w:t xml:space="preserve"> and 10 percent levels, respectively.</w:t>
      </w:r>
      <w:r>
        <w:rPr>
          <w:rFonts w:eastAsia="Times New Roman"/>
          <w:color w:val="000000"/>
          <w:sz w:val="22"/>
          <w:szCs w:val="22"/>
        </w:rPr>
        <w:t xml:space="preserve"> </w:t>
      </w:r>
      <w:r w:rsidR="002D3EC7" w:rsidRPr="007512D6">
        <w:rPr>
          <w:sz w:val="22"/>
          <w:szCs w:val="22"/>
        </w:rPr>
        <w:t xml:space="preserve">All variables are </w:t>
      </w:r>
      <w:proofErr w:type="spellStart"/>
      <w:r w:rsidR="002D3EC7" w:rsidRPr="007512D6">
        <w:rPr>
          <w:sz w:val="22"/>
          <w:szCs w:val="22"/>
        </w:rPr>
        <w:t>winsorized</w:t>
      </w:r>
      <w:proofErr w:type="spellEnd"/>
      <w:r w:rsidR="002D3EC7" w:rsidRPr="007512D6">
        <w:rPr>
          <w:sz w:val="22"/>
          <w:szCs w:val="22"/>
        </w:rPr>
        <w:t xml:space="preserve"> at 1 and 99 percent.</w:t>
      </w:r>
    </w:p>
    <w:p w14:paraId="32B0B68E" w14:textId="66805412" w:rsidR="00E15765" w:rsidRDefault="00E15765" w:rsidP="004179E9">
      <w:pPr>
        <w:jc w:val="both"/>
        <w:rPr>
          <w:sz w:val="20"/>
          <w:szCs w:val="20"/>
        </w:rPr>
      </w:pPr>
    </w:p>
    <w:p w14:paraId="40582FF4" w14:textId="77777777" w:rsidR="00E15765" w:rsidRDefault="00E15765" w:rsidP="00E15765">
      <w:pPr>
        <w:widowControl w:val="0"/>
        <w:autoSpaceDE w:val="0"/>
        <w:autoSpaceDN w:val="0"/>
        <w:adjustRightInd w:val="0"/>
      </w:pPr>
    </w:p>
    <w:p w14:paraId="7F9E6022" w14:textId="77777777" w:rsidR="00362F10" w:rsidRDefault="00362F10">
      <w:pPr>
        <w:rPr>
          <w:highlight w:val="yellow"/>
        </w:rPr>
      </w:pPr>
      <w:r>
        <w:rPr>
          <w:highlight w:val="yellow"/>
        </w:rPr>
        <w:br w:type="page"/>
      </w:r>
    </w:p>
    <w:p w14:paraId="69D7CD62" w14:textId="31861347" w:rsidR="005B7D3E" w:rsidRPr="00120686" w:rsidRDefault="005B7D3E" w:rsidP="005B7D3E">
      <w:pPr>
        <w:jc w:val="both"/>
      </w:pPr>
      <w:r w:rsidRPr="00120686">
        <w:lastRenderedPageBreak/>
        <w:t>Table 7: Determinants of Investment (continued)</w:t>
      </w:r>
    </w:p>
    <w:p w14:paraId="48E931B1" w14:textId="48F17A63" w:rsidR="000B49F3" w:rsidRDefault="000B49F3" w:rsidP="000B49F3">
      <w:pPr>
        <w:jc w:val="both"/>
      </w:pPr>
      <w:r>
        <w:t xml:space="preserve">Panel B: </w:t>
      </w:r>
      <w:r w:rsidRPr="00FF5565">
        <w:rPr>
          <w:i/>
          <w:iCs/>
        </w:rPr>
        <w:t>Inv</w:t>
      </w:r>
      <w:r>
        <w:rPr>
          <w:i/>
          <w:iCs/>
        </w:rPr>
        <w:t>2</w:t>
      </w:r>
      <w:r>
        <w:t xml:space="preserve"> Regressions</w:t>
      </w:r>
    </w:p>
    <w:p w14:paraId="35241F5B" w14:textId="77777777" w:rsidR="000B49F3" w:rsidRPr="0042218F" w:rsidRDefault="000B49F3" w:rsidP="000B49F3">
      <w:pPr>
        <w:tabs>
          <w:tab w:val="left" w:pos="3827"/>
        </w:tabs>
        <w:jc w:val="both"/>
      </w:pPr>
      <w:r>
        <w:tab/>
      </w:r>
    </w:p>
    <w:tbl>
      <w:tblPr>
        <w:tblW w:w="9464" w:type="dxa"/>
        <w:jc w:val="center"/>
        <w:tblLayout w:type="fixed"/>
        <w:tblLook w:val="0000" w:firstRow="0" w:lastRow="0" w:firstColumn="0" w:lastColumn="0" w:noHBand="0" w:noVBand="0"/>
      </w:tblPr>
      <w:tblGrid>
        <w:gridCol w:w="903"/>
        <w:gridCol w:w="725"/>
        <w:gridCol w:w="991"/>
        <w:gridCol w:w="977"/>
        <w:gridCol w:w="14"/>
        <w:gridCol w:w="963"/>
        <w:gridCol w:w="28"/>
        <w:gridCol w:w="949"/>
        <w:gridCol w:w="28"/>
        <w:gridCol w:w="943"/>
        <w:gridCol w:w="28"/>
        <w:gridCol w:w="901"/>
        <w:gridCol w:w="28"/>
        <w:gridCol w:w="966"/>
        <w:gridCol w:w="28"/>
        <w:gridCol w:w="964"/>
        <w:gridCol w:w="28"/>
      </w:tblGrid>
      <w:tr w:rsidR="00890BAC" w:rsidRPr="00C8257C" w14:paraId="1604532E" w14:textId="77777777" w:rsidTr="00890BAC">
        <w:trPr>
          <w:jc w:val="center"/>
        </w:trPr>
        <w:tc>
          <w:tcPr>
            <w:tcW w:w="903" w:type="dxa"/>
            <w:tcBorders>
              <w:top w:val="single" w:sz="4" w:space="0" w:color="auto"/>
              <w:left w:val="nil"/>
              <w:bottom w:val="nil"/>
              <w:right w:val="nil"/>
            </w:tcBorders>
          </w:tcPr>
          <w:p w14:paraId="45D3A78C" w14:textId="77777777" w:rsidR="00890BAC" w:rsidRPr="00C8257C" w:rsidRDefault="00890BAC" w:rsidP="007B1433">
            <w:pPr>
              <w:widowControl w:val="0"/>
              <w:autoSpaceDE w:val="0"/>
              <w:autoSpaceDN w:val="0"/>
              <w:adjustRightInd w:val="0"/>
              <w:ind w:right="-117"/>
              <w:rPr>
                <w:sz w:val="22"/>
                <w:szCs w:val="22"/>
              </w:rPr>
            </w:pPr>
          </w:p>
        </w:tc>
        <w:tc>
          <w:tcPr>
            <w:tcW w:w="725" w:type="dxa"/>
            <w:tcBorders>
              <w:top w:val="single" w:sz="4" w:space="0" w:color="auto"/>
              <w:left w:val="nil"/>
              <w:bottom w:val="nil"/>
              <w:right w:val="nil"/>
            </w:tcBorders>
          </w:tcPr>
          <w:p w14:paraId="63CF7641" w14:textId="77777777" w:rsidR="00890BAC" w:rsidRPr="00C8257C" w:rsidRDefault="00890BAC" w:rsidP="007B1433">
            <w:pPr>
              <w:widowControl w:val="0"/>
              <w:autoSpaceDE w:val="0"/>
              <w:autoSpaceDN w:val="0"/>
              <w:adjustRightInd w:val="0"/>
              <w:jc w:val="center"/>
              <w:rPr>
                <w:sz w:val="22"/>
                <w:szCs w:val="22"/>
              </w:rPr>
            </w:pPr>
          </w:p>
        </w:tc>
        <w:tc>
          <w:tcPr>
            <w:tcW w:w="991" w:type="dxa"/>
            <w:tcBorders>
              <w:top w:val="single" w:sz="4" w:space="0" w:color="auto"/>
              <w:left w:val="nil"/>
              <w:bottom w:val="nil"/>
              <w:right w:val="nil"/>
            </w:tcBorders>
          </w:tcPr>
          <w:p w14:paraId="1B932974" w14:textId="6C029BCD" w:rsidR="00890BAC" w:rsidRPr="00C8257C" w:rsidRDefault="00890BAC" w:rsidP="007B1433">
            <w:pPr>
              <w:widowControl w:val="0"/>
              <w:autoSpaceDE w:val="0"/>
              <w:autoSpaceDN w:val="0"/>
              <w:adjustRightInd w:val="0"/>
              <w:ind w:right="-97"/>
              <w:jc w:val="center"/>
              <w:rPr>
                <w:sz w:val="22"/>
                <w:szCs w:val="22"/>
              </w:rPr>
            </w:pPr>
            <w:r w:rsidRPr="00C8257C">
              <w:rPr>
                <w:sz w:val="22"/>
                <w:szCs w:val="22"/>
              </w:rPr>
              <w:t>(1)</w:t>
            </w:r>
          </w:p>
        </w:tc>
        <w:tc>
          <w:tcPr>
            <w:tcW w:w="991" w:type="dxa"/>
            <w:gridSpan w:val="2"/>
            <w:tcBorders>
              <w:top w:val="single" w:sz="4" w:space="0" w:color="auto"/>
              <w:left w:val="nil"/>
              <w:bottom w:val="nil"/>
              <w:right w:val="nil"/>
            </w:tcBorders>
          </w:tcPr>
          <w:p w14:paraId="77AA10CB" w14:textId="54A2C2BD" w:rsidR="00890BAC" w:rsidRPr="00C8257C" w:rsidRDefault="00890BAC" w:rsidP="007B1433">
            <w:pPr>
              <w:widowControl w:val="0"/>
              <w:autoSpaceDE w:val="0"/>
              <w:autoSpaceDN w:val="0"/>
              <w:adjustRightInd w:val="0"/>
              <w:ind w:right="-97"/>
              <w:jc w:val="center"/>
              <w:rPr>
                <w:sz w:val="22"/>
                <w:szCs w:val="22"/>
              </w:rPr>
            </w:pPr>
            <w:r w:rsidRPr="00C8257C">
              <w:rPr>
                <w:sz w:val="22"/>
                <w:szCs w:val="22"/>
              </w:rPr>
              <w:t>(2)</w:t>
            </w:r>
          </w:p>
        </w:tc>
        <w:tc>
          <w:tcPr>
            <w:tcW w:w="991" w:type="dxa"/>
            <w:gridSpan w:val="2"/>
            <w:tcBorders>
              <w:top w:val="single" w:sz="4" w:space="0" w:color="auto"/>
              <w:left w:val="nil"/>
              <w:bottom w:val="nil"/>
              <w:right w:val="nil"/>
            </w:tcBorders>
          </w:tcPr>
          <w:p w14:paraId="28F897FF" w14:textId="70427270" w:rsidR="00890BAC" w:rsidRPr="00C8257C" w:rsidRDefault="00890BAC" w:rsidP="007B1433">
            <w:pPr>
              <w:widowControl w:val="0"/>
              <w:autoSpaceDE w:val="0"/>
              <w:autoSpaceDN w:val="0"/>
              <w:adjustRightInd w:val="0"/>
              <w:ind w:right="-97"/>
              <w:jc w:val="center"/>
              <w:rPr>
                <w:sz w:val="22"/>
                <w:szCs w:val="22"/>
              </w:rPr>
            </w:pPr>
            <w:r w:rsidRPr="00C8257C">
              <w:rPr>
                <w:sz w:val="22"/>
                <w:szCs w:val="22"/>
              </w:rPr>
              <w:t>(3)</w:t>
            </w:r>
          </w:p>
        </w:tc>
        <w:tc>
          <w:tcPr>
            <w:tcW w:w="977" w:type="dxa"/>
            <w:gridSpan w:val="2"/>
            <w:tcBorders>
              <w:top w:val="single" w:sz="4" w:space="0" w:color="auto"/>
              <w:left w:val="nil"/>
              <w:bottom w:val="nil"/>
              <w:right w:val="nil"/>
            </w:tcBorders>
          </w:tcPr>
          <w:p w14:paraId="63EBD931" w14:textId="1E573C7D" w:rsidR="00890BAC" w:rsidRPr="00C8257C" w:rsidRDefault="00890BAC" w:rsidP="007B1433">
            <w:pPr>
              <w:widowControl w:val="0"/>
              <w:autoSpaceDE w:val="0"/>
              <w:autoSpaceDN w:val="0"/>
              <w:adjustRightInd w:val="0"/>
              <w:ind w:right="-100"/>
              <w:jc w:val="center"/>
              <w:rPr>
                <w:sz w:val="22"/>
                <w:szCs w:val="22"/>
              </w:rPr>
            </w:pPr>
            <w:r w:rsidRPr="00C8257C">
              <w:rPr>
                <w:sz w:val="22"/>
                <w:szCs w:val="22"/>
              </w:rPr>
              <w:t>(4)</w:t>
            </w:r>
          </w:p>
        </w:tc>
        <w:tc>
          <w:tcPr>
            <w:tcW w:w="971" w:type="dxa"/>
            <w:gridSpan w:val="2"/>
            <w:tcBorders>
              <w:top w:val="single" w:sz="4" w:space="0" w:color="auto"/>
              <w:left w:val="nil"/>
              <w:bottom w:val="nil"/>
              <w:right w:val="nil"/>
            </w:tcBorders>
          </w:tcPr>
          <w:p w14:paraId="69F8188C" w14:textId="2135DFEB" w:rsidR="00890BAC" w:rsidRPr="00C8257C" w:rsidRDefault="00890BAC" w:rsidP="007B1433">
            <w:pPr>
              <w:widowControl w:val="0"/>
              <w:autoSpaceDE w:val="0"/>
              <w:autoSpaceDN w:val="0"/>
              <w:adjustRightInd w:val="0"/>
              <w:ind w:right="-117"/>
              <w:jc w:val="center"/>
              <w:rPr>
                <w:sz w:val="22"/>
                <w:szCs w:val="22"/>
              </w:rPr>
            </w:pPr>
            <w:r w:rsidRPr="00C8257C">
              <w:rPr>
                <w:sz w:val="22"/>
                <w:szCs w:val="22"/>
              </w:rPr>
              <w:t>(5)</w:t>
            </w:r>
          </w:p>
        </w:tc>
        <w:tc>
          <w:tcPr>
            <w:tcW w:w="929" w:type="dxa"/>
            <w:gridSpan w:val="2"/>
            <w:tcBorders>
              <w:top w:val="single" w:sz="4" w:space="0" w:color="auto"/>
              <w:left w:val="nil"/>
              <w:bottom w:val="nil"/>
              <w:right w:val="nil"/>
            </w:tcBorders>
          </w:tcPr>
          <w:p w14:paraId="6DD29457" w14:textId="55962918" w:rsidR="00890BAC" w:rsidRPr="00C8257C" w:rsidRDefault="00890BAC" w:rsidP="007B1433">
            <w:pPr>
              <w:widowControl w:val="0"/>
              <w:autoSpaceDE w:val="0"/>
              <w:autoSpaceDN w:val="0"/>
              <w:adjustRightInd w:val="0"/>
              <w:ind w:right="-117"/>
              <w:jc w:val="center"/>
              <w:rPr>
                <w:sz w:val="22"/>
                <w:szCs w:val="22"/>
              </w:rPr>
            </w:pPr>
            <w:r w:rsidRPr="00C8257C">
              <w:rPr>
                <w:sz w:val="22"/>
                <w:szCs w:val="22"/>
              </w:rPr>
              <w:t>(</w:t>
            </w:r>
            <w:r>
              <w:rPr>
                <w:sz w:val="22"/>
                <w:szCs w:val="22"/>
              </w:rPr>
              <w:t>6</w:t>
            </w:r>
            <w:r w:rsidRPr="00C8257C">
              <w:rPr>
                <w:sz w:val="22"/>
                <w:szCs w:val="22"/>
              </w:rPr>
              <w:t>)</w:t>
            </w:r>
          </w:p>
        </w:tc>
        <w:tc>
          <w:tcPr>
            <w:tcW w:w="994" w:type="dxa"/>
            <w:gridSpan w:val="2"/>
            <w:tcBorders>
              <w:top w:val="single" w:sz="4" w:space="0" w:color="auto"/>
              <w:left w:val="nil"/>
              <w:bottom w:val="nil"/>
              <w:right w:val="nil"/>
            </w:tcBorders>
          </w:tcPr>
          <w:p w14:paraId="4291B382" w14:textId="07AE7510" w:rsidR="00890BAC" w:rsidRPr="00C8257C" w:rsidRDefault="00890BAC" w:rsidP="00890BAC">
            <w:pPr>
              <w:widowControl w:val="0"/>
              <w:autoSpaceDE w:val="0"/>
              <w:autoSpaceDN w:val="0"/>
              <w:adjustRightInd w:val="0"/>
              <w:ind w:right="-117"/>
              <w:jc w:val="center"/>
              <w:rPr>
                <w:sz w:val="22"/>
                <w:szCs w:val="22"/>
              </w:rPr>
            </w:pPr>
            <w:r w:rsidRPr="00C8257C">
              <w:rPr>
                <w:sz w:val="22"/>
                <w:szCs w:val="22"/>
              </w:rPr>
              <w:t>(</w:t>
            </w:r>
            <w:r>
              <w:rPr>
                <w:sz w:val="22"/>
                <w:szCs w:val="22"/>
              </w:rPr>
              <w:t>7</w:t>
            </w:r>
            <w:r w:rsidRPr="00C8257C">
              <w:rPr>
                <w:sz w:val="22"/>
                <w:szCs w:val="22"/>
              </w:rPr>
              <w:t>)</w:t>
            </w:r>
          </w:p>
        </w:tc>
        <w:tc>
          <w:tcPr>
            <w:tcW w:w="992" w:type="dxa"/>
            <w:gridSpan w:val="2"/>
            <w:tcBorders>
              <w:top w:val="single" w:sz="4" w:space="0" w:color="auto"/>
              <w:left w:val="nil"/>
              <w:bottom w:val="nil"/>
              <w:right w:val="nil"/>
            </w:tcBorders>
          </w:tcPr>
          <w:p w14:paraId="6AA05D43" w14:textId="4EC701FB" w:rsidR="00890BAC" w:rsidRPr="00C8257C" w:rsidRDefault="00890BAC" w:rsidP="00890BAC">
            <w:pPr>
              <w:widowControl w:val="0"/>
              <w:autoSpaceDE w:val="0"/>
              <w:autoSpaceDN w:val="0"/>
              <w:adjustRightInd w:val="0"/>
              <w:ind w:right="-117"/>
              <w:jc w:val="center"/>
              <w:rPr>
                <w:sz w:val="22"/>
                <w:szCs w:val="22"/>
              </w:rPr>
            </w:pPr>
            <w:r w:rsidRPr="00C8257C">
              <w:rPr>
                <w:sz w:val="22"/>
                <w:szCs w:val="22"/>
              </w:rPr>
              <w:t>(</w:t>
            </w:r>
            <w:r>
              <w:rPr>
                <w:sz w:val="22"/>
                <w:szCs w:val="22"/>
              </w:rPr>
              <w:t>8</w:t>
            </w:r>
            <w:r w:rsidRPr="00C8257C">
              <w:rPr>
                <w:sz w:val="22"/>
                <w:szCs w:val="22"/>
              </w:rPr>
              <w:t>)</w:t>
            </w:r>
          </w:p>
        </w:tc>
      </w:tr>
      <w:tr w:rsidR="00890BAC" w:rsidRPr="00C8257C" w14:paraId="0F60CA3F" w14:textId="77777777" w:rsidTr="00890BAC">
        <w:trPr>
          <w:trHeight w:val="234"/>
          <w:jc w:val="center"/>
        </w:trPr>
        <w:tc>
          <w:tcPr>
            <w:tcW w:w="903" w:type="dxa"/>
            <w:tcBorders>
              <w:top w:val="nil"/>
              <w:left w:val="nil"/>
              <w:bottom w:val="nil"/>
              <w:right w:val="nil"/>
            </w:tcBorders>
          </w:tcPr>
          <w:p w14:paraId="3EF7C57B" w14:textId="77777777" w:rsidR="00890BAC" w:rsidRPr="00C8257C" w:rsidRDefault="00890BAC" w:rsidP="007B1433">
            <w:pPr>
              <w:widowControl w:val="0"/>
              <w:autoSpaceDE w:val="0"/>
              <w:autoSpaceDN w:val="0"/>
              <w:adjustRightInd w:val="0"/>
              <w:ind w:right="-117"/>
              <w:rPr>
                <w:sz w:val="22"/>
                <w:szCs w:val="22"/>
              </w:rPr>
            </w:pPr>
          </w:p>
        </w:tc>
        <w:tc>
          <w:tcPr>
            <w:tcW w:w="725" w:type="dxa"/>
            <w:tcBorders>
              <w:top w:val="nil"/>
              <w:left w:val="nil"/>
              <w:bottom w:val="nil"/>
              <w:right w:val="nil"/>
            </w:tcBorders>
          </w:tcPr>
          <w:p w14:paraId="425FDB3F" w14:textId="77777777" w:rsidR="00890BAC" w:rsidRPr="00C8257C" w:rsidRDefault="00890BAC" w:rsidP="007B1433">
            <w:pPr>
              <w:widowControl w:val="0"/>
              <w:autoSpaceDE w:val="0"/>
              <w:autoSpaceDN w:val="0"/>
              <w:adjustRightInd w:val="0"/>
              <w:jc w:val="center"/>
              <w:rPr>
                <w:sz w:val="22"/>
                <w:szCs w:val="22"/>
              </w:rPr>
            </w:pPr>
            <w:r w:rsidRPr="00C8257C">
              <w:rPr>
                <w:sz w:val="22"/>
                <w:szCs w:val="22"/>
              </w:rPr>
              <w:t>Pred</w:t>
            </w:r>
            <w:r>
              <w:rPr>
                <w:sz w:val="22"/>
                <w:szCs w:val="22"/>
              </w:rPr>
              <w:t>.</w:t>
            </w:r>
          </w:p>
        </w:tc>
        <w:tc>
          <w:tcPr>
            <w:tcW w:w="991" w:type="dxa"/>
            <w:tcBorders>
              <w:top w:val="nil"/>
              <w:left w:val="nil"/>
              <w:bottom w:val="nil"/>
              <w:right w:val="nil"/>
            </w:tcBorders>
          </w:tcPr>
          <w:p w14:paraId="5B9D68B7" w14:textId="69DAB1CC" w:rsidR="00890BAC" w:rsidRPr="00C8257C" w:rsidRDefault="00890BAC" w:rsidP="007B1433">
            <w:pPr>
              <w:widowControl w:val="0"/>
              <w:autoSpaceDE w:val="0"/>
              <w:autoSpaceDN w:val="0"/>
              <w:adjustRightInd w:val="0"/>
              <w:ind w:right="-97"/>
              <w:jc w:val="center"/>
              <w:rPr>
                <w:i/>
                <w:sz w:val="22"/>
                <w:szCs w:val="22"/>
              </w:rPr>
            </w:pPr>
            <w:r w:rsidRPr="00C8257C">
              <w:rPr>
                <w:i/>
                <w:sz w:val="22"/>
                <w:szCs w:val="22"/>
              </w:rPr>
              <w:t>INV</w:t>
            </w:r>
            <w:r>
              <w:rPr>
                <w:i/>
                <w:sz w:val="22"/>
                <w:szCs w:val="22"/>
              </w:rPr>
              <w:t>2</w:t>
            </w:r>
          </w:p>
        </w:tc>
        <w:tc>
          <w:tcPr>
            <w:tcW w:w="991" w:type="dxa"/>
            <w:gridSpan w:val="2"/>
            <w:tcBorders>
              <w:top w:val="nil"/>
              <w:left w:val="nil"/>
              <w:bottom w:val="nil"/>
              <w:right w:val="nil"/>
            </w:tcBorders>
          </w:tcPr>
          <w:p w14:paraId="40C70C72" w14:textId="05E3D87F" w:rsidR="00890BAC" w:rsidRPr="00C8257C" w:rsidRDefault="00890BAC" w:rsidP="007B1433">
            <w:pPr>
              <w:widowControl w:val="0"/>
              <w:autoSpaceDE w:val="0"/>
              <w:autoSpaceDN w:val="0"/>
              <w:adjustRightInd w:val="0"/>
              <w:ind w:right="-97"/>
              <w:jc w:val="center"/>
              <w:rPr>
                <w:i/>
                <w:sz w:val="22"/>
                <w:szCs w:val="22"/>
              </w:rPr>
            </w:pPr>
            <w:r w:rsidRPr="00C8257C">
              <w:rPr>
                <w:i/>
                <w:sz w:val="22"/>
                <w:szCs w:val="22"/>
              </w:rPr>
              <w:t>INV</w:t>
            </w:r>
            <w:r>
              <w:rPr>
                <w:i/>
                <w:sz w:val="22"/>
                <w:szCs w:val="22"/>
              </w:rPr>
              <w:t>2</w:t>
            </w:r>
          </w:p>
        </w:tc>
        <w:tc>
          <w:tcPr>
            <w:tcW w:w="991" w:type="dxa"/>
            <w:gridSpan w:val="2"/>
            <w:tcBorders>
              <w:top w:val="nil"/>
              <w:left w:val="nil"/>
              <w:bottom w:val="nil"/>
              <w:right w:val="nil"/>
            </w:tcBorders>
          </w:tcPr>
          <w:p w14:paraId="726AD860" w14:textId="52532ACA" w:rsidR="00890BAC" w:rsidRPr="00C8257C" w:rsidRDefault="00890BAC" w:rsidP="007B1433">
            <w:pPr>
              <w:widowControl w:val="0"/>
              <w:autoSpaceDE w:val="0"/>
              <w:autoSpaceDN w:val="0"/>
              <w:adjustRightInd w:val="0"/>
              <w:ind w:right="-97"/>
              <w:jc w:val="center"/>
              <w:rPr>
                <w:i/>
                <w:sz w:val="22"/>
                <w:szCs w:val="22"/>
              </w:rPr>
            </w:pPr>
            <w:r w:rsidRPr="00C8257C">
              <w:rPr>
                <w:i/>
                <w:sz w:val="22"/>
                <w:szCs w:val="22"/>
              </w:rPr>
              <w:t>INV</w:t>
            </w:r>
            <w:r>
              <w:rPr>
                <w:i/>
                <w:sz w:val="22"/>
                <w:szCs w:val="22"/>
              </w:rPr>
              <w:t>2</w:t>
            </w:r>
          </w:p>
        </w:tc>
        <w:tc>
          <w:tcPr>
            <w:tcW w:w="977" w:type="dxa"/>
            <w:gridSpan w:val="2"/>
            <w:tcBorders>
              <w:top w:val="nil"/>
              <w:left w:val="nil"/>
              <w:bottom w:val="nil"/>
              <w:right w:val="nil"/>
            </w:tcBorders>
          </w:tcPr>
          <w:p w14:paraId="07FBC893" w14:textId="014AEBD7" w:rsidR="00890BAC" w:rsidRPr="00C8257C" w:rsidRDefault="00890BAC" w:rsidP="007B1433">
            <w:pPr>
              <w:widowControl w:val="0"/>
              <w:autoSpaceDE w:val="0"/>
              <w:autoSpaceDN w:val="0"/>
              <w:adjustRightInd w:val="0"/>
              <w:ind w:right="-100"/>
              <w:jc w:val="center"/>
              <w:rPr>
                <w:i/>
                <w:sz w:val="22"/>
                <w:szCs w:val="22"/>
              </w:rPr>
            </w:pPr>
            <w:r w:rsidRPr="00C8257C">
              <w:rPr>
                <w:i/>
                <w:sz w:val="22"/>
                <w:szCs w:val="22"/>
              </w:rPr>
              <w:t>INV</w:t>
            </w:r>
            <w:r>
              <w:rPr>
                <w:i/>
                <w:sz w:val="22"/>
                <w:szCs w:val="22"/>
              </w:rPr>
              <w:t>2</w:t>
            </w:r>
          </w:p>
        </w:tc>
        <w:tc>
          <w:tcPr>
            <w:tcW w:w="971" w:type="dxa"/>
            <w:gridSpan w:val="2"/>
            <w:tcBorders>
              <w:top w:val="nil"/>
              <w:left w:val="nil"/>
              <w:bottom w:val="nil"/>
              <w:right w:val="nil"/>
            </w:tcBorders>
          </w:tcPr>
          <w:p w14:paraId="614A5FE1" w14:textId="4E20C25F" w:rsidR="00890BAC" w:rsidRPr="00C8257C" w:rsidRDefault="00890BAC" w:rsidP="007B1433">
            <w:pPr>
              <w:widowControl w:val="0"/>
              <w:autoSpaceDE w:val="0"/>
              <w:autoSpaceDN w:val="0"/>
              <w:adjustRightInd w:val="0"/>
              <w:ind w:right="-117"/>
              <w:jc w:val="center"/>
              <w:rPr>
                <w:i/>
                <w:sz w:val="22"/>
                <w:szCs w:val="22"/>
              </w:rPr>
            </w:pPr>
            <w:r w:rsidRPr="00C8257C">
              <w:rPr>
                <w:i/>
                <w:sz w:val="22"/>
                <w:szCs w:val="22"/>
              </w:rPr>
              <w:t>INV</w:t>
            </w:r>
            <w:r>
              <w:rPr>
                <w:i/>
                <w:sz w:val="22"/>
                <w:szCs w:val="22"/>
              </w:rPr>
              <w:t>2</w:t>
            </w:r>
          </w:p>
        </w:tc>
        <w:tc>
          <w:tcPr>
            <w:tcW w:w="929" w:type="dxa"/>
            <w:gridSpan w:val="2"/>
            <w:tcBorders>
              <w:top w:val="nil"/>
              <w:left w:val="nil"/>
              <w:bottom w:val="nil"/>
              <w:right w:val="nil"/>
            </w:tcBorders>
          </w:tcPr>
          <w:p w14:paraId="7D4D2894" w14:textId="3CDE7D37" w:rsidR="00890BAC" w:rsidRPr="00C8257C" w:rsidRDefault="00890BAC" w:rsidP="007B1433">
            <w:pPr>
              <w:widowControl w:val="0"/>
              <w:autoSpaceDE w:val="0"/>
              <w:autoSpaceDN w:val="0"/>
              <w:adjustRightInd w:val="0"/>
              <w:ind w:right="-117"/>
              <w:jc w:val="center"/>
              <w:rPr>
                <w:i/>
                <w:sz w:val="22"/>
                <w:szCs w:val="22"/>
              </w:rPr>
            </w:pPr>
            <w:r w:rsidRPr="00C8257C">
              <w:rPr>
                <w:i/>
                <w:sz w:val="22"/>
                <w:szCs w:val="22"/>
              </w:rPr>
              <w:t>INV</w:t>
            </w:r>
            <w:r>
              <w:rPr>
                <w:i/>
                <w:sz w:val="22"/>
                <w:szCs w:val="22"/>
              </w:rPr>
              <w:t>2</w:t>
            </w:r>
          </w:p>
        </w:tc>
        <w:tc>
          <w:tcPr>
            <w:tcW w:w="994" w:type="dxa"/>
            <w:gridSpan w:val="2"/>
            <w:tcBorders>
              <w:top w:val="nil"/>
              <w:left w:val="nil"/>
              <w:bottom w:val="nil"/>
              <w:right w:val="nil"/>
            </w:tcBorders>
          </w:tcPr>
          <w:p w14:paraId="141AC0E9" w14:textId="5FA6B316" w:rsidR="00890BAC" w:rsidRPr="00C8257C" w:rsidRDefault="00890BAC" w:rsidP="007B1433">
            <w:pPr>
              <w:widowControl w:val="0"/>
              <w:autoSpaceDE w:val="0"/>
              <w:autoSpaceDN w:val="0"/>
              <w:adjustRightInd w:val="0"/>
              <w:ind w:right="-117"/>
              <w:jc w:val="center"/>
              <w:rPr>
                <w:i/>
                <w:sz w:val="22"/>
                <w:szCs w:val="22"/>
              </w:rPr>
            </w:pPr>
            <w:r w:rsidRPr="00C8257C">
              <w:rPr>
                <w:i/>
                <w:sz w:val="22"/>
                <w:szCs w:val="22"/>
              </w:rPr>
              <w:t>INV</w:t>
            </w:r>
            <w:r>
              <w:rPr>
                <w:i/>
                <w:sz w:val="22"/>
                <w:szCs w:val="22"/>
              </w:rPr>
              <w:t>2</w:t>
            </w:r>
          </w:p>
        </w:tc>
        <w:tc>
          <w:tcPr>
            <w:tcW w:w="992" w:type="dxa"/>
            <w:gridSpan w:val="2"/>
            <w:tcBorders>
              <w:top w:val="nil"/>
              <w:left w:val="nil"/>
              <w:bottom w:val="nil"/>
              <w:right w:val="nil"/>
            </w:tcBorders>
          </w:tcPr>
          <w:p w14:paraId="616769F5" w14:textId="0F6C2F3A" w:rsidR="00890BAC" w:rsidRPr="00C8257C" w:rsidRDefault="00890BAC" w:rsidP="007B1433">
            <w:pPr>
              <w:widowControl w:val="0"/>
              <w:autoSpaceDE w:val="0"/>
              <w:autoSpaceDN w:val="0"/>
              <w:adjustRightInd w:val="0"/>
              <w:ind w:right="-117"/>
              <w:jc w:val="center"/>
              <w:rPr>
                <w:i/>
                <w:sz w:val="22"/>
                <w:szCs w:val="22"/>
              </w:rPr>
            </w:pPr>
            <w:r w:rsidRPr="00C8257C">
              <w:rPr>
                <w:i/>
                <w:sz w:val="22"/>
                <w:szCs w:val="22"/>
              </w:rPr>
              <w:t>INV</w:t>
            </w:r>
            <w:r>
              <w:rPr>
                <w:i/>
                <w:sz w:val="22"/>
                <w:szCs w:val="22"/>
              </w:rPr>
              <w:t>2</w:t>
            </w:r>
          </w:p>
        </w:tc>
      </w:tr>
      <w:tr w:rsidR="00F6411F" w:rsidRPr="00C8257C" w14:paraId="45220D0D" w14:textId="77777777" w:rsidTr="008F1EE3">
        <w:trPr>
          <w:jc w:val="center"/>
        </w:trPr>
        <w:tc>
          <w:tcPr>
            <w:tcW w:w="903" w:type="dxa"/>
            <w:tcBorders>
              <w:top w:val="single" w:sz="4" w:space="0" w:color="auto"/>
              <w:left w:val="nil"/>
              <w:bottom w:val="nil"/>
              <w:right w:val="nil"/>
            </w:tcBorders>
          </w:tcPr>
          <w:p w14:paraId="0F3B8B50" w14:textId="77777777" w:rsidR="00F6411F" w:rsidRPr="00C8257C" w:rsidRDefault="00F6411F" w:rsidP="00F6411F">
            <w:pPr>
              <w:widowControl w:val="0"/>
              <w:autoSpaceDE w:val="0"/>
              <w:autoSpaceDN w:val="0"/>
              <w:adjustRightInd w:val="0"/>
              <w:ind w:right="-117"/>
              <w:rPr>
                <w:i/>
                <w:sz w:val="22"/>
                <w:szCs w:val="22"/>
              </w:rPr>
            </w:pPr>
            <w:r w:rsidRPr="00C8257C">
              <w:rPr>
                <w:i/>
                <w:sz w:val="22"/>
                <w:szCs w:val="22"/>
              </w:rPr>
              <w:t>Q</w:t>
            </w:r>
          </w:p>
        </w:tc>
        <w:tc>
          <w:tcPr>
            <w:tcW w:w="725" w:type="dxa"/>
            <w:tcBorders>
              <w:top w:val="single" w:sz="4" w:space="0" w:color="auto"/>
              <w:left w:val="nil"/>
              <w:bottom w:val="nil"/>
              <w:right w:val="nil"/>
            </w:tcBorders>
          </w:tcPr>
          <w:p w14:paraId="7A5C26EB" w14:textId="77777777" w:rsidR="00F6411F" w:rsidRPr="00C8257C" w:rsidRDefault="00F6411F" w:rsidP="00F6411F">
            <w:pPr>
              <w:widowControl w:val="0"/>
              <w:autoSpaceDE w:val="0"/>
              <w:autoSpaceDN w:val="0"/>
              <w:adjustRightInd w:val="0"/>
              <w:jc w:val="center"/>
              <w:rPr>
                <w:sz w:val="22"/>
                <w:szCs w:val="22"/>
              </w:rPr>
            </w:pPr>
            <w:r>
              <w:rPr>
                <w:sz w:val="22"/>
                <w:szCs w:val="22"/>
              </w:rPr>
              <w:t>+</w:t>
            </w:r>
          </w:p>
        </w:tc>
        <w:tc>
          <w:tcPr>
            <w:tcW w:w="991" w:type="dxa"/>
            <w:tcBorders>
              <w:top w:val="single" w:sz="4" w:space="0" w:color="auto"/>
              <w:left w:val="nil"/>
              <w:bottom w:val="nil"/>
              <w:right w:val="nil"/>
            </w:tcBorders>
            <w:vAlign w:val="bottom"/>
          </w:tcPr>
          <w:p w14:paraId="2BFEFDFE" w14:textId="184102D5" w:rsidR="00F6411F" w:rsidRPr="00890BAC" w:rsidRDefault="00F6411F" w:rsidP="00F6411F">
            <w:pPr>
              <w:widowControl w:val="0"/>
              <w:autoSpaceDE w:val="0"/>
              <w:autoSpaceDN w:val="0"/>
              <w:adjustRightInd w:val="0"/>
              <w:ind w:right="-97"/>
              <w:jc w:val="center"/>
              <w:rPr>
                <w:rFonts w:eastAsia="Times New Roman"/>
                <w:color w:val="000000"/>
                <w:sz w:val="18"/>
                <w:szCs w:val="18"/>
              </w:rPr>
            </w:pPr>
            <w:r>
              <w:rPr>
                <w:rFonts w:eastAsia="Times New Roman"/>
                <w:color w:val="000000"/>
                <w:sz w:val="18"/>
                <w:szCs w:val="18"/>
              </w:rPr>
              <w:t>-</w:t>
            </w:r>
            <w:r w:rsidRPr="00890BAC">
              <w:rPr>
                <w:rFonts w:eastAsia="Times New Roman"/>
                <w:color w:val="000000"/>
                <w:sz w:val="18"/>
                <w:szCs w:val="18"/>
              </w:rPr>
              <w:t>0.0</w:t>
            </w:r>
            <w:r>
              <w:rPr>
                <w:rFonts w:eastAsia="Times New Roman"/>
                <w:color w:val="000000"/>
                <w:sz w:val="18"/>
                <w:szCs w:val="18"/>
              </w:rPr>
              <w:t>040</w:t>
            </w:r>
            <w:r w:rsidRPr="00890BAC">
              <w:rPr>
                <w:rFonts w:eastAsia="Times New Roman"/>
                <w:color w:val="000000"/>
                <w:sz w:val="18"/>
                <w:szCs w:val="18"/>
              </w:rPr>
              <w:t>***</w:t>
            </w:r>
          </w:p>
        </w:tc>
        <w:tc>
          <w:tcPr>
            <w:tcW w:w="991" w:type="dxa"/>
            <w:gridSpan w:val="2"/>
            <w:tcBorders>
              <w:top w:val="single" w:sz="4" w:space="0" w:color="auto"/>
              <w:left w:val="nil"/>
              <w:bottom w:val="nil"/>
              <w:right w:val="nil"/>
            </w:tcBorders>
            <w:vAlign w:val="bottom"/>
          </w:tcPr>
          <w:p w14:paraId="7062BE21" w14:textId="11165C9B" w:rsidR="00F6411F" w:rsidRPr="00890BAC" w:rsidRDefault="00F6411F" w:rsidP="00F6411F">
            <w:pPr>
              <w:widowControl w:val="0"/>
              <w:autoSpaceDE w:val="0"/>
              <w:autoSpaceDN w:val="0"/>
              <w:adjustRightInd w:val="0"/>
              <w:ind w:right="-97"/>
              <w:jc w:val="center"/>
              <w:rPr>
                <w:rFonts w:eastAsia="Times New Roman"/>
                <w:color w:val="000000"/>
                <w:sz w:val="18"/>
                <w:szCs w:val="18"/>
              </w:rPr>
            </w:pPr>
            <w:r>
              <w:rPr>
                <w:rFonts w:eastAsia="Times New Roman"/>
                <w:color w:val="000000"/>
                <w:sz w:val="18"/>
                <w:szCs w:val="18"/>
              </w:rPr>
              <w:t>-0.0040</w:t>
            </w:r>
            <w:r w:rsidRPr="00890BAC">
              <w:rPr>
                <w:rFonts w:eastAsia="Times New Roman"/>
                <w:color w:val="000000"/>
                <w:sz w:val="18"/>
                <w:szCs w:val="18"/>
              </w:rPr>
              <w:t>***</w:t>
            </w:r>
          </w:p>
        </w:tc>
        <w:tc>
          <w:tcPr>
            <w:tcW w:w="991" w:type="dxa"/>
            <w:gridSpan w:val="2"/>
            <w:tcBorders>
              <w:top w:val="single" w:sz="4" w:space="0" w:color="auto"/>
              <w:left w:val="nil"/>
              <w:bottom w:val="nil"/>
              <w:right w:val="nil"/>
            </w:tcBorders>
            <w:vAlign w:val="bottom"/>
          </w:tcPr>
          <w:p w14:paraId="3C4E01AD" w14:textId="21EB54C4" w:rsidR="00F6411F" w:rsidRPr="000B49F3" w:rsidRDefault="00F6411F" w:rsidP="00F6411F">
            <w:pPr>
              <w:widowControl w:val="0"/>
              <w:autoSpaceDE w:val="0"/>
              <w:autoSpaceDN w:val="0"/>
              <w:adjustRightInd w:val="0"/>
              <w:ind w:right="-97"/>
              <w:jc w:val="center"/>
              <w:rPr>
                <w:sz w:val="18"/>
                <w:szCs w:val="18"/>
              </w:rPr>
            </w:pPr>
            <w:r>
              <w:rPr>
                <w:rFonts w:eastAsia="Times New Roman"/>
                <w:color w:val="000000"/>
                <w:sz w:val="18"/>
                <w:szCs w:val="18"/>
              </w:rPr>
              <w:t>-0.0072</w:t>
            </w:r>
            <w:r w:rsidRPr="00890BAC">
              <w:rPr>
                <w:rFonts w:eastAsia="Times New Roman"/>
                <w:color w:val="000000"/>
                <w:sz w:val="18"/>
                <w:szCs w:val="18"/>
              </w:rPr>
              <w:t>***</w:t>
            </w:r>
          </w:p>
        </w:tc>
        <w:tc>
          <w:tcPr>
            <w:tcW w:w="977" w:type="dxa"/>
            <w:gridSpan w:val="2"/>
            <w:tcBorders>
              <w:top w:val="single" w:sz="4" w:space="0" w:color="auto"/>
              <w:left w:val="nil"/>
              <w:bottom w:val="nil"/>
              <w:right w:val="nil"/>
            </w:tcBorders>
            <w:vAlign w:val="bottom"/>
          </w:tcPr>
          <w:p w14:paraId="17A330E0" w14:textId="5C1FAE5B" w:rsidR="00F6411F" w:rsidRPr="000B49F3" w:rsidRDefault="00F6411F" w:rsidP="00F6411F">
            <w:pPr>
              <w:widowControl w:val="0"/>
              <w:autoSpaceDE w:val="0"/>
              <w:autoSpaceDN w:val="0"/>
              <w:adjustRightInd w:val="0"/>
              <w:ind w:right="-100"/>
              <w:jc w:val="center"/>
              <w:rPr>
                <w:sz w:val="18"/>
                <w:szCs w:val="18"/>
              </w:rPr>
            </w:pPr>
            <w:r>
              <w:rPr>
                <w:rFonts w:eastAsia="Times New Roman"/>
                <w:color w:val="000000"/>
                <w:sz w:val="18"/>
                <w:szCs w:val="18"/>
              </w:rPr>
              <w:t>-0.0071</w:t>
            </w:r>
            <w:r w:rsidRPr="00890BAC">
              <w:rPr>
                <w:rFonts w:eastAsia="Times New Roman"/>
                <w:color w:val="000000"/>
                <w:sz w:val="18"/>
                <w:szCs w:val="18"/>
              </w:rPr>
              <w:t>**</w:t>
            </w:r>
          </w:p>
        </w:tc>
        <w:tc>
          <w:tcPr>
            <w:tcW w:w="971" w:type="dxa"/>
            <w:gridSpan w:val="2"/>
            <w:tcBorders>
              <w:top w:val="single" w:sz="4" w:space="0" w:color="auto"/>
              <w:left w:val="nil"/>
              <w:bottom w:val="nil"/>
              <w:right w:val="nil"/>
            </w:tcBorders>
            <w:vAlign w:val="bottom"/>
          </w:tcPr>
          <w:p w14:paraId="6A96D1D9" w14:textId="4670BA04" w:rsidR="00F6411F" w:rsidRPr="000B49F3" w:rsidRDefault="00F6411F" w:rsidP="00F6411F">
            <w:pPr>
              <w:widowControl w:val="0"/>
              <w:autoSpaceDE w:val="0"/>
              <w:autoSpaceDN w:val="0"/>
              <w:adjustRightInd w:val="0"/>
              <w:ind w:right="-117"/>
              <w:jc w:val="center"/>
              <w:rPr>
                <w:sz w:val="18"/>
                <w:szCs w:val="18"/>
              </w:rPr>
            </w:pPr>
            <w:r>
              <w:rPr>
                <w:rFonts w:eastAsia="Times New Roman"/>
                <w:color w:val="000000"/>
                <w:sz w:val="18"/>
                <w:szCs w:val="18"/>
              </w:rPr>
              <w:t>-0.0053</w:t>
            </w:r>
            <w:r w:rsidRPr="00890BAC">
              <w:rPr>
                <w:rFonts w:eastAsia="Times New Roman"/>
                <w:color w:val="000000"/>
                <w:sz w:val="18"/>
                <w:szCs w:val="18"/>
              </w:rPr>
              <w:t>***</w:t>
            </w:r>
          </w:p>
        </w:tc>
        <w:tc>
          <w:tcPr>
            <w:tcW w:w="929" w:type="dxa"/>
            <w:gridSpan w:val="2"/>
            <w:tcBorders>
              <w:top w:val="single" w:sz="4" w:space="0" w:color="auto"/>
              <w:left w:val="nil"/>
              <w:bottom w:val="nil"/>
              <w:right w:val="nil"/>
            </w:tcBorders>
            <w:vAlign w:val="bottom"/>
          </w:tcPr>
          <w:p w14:paraId="36FD4ED2" w14:textId="6D9D06F0" w:rsidR="00F6411F" w:rsidRPr="000B49F3" w:rsidRDefault="00F6411F" w:rsidP="00F6411F">
            <w:pPr>
              <w:widowControl w:val="0"/>
              <w:autoSpaceDE w:val="0"/>
              <w:autoSpaceDN w:val="0"/>
              <w:adjustRightInd w:val="0"/>
              <w:ind w:right="-117"/>
              <w:jc w:val="center"/>
              <w:rPr>
                <w:sz w:val="18"/>
                <w:szCs w:val="18"/>
              </w:rPr>
            </w:pPr>
            <w:r>
              <w:rPr>
                <w:rFonts w:eastAsia="Times New Roman"/>
                <w:color w:val="000000"/>
                <w:sz w:val="18"/>
                <w:szCs w:val="18"/>
              </w:rPr>
              <w:t>-0.0052</w:t>
            </w:r>
            <w:r w:rsidRPr="00890BAC">
              <w:rPr>
                <w:rFonts w:eastAsia="Times New Roman"/>
                <w:color w:val="000000"/>
                <w:sz w:val="18"/>
                <w:szCs w:val="18"/>
              </w:rPr>
              <w:t>***</w:t>
            </w:r>
          </w:p>
        </w:tc>
        <w:tc>
          <w:tcPr>
            <w:tcW w:w="994" w:type="dxa"/>
            <w:gridSpan w:val="2"/>
            <w:tcBorders>
              <w:top w:val="single" w:sz="4" w:space="0" w:color="auto"/>
              <w:left w:val="nil"/>
              <w:bottom w:val="nil"/>
              <w:right w:val="nil"/>
            </w:tcBorders>
            <w:vAlign w:val="bottom"/>
          </w:tcPr>
          <w:p w14:paraId="2EC591BA" w14:textId="3C201D13" w:rsidR="00F6411F" w:rsidRPr="000B49F3" w:rsidRDefault="00F6411F" w:rsidP="00F6411F">
            <w:pPr>
              <w:widowControl w:val="0"/>
              <w:autoSpaceDE w:val="0"/>
              <w:autoSpaceDN w:val="0"/>
              <w:adjustRightInd w:val="0"/>
              <w:ind w:right="-117"/>
              <w:jc w:val="center"/>
              <w:rPr>
                <w:rFonts w:eastAsia="Times New Roman"/>
                <w:color w:val="000000"/>
                <w:sz w:val="18"/>
                <w:szCs w:val="18"/>
              </w:rPr>
            </w:pPr>
            <w:r>
              <w:rPr>
                <w:rFonts w:eastAsia="Times New Roman"/>
                <w:color w:val="000000"/>
                <w:sz w:val="18"/>
                <w:szCs w:val="18"/>
              </w:rPr>
              <w:t>-</w:t>
            </w:r>
            <w:r w:rsidRPr="00890BAC">
              <w:rPr>
                <w:rFonts w:eastAsia="Times New Roman"/>
                <w:color w:val="000000"/>
                <w:sz w:val="18"/>
                <w:szCs w:val="18"/>
              </w:rPr>
              <w:t>0.000</w:t>
            </w:r>
            <w:r>
              <w:rPr>
                <w:rFonts w:eastAsia="Times New Roman"/>
                <w:color w:val="000000"/>
                <w:sz w:val="18"/>
                <w:szCs w:val="18"/>
              </w:rPr>
              <w:t>1</w:t>
            </w:r>
            <w:r w:rsidRPr="00890BAC">
              <w:rPr>
                <w:rFonts w:eastAsia="Times New Roman"/>
                <w:color w:val="000000"/>
                <w:sz w:val="18"/>
                <w:szCs w:val="18"/>
              </w:rPr>
              <w:t>***</w:t>
            </w:r>
          </w:p>
        </w:tc>
        <w:tc>
          <w:tcPr>
            <w:tcW w:w="992" w:type="dxa"/>
            <w:gridSpan w:val="2"/>
            <w:tcBorders>
              <w:top w:val="single" w:sz="4" w:space="0" w:color="auto"/>
              <w:left w:val="nil"/>
              <w:bottom w:val="nil"/>
              <w:right w:val="nil"/>
            </w:tcBorders>
            <w:vAlign w:val="bottom"/>
          </w:tcPr>
          <w:p w14:paraId="6C745253" w14:textId="37082D5B" w:rsidR="00F6411F" w:rsidRPr="000B49F3" w:rsidRDefault="00F6411F" w:rsidP="00F6411F">
            <w:pPr>
              <w:widowControl w:val="0"/>
              <w:autoSpaceDE w:val="0"/>
              <w:autoSpaceDN w:val="0"/>
              <w:adjustRightInd w:val="0"/>
              <w:ind w:right="-117"/>
              <w:jc w:val="center"/>
              <w:rPr>
                <w:rFonts w:eastAsia="Times New Roman"/>
                <w:color w:val="000000"/>
                <w:sz w:val="18"/>
                <w:szCs w:val="18"/>
              </w:rPr>
            </w:pPr>
            <w:r>
              <w:rPr>
                <w:rFonts w:eastAsia="Times New Roman"/>
                <w:color w:val="000000"/>
                <w:sz w:val="18"/>
                <w:szCs w:val="18"/>
              </w:rPr>
              <w:t>-</w:t>
            </w:r>
            <w:r w:rsidRPr="00890BAC">
              <w:rPr>
                <w:rFonts w:eastAsia="Times New Roman"/>
                <w:color w:val="000000"/>
                <w:sz w:val="18"/>
                <w:szCs w:val="18"/>
              </w:rPr>
              <w:t>0.000</w:t>
            </w:r>
            <w:r>
              <w:rPr>
                <w:rFonts w:eastAsia="Times New Roman"/>
                <w:color w:val="000000"/>
                <w:sz w:val="18"/>
                <w:szCs w:val="18"/>
              </w:rPr>
              <w:t>1</w:t>
            </w:r>
            <w:r w:rsidRPr="00890BAC">
              <w:rPr>
                <w:rFonts w:eastAsia="Times New Roman"/>
                <w:color w:val="000000"/>
                <w:sz w:val="18"/>
                <w:szCs w:val="18"/>
              </w:rPr>
              <w:t>***</w:t>
            </w:r>
          </w:p>
        </w:tc>
      </w:tr>
      <w:tr w:rsidR="00F6411F" w:rsidRPr="00C8257C" w14:paraId="2F293F2D" w14:textId="77777777" w:rsidTr="008F1EE3">
        <w:trPr>
          <w:jc w:val="center"/>
        </w:trPr>
        <w:tc>
          <w:tcPr>
            <w:tcW w:w="903" w:type="dxa"/>
            <w:tcBorders>
              <w:top w:val="nil"/>
              <w:left w:val="nil"/>
              <w:bottom w:val="nil"/>
              <w:right w:val="nil"/>
            </w:tcBorders>
          </w:tcPr>
          <w:p w14:paraId="465B8676" w14:textId="77777777" w:rsidR="00F6411F" w:rsidRPr="00C8257C" w:rsidRDefault="00F6411F" w:rsidP="00F6411F">
            <w:pPr>
              <w:widowControl w:val="0"/>
              <w:autoSpaceDE w:val="0"/>
              <w:autoSpaceDN w:val="0"/>
              <w:adjustRightInd w:val="0"/>
              <w:ind w:right="-117"/>
              <w:rPr>
                <w:i/>
                <w:sz w:val="22"/>
                <w:szCs w:val="22"/>
              </w:rPr>
            </w:pPr>
          </w:p>
        </w:tc>
        <w:tc>
          <w:tcPr>
            <w:tcW w:w="725" w:type="dxa"/>
            <w:tcBorders>
              <w:top w:val="nil"/>
              <w:left w:val="nil"/>
              <w:bottom w:val="nil"/>
              <w:right w:val="nil"/>
            </w:tcBorders>
          </w:tcPr>
          <w:p w14:paraId="4042356F" w14:textId="77777777" w:rsidR="00F6411F" w:rsidRPr="00C8257C" w:rsidRDefault="00F6411F" w:rsidP="00F6411F">
            <w:pPr>
              <w:widowControl w:val="0"/>
              <w:autoSpaceDE w:val="0"/>
              <w:autoSpaceDN w:val="0"/>
              <w:adjustRightInd w:val="0"/>
              <w:jc w:val="center"/>
              <w:rPr>
                <w:sz w:val="22"/>
                <w:szCs w:val="22"/>
              </w:rPr>
            </w:pPr>
          </w:p>
        </w:tc>
        <w:tc>
          <w:tcPr>
            <w:tcW w:w="991" w:type="dxa"/>
            <w:tcBorders>
              <w:top w:val="nil"/>
              <w:left w:val="nil"/>
              <w:bottom w:val="nil"/>
              <w:right w:val="nil"/>
            </w:tcBorders>
            <w:vAlign w:val="bottom"/>
          </w:tcPr>
          <w:p w14:paraId="7FE7E667" w14:textId="4FC0D286" w:rsidR="00F6411F" w:rsidRPr="00890BAC" w:rsidRDefault="00F6411F" w:rsidP="00F6411F">
            <w:pPr>
              <w:widowControl w:val="0"/>
              <w:autoSpaceDE w:val="0"/>
              <w:autoSpaceDN w:val="0"/>
              <w:adjustRightInd w:val="0"/>
              <w:ind w:right="-97"/>
              <w:jc w:val="center"/>
              <w:rPr>
                <w:rFonts w:eastAsia="Times New Roman"/>
                <w:color w:val="000000"/>
                <w:sz w:val="18"/>
                <w:szCs w:val="18"/>
              </w:rPr>
            </w:pPr>
            <w:r w:rsidRPr="00890BAC">
              <w:rPr>
                <w:rFonts w:eastAsia="Times New Roman"/>
                <w:color w:val="000000"/>
                <w:sz w:val="18"/>
                <w:szCs w:val="18"/>
              </w:rPr>
              <w:t>(</w:t>
            </w:r>
            <w:r>
              <w:rPr>
                <w:rFonts w:eastAsia="Times New Roman"/>
                <w:color w:val="000000"/>
                <w:sz w:val="18"/>
                <w:szCs w:val="18"/>
              </w:rPr>
              <w:t>-3.8202</w:t>
            </w:r>
            <w:r w:rsidRPr="00890BAC">
              <w:rPr>
                <w:rFonts w:eastAsia="Times New Roman"/>
                <w:color w:val="000000"/>
                <w:sz w:val="18"/>
                <w:szCs w:val="18"/>
              </w:rPr>
              <w:t>)</w:t>
            </w:r>
          </w:p>
        </w:tc>
        <w:tc>
          <w:tcPr>
            <w:tcW w:w="991" w:type="dxa"/>
            <w:gridSpan w:val="2"/>
            <w:tcBorders>
              <w:top w:val="nil"/>
              <w:left w:val="nil"/>
              <w:bottom w:val="nil"/>
              <w:right w:val="nil"/>
            </w:tcBorders>
            <w:vAlign w:val="bottom"/>
          </w:tcPr>
          <w:p w14:paraId="7E7F0A21" w14:textId="3359500C" w:rsidR="00F6411F" w:rsidRPr="00890BAC" w:rsidRDefault="00F6411F" w:rsidP="00F6411F">
            <w:pPr>
              <w:widowControl w:val="0"/>
              <w:autoSpaceDE w:val="0"/>
              <w:autoSpaceDN w:val="0"/>
              <w:adjustRightInd w:val="0"/>
              <w:ind w:right="-97"/>
              <w:jc w:val="center"/>
              <w:rPr>
                <w:rFonts w:eastAsia="Times New Roman"/>
                <w:color w:val="000000"/>
                <w:sz w:val="18"/>
                <w:szCs w:val="18"/>
              </w:rPr>
            </w:pPr>
            <w:r w:rsidRPr="00890BAC">
              <w:rPr>
                <w:rFonts w:eastAsia="Times New Roman"/>
                <w:color w:val="000000"/>
                <w:sz w:val="18"/>
                <w:szCs w:val="18"/>
              </w:rPr>
              <w:t>(</w:t>
            </w:r>
            <w:r>
              <w:rPr>
                <w:rFonts w:eastAsia="Times New Roman"/>
                <w:color w:val="000000"/>
                <w:sz w:val="18"/>
                <w:szCs w:val="18"/>
              </w:rPr>
              <w:t>-3.7627</w:t>
            </w:r>
            <w:r w:rsidRPr="00890BAC">
              <w:rPr>
                <w:rFonts w:eastAsia="Times New Roman"/>
                <w:color w:val="000000"/>
                <w:sz w:val="18"/>
                <w:szCs w:val="18"/>
              </w:rPr>
              <w:t>)</w:t>
            </w:r>
          </w:p>
        </w:tc>
        <w:tc>
          <w:tcPr>
            <w:tcW w:w="991" w:type="dxa"/>
            <w:gridSpan w:val="2"/>
            <w:tcBorders>
              <w:top w:val="nil"/>
              <w:left w:val="nil"/>
              <w:bottom w:val="nil"/>
              <w:right w:val="nil"/>
            </w:tcBorders>
            <w:vAlign w:val="bottom"/>
          </w:tcPr>
          <w:p w14:paraId="4708B1A0" w14:textId="0460AF62" w:rsidR="00F6411F" w:rsidRPr="000B49F3" w:rsidRDefault="00F6411F" w:rsidP="00F6411F">
            <w:pPr>
              <w:widowControl w:val="0"/>
              <w:autoSpaceDE w:val="0"/>
              <w:autoSpaceDN w:val="0"/>
              <w:adjustRightInd w:val="0"/>
              <w:ind w:right="-97"/>
              <w:jc w:val="center"/>
              <w:rPr>
                <w:sz w:val="18"/>
                <w:szCs w:val="18"/>
              </w:rPr>
            </w:pPr>
            <w:r w:rsidRPr="00890BAC">
              <w:rPr>
                <w:rFonts w:eastAsia="Times New Roman"/>
                <w:color w:val="000000"/>
                <w:sz w:val="18"/>
                <w:szCs w:val="18"/>
              </w:rPr>
              <w:t>(</w:t>
            </w:r>
            <w:r>
              <w:rPr>
                <w:rFonts w:eastAsia="Times New Roman"/>
                <w:color w:val="000000"/>
                <w:sz w:val="18"/>
                <w:szCs w:val="18"/>
              </w:rPr>
              <w:t>-4.5457</w:t>
            </w:r>
            <w:r w:rsidRPr="00890BAC">
              <w:rPr>
                <w:rFonts w:eastAsia="Times New Roman"/>
                <w:color w:val="000000"/>
                <w:sz w:val="18"/>
                <w:szCs w:val="18"/>
              </w:rPr>
              <w:t>)</w:t>
            </w:r>
          </w:p>
        </w:tc>
        <w:tc>
          <w:tcPr>
            <w:tcW w:w="977" w:type="dxa"/>
            <w:gridSpan w:val="2"/>
            <w:tcBorders>
              <w:top w:val="nil"/>
              <w:left w:val="nil"/>
              <w:bottom w:val="nil"/>
              <w:right w:val="nil"/>
            </w:tcBorders>
            <w:vAlign w:val="bottom"/>
          </w:tcPr>
          <w:p w14:paraId="339319D9" w14:textId="0C34FFF9" w:rsidR="00F6411F" w:rsidRPr="000B49F3" w:rsidRDefault="00F6411F" w:rsidP="00F6411F">
            <w:pPr>
              <w:widowControl w:val="0"/>
              <w:autoSpaceDE w:val="0"/>
              <w:autoSpaceDN w:val="0"/>
              <w:adjustRightInd w:val="0"/>
              <w:ind w:right="-100"/>
              <w:jc w:val="center"/>
              <w:rPr>
                <w:sz w:val="18"/>
                <w:szCs w:val="18"/>
              </w:rPr>
            </w:pPr>
            <w:r w:rsidRPr="00890BAC">
              <w:rPr>
                <w:rFonts w:eastAsia="Times New Roman"/>
                <w:color w:val="000000"/>
                <w:sz w:val="18"/>
                <w:szCs w:val="18"/>
              </w:rPr>
              <w:t>(</w:t>
            </w:r>
            <w:r>
              <w:rPr>
                <w:rFonts w:eastAsia="Times New Roman"/>
                <w:color w:val="000000"/>
                <w:sz w:val="18"/>
                <w:szCs w:val="18"/>
              </w:rPr>
              <w:t>-4.4717</w:t>
            </w:r>
            <w:r w:rsidRPr="00890BAC">
              <w:rPr>
                <w:rFonts w:eastAsia="Times New Roman"/>
                <w:color w:val="000000"/>
                <w:sz w:val="18"/>
                <w:szCs w:val="18"/>
              </w:rPr>
              <w:t>)</w:t>
            </w:r>
          </w:p>
        </w:tc>
        <w:tc>
          <w:tcPr>
            <w:tcW w:w="971" w:type="dxa"/>
            <w:gridSpan w:val="2"/>
            <w:tcBorders>
              <w:top w:val="nil"/>
              <w:left w:val="nil"/>
              <w:bottom w:val="nil"/>
              <w:right w:val="nil"/>
            </w:tcBorders>
            <w:vAlign w:val="bottom"/>
          </w:tcPr>
          <w:p w14:paraId="2D5361B1" w14:textId="684C9DDD" w:rsidR="00F6411F" w:rsidRPr="000B49F3" w:rsidRDefault="00F6411F" w:rsidP="00F6411F">
            <w:pPr>
              <w:widowControl w:val="0"/>
              <w:autoSpaceDE w:val="0"/>
              <w:autoSpaceDN w:val="0"/>
              <w:adjustRightInd w:val="0"/>
              <w:ind w:right="-117"/>
              <w:jc w:val="center"/>
              <w:rPr>
                <w:sz w:val="18"/>
                <w:szCs w:val="18"/>
              </w:rPr>
            </w:pPr>
            <w:r w:rsidRPr="00890BAC">
              <w:rPr>
                <w:rFonts w:eastAsia="Times New Roman"/>
                <w:color w:val="000000"/>
                <w:sz w:val="18"/>
                <w:szCs w:val="18"/>
              </w:rPr>
              <w:t>(</w:t>
            </w:r>
            <w:r>
              <w:rPr>
                <w:rFonts w:eastAsia="Times New Roman"/>
                <w:color w:val="000000"/>
                <w:sz w:val="18"/>
                <w:szCs w:val="18"/>
              </w:rPr>
              <w:t>-2.7770</w:t>
            </w:r>
            <w:r w:rsidRPr="00890BAC">
              <w:rPr>
                <w:rFonts w:eastAsia="Times New Roman"/>
                <w:color w:val="000000"/>
                <w:sz w:val="18"/>
                <w:szCs w:val="18"/>
              </w:rPr>
              <w:t>)</w:t>
            </w:r>
          </w:p>
        </w:tc>
        <w:tc>
          <w:tcPr>
            <w:tcW w:w="929" w:type="dxa"/>
            <w:gridSpan w:val="2"/>
            <w:tcBorders>
              <w:top w:val="nil"/>
              <w:left w:val="nil"/>
              <w:bottom w:val="nil"/>
              <w:right w:val="nil"/>
            </w:tcBorders>
            <w:vAlign w:val="bottom"/>
          </w:tcPr>
          <w:p w14:paraId="72D77E31" w14:textId="5E512025" w:rsidR="00F6411F" w:rsidRPr="000B49F3" w:rsidRDefault="00F6411F" w:rsidP="00F6411F">
            <w:pPr>
              <w:widowControl w:val="0"/>
              <w:autoSpaceDE w:val="0"/>
              <w:autoSpaceDN w:val="0"/>
              <w:adjustRightInd w:val="0"/>
              <w:ind w:right="-117"/>
              <w:jc w:val="center"/>
              <w:rPr>
                <w:sz w:val="18"/>
                <w:szCs w:val="18"/>
              </w:rPr>
            </w:pPr>
            <w:r w:rsidRPr="00890BAC">
              <w:rPr>
                <w:rFonts w:eastAsia="Times New Roman"/>
                <w:color w:val="000000"/>
                <w:sz w:val="18"/>
                <w:szCs w:val="18"/>
              </w:rPr>
              <w:t>(</w:t>
            </w:r>
            <w:r>
              <w:rPr>
                <w:rFonts w:eastAsia="Times New Roman"/>
                <w:color w:val="000000"/>
                <w:sz w:val="18"/>
                <w:szCs w:val="18"/>
              </w:rPr>
              <w:t>-2.7119</w:t>
            </w:r>
            <w:r w:rsidRPr="00890BAC">
              <w:rPr>
                <w:rFonts w:eastAsia="Times New Roman"/>
                <w:color w:val="000000"/>
                <w:sz w:val="18"/>
                <w:szCs w:val="18"/>
              </w:rPr>
              <w:t>)</w:t>
            </w:r>
          </w:p>
        </w:tc>
        <w:tc>
          <w:tcPr>
            <w:tcW w:w="994" w:type="dxa"/>
            <w:gridSpan w:val="2"/>
            <w:tcBorders>
              <w:top w:val="nil"/>
              <w:left w:val="nil"/>
              <w:bottom w:val="nil"/>
              <w:right w:val="nil"/>
            </w:tcBorders>
            <w:vAlign w:val="bottom"/>
          </w:tcPr>
          <w:p w14:paraId="50111529" w14:textId="694B04C1" w:rsidR="00F6411F" w:rsidRPr="000B49F3" w:rsidRDefault="00F6411F" w:rsidP="00F6411F">
            <w:pPr>
              <w:widowControl w:val="0"/>
              <w:autoSpaceDE w:val="0"/>
              <w:autoSpaceDN w:val="0"/>
              <w:adjustRightInd w:val="0"/>
              <w:ind w:right="-117"/>
              <w:jc w:val="center"/>
              <w:rPr>
                <w:rFonts w:eastAsia="Times New Roman"/>
                <w:color w:val="000000"/>
                <w:sz w:val="18"/>
                <w:szCs w:val="18"/>
              </w:rPr>
            </w:pPr>
            <w:r w:rsidRPr="00890BAC">
              <w:rPr>
                <w:rFonts w:eastAsia="Times New Roman"/>
                <w:color w:val="000000"/>
                <w:sz w:val="18"/>
                <w:szCs w:val="18"/>
              </w:rPr>
              <w:t>(</w:t>
            </w:r>
            <w:r>
              <w:rPr>
                <w:rFonts w:eastAsia="Times New Roman"/>
                <w:color w:val="000000"/>
                <w:sz w:val="18"/>
                <w:szCs w:val="18"/>
              </w:rPr>
              <w:t>-3.0269</w:t>
            </w:r>
            <w:r w:rsidRPr="00890BAC">
              <w:rPr>
                <w:rFonts w:eastAsia="Times New Roman"/>
                <w:color w:val="000000"/>
                <w:sz w:val="18"/>
                <w:szCs w:val="18"/>
              </w:rPr>
              <w:t>)</w:t>
            </w:r>
          </w:p>
        </w:tc>
        <w:tc>
          <w:tcPr>
            <w:tcW w:w="992" w:type="dxa"/>
            <w:gridSpan w:val="2"/>
            <w:tcBorders>
              <w:top w:val="nil"/>
              <w:left w:val="nil"/>
              <w:bottom w:val="nil"/>
              <w:right w:val="nil"/>
            </w:tcBorders>
            <w:vAlign w:val="bottom"/>
          </w:tcPr>
          <w:p w14:paraId="3A65AD5F" w14:textId="7E024DBB" w:rsidR="00F6411F" w:rsidRPr="000B49F3" w:rsidRDefault="00F6411F" w:rsidP="00F6411F">
            <w:pPr>
              <w:widowControl w:val="0"/>
              <w:autoSpaceDE w:val="0"/>
              <w:autoSpaceDN w:val="0"/>
              <w:adjustRightInd w:val="0"/>
              <w:ind w:right="-117"/>
              <w:jc w:val="center"/>
              <w:rPr>
                <w:rFonts w:eastAsia="Times New Roman"/>
                <w:color w:val="000000"/>
                <w:sz w:val="18"/>
                <w:szCs w:val="18"/>
              </w:rPr>
            </w:pPr>
            <w:r w:rsidRPr="00890BAC">
              <w:rPr>
                <w:rFonts w:eastAsia="Times New Roman"/>
                <w:color w:val="000000"/>
                <w:sz w:val="18"/>
                <w:szCs w:val="18"/>
              </w:rPr>
              <w:t>(</w:t>
            </w:r>
            <w:r>
              <w:rPr>
                <w:rFonts w:eastAsia="Times New Roman"/>
                <w:color w:val="000000"/>
                <w:sz w:val="18"/>
                <w:szCs w:val="18"/>
              </w:rPr>
              <w:t>-3.0029</w:t>
            </w:r>
            <w:r w:rsidRPr="00890BAC">
              <w:rPr>
                <w:rFonts w:eastAsia="Times New Roman"/>
                <w:color w:val="000000"/>
                <w:sz w:val="18"/>
                <w:szCs w:val="18"/>
              </w:rPr>
              <w:t>)</w:t>
            </w:r>
          </w:p>
        </w:tc>
      </w:tr>
      <w:tr w:rsidR="00F6411F" w:rsidRPr="00C8257C" w14:paraId="551CDD4D" w14:textId="77777777" w:rsidTr="008F1EE3">
        <w:trPr>
          <w:jc w:val="center"/>
        </w:trPr>
        <w:tc>
          <w:tcPr>
            <w:tcW w:w="903" w:type="dxa"/>
            <w:tcBorders>
              <w:top w:val="nil"/>
              <w:left w:val="nil"/>
              <w:bottom w:val="nil"/>
              <w:right w:val="nil"/>
            </w:tcBorders>
          </w:tcPr>
          <w:p w14:paraId="5C69787D" w14:textId="77777777" w:rsidR="00F6411F" w:rsidRPr="00C8257C" w:rsidRDefault="00F6411F" w:rsidP="00F6411F">
            <w:pPr>
              <w:widowControl w:val="0"/>
              <w:autoSpaceDE w:val="0"/>
              <w:autoSpaceDN w:val="0"/>
              <w:adjustRightInd w:val="0"/>
              <w:ind w:right="-117"/>
              <w:rPr>
                <w:i/>
                <w:sz w:val="22"/>
                <w:szCs w:val="22"/>
              </w:rPr>
            </w:pPr>
            <w:r w:rsidRPr="00C8257C">
              <w:rPr>
                <w:i/>
                <w:sz w:val="22"/>
                <w:szCs w:val="22"/>
              </w:rPr>
              <w:t>CF</w:t>
            </w:r>
            <w:r w:rsidRPr="00FF5565">
              <w:rPr>
                <w:i/>
                <w:sz w:val="22"/>
                <w:szCs w:val="22"/>
                <w:vertAlign w:val="subscript"/>
              </w:rPr>
              <w:t>t-1</w:t>
            </w:r>
          </w:p>
        </w:tc>
        <w:tc>
          <w:tcPr>
            <w:tcW w:w="725" w:type="dxa"/>
            <w:tcBorders>
              <w:top w:val="nil"/>
              <w:left w:val="nil"/>
              <w:bottom w:val="nil"/>
              <w:right w:val="nil"/>
            </w:tcBorders>
          </w:tcPr>
          <w:p w14:paraId="554036C4" w14:textId="77777777" w:rsidR="00F6411F" w:rsidRPr="00C8257C" w:rsidRDefault="00F6411F" w:rsidP="00F6411F">
            <w:pPr>
              <w:widowControl w:val="0"/>
              <w:autoSpaceDE w:val="0"/>
              <w:autoSpaceDN w:val="0"/>
              <w:adjustRightInd w:val="0"/>
              <w:jc w:val="center"/>
              <w:rPr>
                <w:sz w:val="22"/>
                <w:szCs w:val="22"/>
              </w:rPr>
            </w:pPr>
            <w:r>
              <w:rPr>
                <w:sz w:val="22"/>
                <w:szCs w:val="22"/>
              </w:rPr>
              <w:t>+</w:t>
            </w:r>
          </w:p>
        </w:tc>
        <w:tc>
          <w:tcPr>
            <w:tcW w:w="991" w:type="dxa"/>
            <w:tcBorders>
              <w:top w:val="nil"/>
              <w:left w:val="nil"/>
              <w:bottom w:val="nil"/>
              <w:right w:val="nil"/>
            </w:tcBorders>
            <w:vAlign w:val="bottom"/>
          </w:tcPr>
          <w:p w14:paraId="2D5DE546" w14:textId="396CF52C" w:rsidR="00F6411F" w:rsidRPr="00890BAC" w:rsidRDefault="00F6411F" w:rsidP="00F6411F">
            <w:pPr>
              <w:widowControl w:val="0"/>
              <w:autoSpaceDE w:val="0"/>
              <w:autoSpaceDN w:val="0"/>
              <w:adjustRightInd w:val="0"/>
              <w:ind w:right="-97"/>
              <w:jc w:val="center"/>
              <w:rPr>
                <w:rFonts w:eastAsia="Times New Roman"/>
                <w:color w:val="000000"/>
                <w:sz w:val="18"/>
                <w:szCs w:val="18"/>
              </w:rPr>
            </w:pPr>
            <w:r w:rsidRPr="00890BAC">
              <w:rPr>
                <w:rFonts w:eastAsia="Times New Roman"/>
                <w:color w:val="000000"/>
                <w:sz w:val="18"/>
                <w:szCs w:val="18"/>
              </w:rPr>
              <w:t>0.0</w:t>
            </w:r>
            <w:r>
              <w:rPr>
                <w:rFonts w:eastAsia="Times New Roman"/>
                <w:color w:val="000000"/>
                <w:sz w:val="18"/>
                <w:szCs w:val="18"/>
              </w:rPr>
              <w:t>845***</w:t>
            </w:r>
          </w:p>
        </w:tc>
        <w:tc>
          <w:tcPr>
            <w:tcW w:w="991" w:type="dxa"/>
            <w:gridSpan w:val="2"/>
            <w:tcBorders>
              <w:top w:val="nil"/>
              <w:left w:val="nil"/>
              <w:bottom w:val="nil"/>
              <w:right w:val="nil"/>
            </w:tcBorders>
            <w:vAlign w:val="bottom"/>
          </w:tcPr>
          <w:p w14:paraId="06316D39" w14:textId="240664BD" w:rsidR="00F6411F" w:rsidRPr="00890BAC" w:rsidRDefault="00F6411F" w:rsidP="00F6411F">
            <w:pPr>
              <w:widowControl w:val="0"/>
              <w:autoSpaceDE w:val="0"/>
              <w:autoSpaceDN w:val="0"/>
              <w:adjustRightInd w:val="0"/>
              <w:ind w:right="-97"/>
              <w:jc w:val="center"/>
              <w:rPr>
                <w:rFonts w:eastAsia="Times New Roman"/>
                <w:color w:val="000000"/>
                <w:sz w:val="18"/>
                <w:szCs w:val="18"/>
              </w:rPr>
            </w:pPr>
            <w:r w:rsidRPr="00890BAC">
              <w:rPr>
                <w:rFonts w:eastAsia="Times New Roman"/>
                <w:color w:val="000000"/>
                <w:sz w:val="18"/>
                <w:szCs w:val="18"/>
              </w:rPr>
              <w:t>0.0</w:t>
            </w:r>
            <w:r>
              <w:rPr>
                <w:rFonts w:eastAsia="Times New Roman"/>
                <w:color w:val="000000"/>
                <w:sz w:val="18"/>
                <w:szCs w:val="18"/>
              </w:rPr>
              <w:t>842***</w:t>
            </w:r>
          </w:p>
        </w:tc>
        <w:tc>
          <w:tcPr>
            <w:tcW w:w="991" w:type="dxa"/>
            <w:gridSpan w:val="2"/>
            <w:tcBorders>
              <w:top w:val="nil"/>
              <w:left w:val="nil"/>
              <w:bottom w:val="nil"/>
              <w:right w:val="nil"/>
            </w:tcBorders>
            <w:vAlign w:val="bottom"/>
          </w:tcPr>
          <w:p w14:paraId="1B81D180" w14:textId="245372A4" w:rsidR="00F6411F" w:rsidRPr="000B49F3" w:rsidRDefault="00F6411F" w:rsidP="00F6411F">
            <w:pPr>
              <w:widowControl w:val="0"/>
              <w:autoSpaceDE w:val="0"/>
              <w:autoSpaceDN w:val="0"/>
              <w:adjustRightInd w:val="0"/>
              <w:ind w:right="-97"/>
              <w:jc w:val="center"/>
              <w:rPr>
                <w:sz w:val="18"/>
                <w:szCs w:val="18"/>
              </w:rPr>
            </w:pPr>
            <w:r w:rsidRPr="00890BAC">
              <w:rPr>
                <w:rFonts w:eastAsia="Times New Roman"/>
                <w:color w:val="000000"/>
                <w:sz w:val="18"/>
                <w:szCs w:val="18"/>
              </w:rPr>
              <w:t>0.</w:t>
            </w:r>
            <w:r>
              <w:rPr>
                <w:rFonts w:eastAsia="Times New Roman"/>
                <w:color w:val="000000"/>
                <w:sz w:val="18"/>
                <w:szCs w:val="18"/>
              </w:rPr>
              <w:t>0758</w:t>
            </w:r>
            <w:r w:rsidRPr="00890BAC">
              <w:rPr>
                <w:rFonts w:eastAsia="Times New Roman"/>
                <w:color w:val="000000"/>
                <w:sz w:val="18"/>
                <w:szCs w:val="18"/>
              </w:rPr>
              <w:t>***</w:t>
            </w:r>
          </w:p>
        </w:tc>
        <w:tc>
          <w:tcPr>
            <w:tcW w:w="977" w:type="dxa"/>
            <w:gridSpan w:val="2"/>
            <w:tcBorders>
              <w:top w:val="nil"/>
              <w:left w:val="nil"/>
              <w:bottom w:val="nil"/>
              <w:right w:val="nil"/>
            </w:tcBorders>
            <w:vAlign w:val="bottom"/>
          </w:tcPr>
          <w:p w14:paraId="5E4EDC3D" w14:textId="3061B819" w:rsidR="00F6411F" w:rsidRPr="000B49F3" w:rsidRDefault="00F6411F" w:rsidP="00F6411F">
            <w:pPr>
              <w:widowControl w:val="0"/>
              <w:autoSpaceDE w:val="0"/>
              <w:autoSpaceDN w:val="0"/>
              <w:adjustRightInd w:val="0"/>
              <w:ind w:right="-100"/>
              <w:jc w:val="center"/>
              <w:rPr>
                <w:sz w:val="18"/>
                <w:szCs w:val="18"/>
              </w:rPr>
            </w:pPr>
            <w:r w:rsidRPr="00890BAC">
              <w:rPr>
                <w:rFonts w:eastAsia="Times New Roman"/>
                <w:color w:val="000000"/>
                <w:sz w:val="18"/>
                <w:szCs w:val="18"/>
              </w:rPr>
              <w:t>0.</w:t>
            </w:r>
            <w:r>
              <w:rPr>
                <w:rFonts w:eastAsia="Times New Roman"/>
                <w:color w:val="000000"/>
                <w:sz w:val="18"/>
                <w:szCs w:val="18"/>
              </w:rPr>
              <w:t>0756</w:t>
            </w:r>
            <w:r w:rsidRPr="00890BAC">
              <w:rPr>
                <w:rFonts w:eastAsia="Times New Roman"/>
                <w:color w:val="000000"/>
                <w:sz w:val="18"/>
                <w:szCs w:val="18"/>
              </w:rPr>
              <w:t>***</w:t>
            </w:r>
          </w:p>
        </w:tc>
        <w:tc>
          <w:tcPr>
            <w:tcW w:w="971" w:type="dxa"/>
            <w:gridSpan w:val="2"/>
            <w:tcBorders>
              <w:top w:val="nil"/>
              <w:left w:val="nil"/>
              <w:bottom w:val="nil"/>
              <w:right w:val="nil"/>
            </w:tcBorders>
            <w:vAlign w:val="bottom"/>
          </w:tcPr>
          <w:p w14:paraId="1263E79B" w14:textId="2FE06B9A" w:rsidR="00F6411F" w:rsidRPr="000B49F3" w:rsidRDefault="00F6411F" w:rsidP="00F6411F">
            <w:pPr>
              <w:widowControl w:val="0"/>
              <w:autoSpaceDE w:val="0"/>
              <w:autoSpaceDN w:val="0"/>
              <w:adjustRightInd w:val="0"/>
              <w:ind w:right="-117"/>
              <w:jc w:val="center"/>
              <w:rPr>
                <w:sz w:val="18"/>
                <w:szCs w:val="18"/>
              </w:rPr>
            </w:pPr>
            <w:r w:rsidRPr="00890BAC">
              <w:rPr>
                <w:rFonts w:eastAsia="Times New Roman"/>
                <w:color w:val="000000"/>
                <w:sz w:val="18"/>
                <w:szCs w:val="18"/>
              </w:rPr>
              <w:t>0.</w:t>
            </w:r>
            <w:r>
              <w:rPr>
                <w:rFonts w:eastAsia="Times New Roman"/>
                <w:color w:val="000000"/>
                <w:sz w:val="18"/>
                <w:szCs w:val="18"/>
              </w:rPr>
              <w:t>0745</w:t>
            </w:r>
            <w:r w:rsidRPr="00890BAC">
              <w:rPr>
                <w:rFonts w:eastAsia="Times New Roman"/>
                <w:color w:val="000000"/>
                <w:sz w:val="18"/>
                <w:szCs w:val="18"/>
              </w:rPr>
              <w:t>***</w:t>
            </w:r>
          </w:p>
        </w:tc>
        <w:tc>
          <w:tcPr>
            <w:tcW w:w="929" w:type="dxa"/>
            <w:gridSpan w:val="2"/>
            <w:tcBorders>
              <w:top w:val="nil"/>
              <w:left w:val="nil"/>
              <w:bottom w:val="nil"/>
              <w:right w:val="nil"/>
            </w:tcBorders>
            <w:vAlign w:val="bottom"/>
          </w:tcPr>
          <w:p w14:paraId="1DB8D7D0" w14:textId="4F8CC896" w:rsidR="00F6411F" w:rsidRPr="000B49F3" w:rsidRDefault="00F6411F" w:rsidP="00F6411F">
            <w:pPr>
              <w:widowControl w:val="0"/>
              <w:autoSpaceDE w:val="0"/>
              <w:autoSpaceDN w:val="0"/>
              <w:adjustRightInd w:val="0"/>
              <w:ind w:right="-117"/>
              <w:jc w:val="center"/>
              <w:rPr>
                <w:sz w:val="18"/>
                <w:szCs w:val="18"/>
              </w:rPr>
            </w:pPr>
            <w:r w:rsidRPr="00890BAC">
              <w:rPr>
                <w:rFonts w:eastAsia="Times New Roman"/>
                <w:color w:val="000000"/>
                <w:sz w:val="18"/>
                <w:szCs w:val="18"/>
              </w:rPr>
              <w:t>0.</w:t>
            </w:r>
            <w:r>
              <w:rPr>
                <w:rFonts w:eastAsia="Times New Roman"/>
                <w:color w:val="000000"/>
                <w:sz w:val="18"/>
                <w:szCs w:val="18"/>
              </w:rPr>
              <w:t>0743</w:t>
            </w:r>
            <w:r w:rsidRPr="00890BAC">
              <w:rPr>
                <w:rFonts w:eastAsia="Times New Roman"/>
                <w:color w:val="000000"/>
                <w:sz w:val="18"/>
                <w:szCs w:val="18"/>
              </w:rPr>
              <w:t>***</w:t>
            </w:r>
          </w:p>
        </w:tc>
        <w:tc>
          <w:tcPr>
            <w:tcW w:w="994" w:type="dxa"/>
            <w:gridSpan w:val="2"/>
            <w:tcBorders>
              <w:top w:val="nil"/>
              <w:left w:val="nil"/>
              <w:bottom w:val="nil"/>
              <w:right w:val="nil"/>
            </w:tcBorders>
            <w:vAlign w:val="bottom"/>
          </w:tcPr>
          <w:p w14:paraId="573C0A5F" w14:textId="66F813EE" w:rsidR="00F6411F" w:rsidRPr="000B49F3" w:rsidRDefault="00F6411F" w:rsidP="00F6411F">
            <w:pPr>
              <w:widowControl w:val="0"/>
              <w:autoSpaceDE w:val="0"/>
              <w:autoSpaceDN w:val="0"/>
              <w:adjustRightInd w:val="0"/>
              <w:ind w:right="-117"/>
              <w:jc w:val="center"/>
              <w:rPr>
                <w:rFonts w:eastAsia="Times New Roman"/>
                <w:color w:val="000000"/>
                <w:sz w:val="18"/>
                <w:szCs w:val="18"/>
              </w:rPr>
            </w:pPr>
            <w:r w:rsidRPr="00890BAC">
              <w:rPr>
                <w:rFonts w:eastAsia="Times New Roman"/>
                <w:color w:val="000000"/>
                <w:sz w:val="18"/>
                <w:szCs w:val="18"/>
              </w:rPr>
              <w:t>0.</w:t>
            </w:r>
            <w:r>
              <w:rPr>
                <w:rFonts w:eastAsia="Times New Roman"/>
                <w:color w:val="000000"/>
                <w:sz w:val="18"/>
                <w:szCs w:val="18"/>
              </w:rPr>
              <w:t>0726</w:t>
            </w:r>
            <w:r w:rsidRPr="00890BAC">
              <w:rPr>
                <w:rFonts w:eastAsia="Times New Roman"/>
                <w:color w:val="000000"/>
                <w:sz w:val="18"/>
                <w:szCs w:val="18"/>
              </w:rPr>
              <w:t>***</w:t>
            </w:r>
          </w:p>
        </w:tc>
        <w:tc>
          <w:tcPr>
            <w:tcW w:w="992" w:type="dxa"/>
            <w:gridSpan w:val="2"/>
            <w:tcBorders>
              <w:top w:val="nil"/>
              <w:left w:val="nil"/>
              <w:bottom w:val="nil"/>
              <w:right w:val="nil"/>
            </w:tcBorders>
            <w:vAlign w:val="bottom"/>
          </w:tcPr>
          <w:p w14:paraId="3566C71D" w14:textId="562191D0" w:rsidR="00F6411F" w:rsidRPr="000B49F3" w:rsidRDefault="00F6411F" w:rsidP="00F6411F">
            <w:pPr>
              <w:widowControl w:val="0"/>
              <w:autoSpaceDE w:val="0"/>
              <w:autoSpaceDN w:val="0"/>
              <w:adjustRightInd w:val="0"/>
              <w:ind w:right="-117"/>
              <w:jc w:val="center"/>
              <w:rPr>
                <w:rFonts w:eastAsia="Times New Roman"/>
                <w:color w:val="000000"/>
                <w:sz w:val="18"/>
                <w:szCs w:val="18"/>
              </w:rPr>
            </w:pPr>
            <w:r w:rsidRPr="00890BAC">
              <w:rPr>
                <w:rFonts w:eastAsia="Times New Roman"/>
                <w:color w:val="000000"/>
                <w:sz w:val="18"/>
                <w:szCs w:val="18"/>
              </w:rPr>
              <w:t>0.</w:t>
            </w:r>
            <w:r>
              <w:rPr>
                <w:rFonts w:eastAsia="Times New Roman"/>
                <w:color w:val="000000"/>
                <w:sz w:val="18"/>
                <w:szCs w:val="18"/>
              </w:rPr>
              <w:t>0725</w:t>
            </w:r>
            <w:r w:rsidRPr="00890BAC">
              <w:rPr>
                <w:rFonts w:eastAsia="Times New Roman"/>
                <w:color w:val="000000"/>
                <w:sz w:val="18"/>
                <w:szCs w:val="18"/>
              </w:rPr>
              <w:t>***</w:t>
            </w:r>
          </w:p>
        </w:tc>
      </w:tr>
      <w:tr w:rsidR="00F6411F" w:rsidRPr="00C8257C" w14:paraId="6FA6061D" w14:textId="77777777" w:rsidTr="008F1EE3">
        <w:trPr>
          <w:jc w:val="center"/>
        </w:trPr>
        <w:tc>
          <w:tcPr>
            <w:tcW w:w="903" w:type="dxa"/>
            <w:tcBorders>
              <w:top w:val="nil"/>
              <w:left w:val="nil"/>
              <w:right w:val="nil"/>
            </w:tcBorders>
          </w:tcPr>
          <w:p w14:paraId="4F62C1DE" w14:textId="77777777" w:rsidR="00F6411F" w:rsidRPr="00C8257C" w:rsidRDefault="00F6411F" w:rsidP="00F6411F">
            <w:pPr>
              <w:widowControl w:val="0"/>
              <w:autoSpaceDE w:val="0"/>
              <w:autoSpaceDN w:val="0"/>
              <w:adjustRightInd w:val="0"/>
              <w:ind w:right="-117"/>
              <w:rPr>
                <w:i/>
                <w:sz w:val="22"/>
                <w:szCs w:val="22"/>
              </w:rPr>
            </w:pPr>
          </w:p>
        </w:tc>
        <w:tc>
          <w:tcPr>
            <w:tcW w:w="725" w:type="dxa"/>
            <w:tcBorders>
              <w:top w:val="nil"/>
              <w:left w:val="nil"/>
              <w:right w:val="nil"/>
            </w:tcBorders>
          </w:tcPr>
          <w:p w14:paraId="1AB434E5" w14:textId="77777777" w:rsidR="00F6411F" w:rsidRPr="00C8257C" w:rsidRDefault="00F6411F" w:rsidP="00F6411F">
            <w:pPr>
              <w:widowControl w:val="0"/>
              <w:autoSpaceDE w:val="0"/>
              <w:autoSpaceDN w:val="0"/>
              <w:adjustRightInd w:val="0"/>
              <w:jc w:val="center"/>
              <w:rPr>
                <w:sz w:val="22"/>
                <w:szCs w:val="22"/>
              </w:rPr>
            </w:pPr>
          </w:p>
        </w:tc>
        <w:tc>
          <w:tcPr>
            <w:tcW w:w="991" w:type="dxa"/>
            <w:tcBorders>
              <w:top w:val="nil"/>
              <w:left w:val="nil"/>
              <w:right w:val="nil"/>
            </w:tcBorders>
            <w:vAlign w:val="bottom"/>
          </w:tcPr>
          <w:p w14:paraId="47832985" w14:textId="60E3B82B" w:rsidR="00F6411F" w:rsidRPr="00890BAC" w:rsidRDefault="00F6411F" w:rsidP="00F6411F">
            <w:pPr>
              <w:widowControl w:val="0"/>
              <w:autoSpaceDE w:val="0"/>
              <w:autoSpaceDN w:val="0"/>
              <w:adjustRightInd w:val="0"/>
              <w:ind w:right="-97"/>
              <w:jc w:val="center"/>
              <w:rPr>
                <w:rFonts w:eastAsia="Times New Roman"/>
                <w:color w:val="000000"/>
                <w:sz w:val="18"/>
                <w:szCs w:val="18"/>
              </w:rPr>
            </w:pPr>
            <w:r w:rsidRPr="00890BAC">
              <w:rPr>
                <w:rFonts w:eastAsia="Times New Roman"/>
                <w:color w:val="000000"/>
                <w:sz w:val="18"/>
                <w:szCs w:val="18"/>
              </w:rPr>
              <w:t>(</w:t>
            </w:r>
            <w:r>
              <w:rPr>
                <w:rFonts w:eastAsia="Times New Roman"/>
                <w:color w:val="000000"/>
                <w:sz w:val="18"/>
                <w:szCs w:val="18"/>
              </w:rPr>
              <w:t>7.1298</w:t>
            </w:r>
            <w:r w:rsidRPr="00890BAC">
              <w:rPr>
                <w:rFonts w:eastAsia="Times New Roman"/>
                <w:color w:val="000000"/>
                <w:sz w:val="18"/>
                <w:szCs w:val="18"/>
              </w:rPr>
              <w:t>)</w:t>
            </w:r>
          </w:p>
        </w:tc>
        <w:tc>
          <w:tcPr>
            <w:tcW w:w="991" w:type="dxa"/>
            <w:gridSpan w:val="2"/>
            <w:tcBorders>
              <w:top w:val="nil"/>
              <w:left w:val="nil"/>
              <w:right w:val="nil"/>
            </w:tcBorders>
            <w:vAlign w:val="bottom"/>
          </w:tcPr>
          <w:p w14:paraId="0DDCB3C1" w14:textId="1B1D4122" w:rsidR="00F6411F" w:rsidRPr="00890BAC" w:rsidRDefault="00F6411F" w:rsidP="00F6411F">
            <w:pPr>
              <w:widowControl w:val="0"/>
              <w:autoSpaceDE w:val="0"/>
              <w:autoSpaceDN w:val="0"/>
              <w:adjustRightInd w:val="0"/>
              <w:ind w:right="-97"/>
              <w:jc w:val="center"/>
              <w:rPr>
                <w:rFonts w:eastAsia="Times New Roman"/>
                <w:color w:val="000000"/>
                <w:sz w:val="18"/>
                <w:szCs w:val="18"/>
              </w:rPr>
            </w:pPr>
            <w:r w:rsidRPr="00890BAC">
              <w:rPr>
                <w:rFonts w:eastAsia="Times New Roman"/>
                <w:color w:val="000000"/>
                <w:sz w:val="18"/>
                <w:szCs w:val="18"/>
              </w:rPr>
              <w:t>(</w:t>
            </w:r>
            <w:r>
              <w:rPr>
                <w:rFonts w:eastAsia="Times New Roman"/>
                <w:color w:val="000000"/>
                <w:sz w:val="18"/>
                <w:szCs w:val="18"/>
              </w:rPr>
              <w:t>7.1023</w:t>
            </w:r>
            <w:r w:rsidRPr="00890BAC">
              <w:rPr>
                <w:rFonts w:eastAsia="Times New Roman"/>
                <w:color w:val="000000"/>
                <w:sz w:val="18"/>
                <w:szCs w:val="18"/>
              </w:rPr>
              <w:t>)</w:t>
            </w:r>
          </w:p>
        </w:tc>
        <w:tc>
          <w:tcPr>
            <w:tcW w:w="991" w:type="dxa"/>
            <w:gridSpan w:val="2"/>
            <w:tcBorders>
              <w:top w:val="nil"/>
              <w:left w:val="nil"/>
              <w:right w:val="nil"/>
            </w:tcBorders>
            <w:vAlign w:val="bottom"/>
          </w:tcPr>
          <w:p w14:paraId="0E5E0777" w14:textId="4C588453" w:rsidR="00F6411F" w:rsidRPr="000B49F3" w:rsidRDefault="00F6411F" w:rsidP="00F6411F">
            <w:pPr>
              <w:widowControl w:val="0"/>
              <w:autoSpaceDE w:val="0"/>
              <w:autoSpaceDN w:val="0"/>
              <w:adjustRightInd w:val="0"/>
              <w:ind w:right="-97"/>
              <w:jc w:val="center"/>
              <w:rPr>
                <w:sz w:val="18"/>
                <w:szCs w:val="18"/>
              </w:rPr>
            </w:pPr>
            <w:r w:rsidRPr="00890BAC">
              <w:rPr>
                <w:rFonts w:eastAsia="Times New Roman"/>
                <w:color w:val="000000"/>
                <w:sz w:val="18"/>
                <w:szCs w:val="18"/>
              </w:rPr>
              <w:t>(</w:t>
            </w:r>
            <w:r>
              <w:rPr>
                <w:rFonts w:eastAsia="Times New Roman"/>
                <w:color w:val="000000"/>
                <w:sz w:val="18"/>
                <w:szCs w:val="18"/>
              </w:rPr>
              <w:t>6.7222</w:t>
            </w:r>
            <w:r w:rsidRPr="00890BAC">
              <w:rPr>
                <w:rFonts w:eastAsia="Times New Roman"/>
                <w:color w:val="000000"/>
                <w:sz w:val="18"/>
                <w:szCs w:val="18"/>
              </w:rPr>
              <w:t>)</w:t>
            </w:r>
          </w:p>
        </w:tc>
        <w:tc>
          <w:tcPr>
            <w:tcW w:w="977" w:type="dxa"/>
            <w:gridSpan w:val="2"/>
            <w:tcBorders>
              <w:top w:val="nil"/>
              <w:left w:val="nil"/>
              <w:right w:val="nil"/>
            </w:tcBorders>
            <w:vAlign w:val="bottom"/>
          </w:tcPr>
          <w:p w14:paraId="485124A4" w14:textId="7AD94F39" w:rsidR="00F6411F" w:rsidRPr="000B49F3" w:rsidRDefault="00F6411F" w:rsidP="00F6411F">
            <w:pPr>
              <w:widowControl w:val="0"/>
              <w:autoSpaceDE w:val="0"/>
              <w:autoSpaceDN w:val="0"/>
              <w:adjustRightInd w:val="0"/>
              <w:ind w:right="-100"/>
              <w:jc w:val="center"/>
              <w:rPr>
                <w:sz w:val="18"/>
                <w:szCs w:val="18"/>
              </w:rPr>
            </w:pPr>
            <w:r w:rsidRPr="00890BAC">
              <w:rPr>
                <w:rFonts w:eastAsia="Times New Roman"/>
                <w:color w:val="000000"/>
                <w:sz w:val="18"/>
                <w:szCs w:val="18"/>
              </w:rPr>
              <w:t>(</w:t>
            </w:r>
            <w:r>
              <w:rPr>
                <w:rFonts w:eastAsia="Times New Roman"/>
                <w:color w:val="000000"/>
                <w:sz w:val="18"/>
                <w:szCs w:val="18"/>
              </w:rPr>
              <w:t>6.7033</w:t>
            </w:r>
            <w:r w:rsidRPr="00890BAC">
              <w:rPr>
                <w:rFonts w:eastAsia="Times New Roman"/>
                <w:color w:val="000000"/>
                <w:sz w:val="18"/>
                <w:szCs w:val="18"/>
              </w:rPr>
              <w:t>)</w:t>
            </w:r>
          </w:p>
        </w:tc>
        <w:tc>
          <w:tcPr>
            <w:tcW w:w="971" w:type="dxa"/>
            <w:gridSpan w:val="2"/>
            <w:tcBorders>
              <w:top w:val="nil"/>
              <w:left w:val="nil"/>
              <w:right w:val="nil"/>
            </w:tcBorders>
            <w:vAlign w:val="bottom"/>
          </w:tcPr>
          <w:p w14:paraId="6BF77B32" w14:textId="7DC12D32" w:rsidR="00F6411F" w:rsidRPr="000B49F3" w:rsidRDefault="00F6411F" w:rsidP="00F6411F">
            <w:pPr>
              <w:widowControl w:val="0"/>
              <w:autoSpaceDE w:val="0"/>
              <w:autoSpaceDN w:val="0"/>
              <w:adjustRightInd w:val="0"/>
              <w:ind w:right="-117"/>
              <w:jc w:val="center"/>
              <w:rPr>
                <w:sz w:val="18"/>
                <w:szCs w:val="18"/>
              </w:rPr>
            </w:pPr>
            <w:r w:rsidRPr="00890BAC">
              <w:rPr>
                <w:rFonts w:eastAsia="Times New Roman"/>
                <w:color w:val="000000"/>
                <w:sz w:val="18"/>
                <w:szCs w:val="18"/>
              </w:rPr>
              <w:t>(</w:t>
            </w:r>
            <w:r>
              <w:rPr>
                <w:rFonts w:eastAsia="Times New Roman"/>
                <w:color w:val="000000"/>
                <w:sz w:val="18"/>
                <w:szCs w:val="18"/>
              </w:rPr>
              <w:t>6.6182</w:t>
            </w:r>
            <w:r w:rsidRPr="00890BAC">
              <w:rPr>
                <w:rFonts w:eastAsia="Times New Roman"/>
                <w:color w:val="000000"/>
                <w:sz w:val="18"/>
                <w:szCs w:val="18"/>
              </w:rPr>
              <w:t>)</w:t>
            </w:r>
          </w:p>
        </w:tc>
        <w:tc>
          <w:tcPr>
            <w:tcW w:w="929" w:type="dxa"/>
            <w:gridSpan w:val="2"/>
            <w:tcBorders>
              <w:top w:val="nil"/>
              <w:left w:val="nil"/>
              <w:right w:val="nil"/>
            </w:tcBorders>
            <w:vAlign w:val="bottom"/>
          </w:tcPr>
          <w:p w14:paraId="103E2248" w14:textId="76EFE227" w:rsidR="00F6411F" w:rsidRPr="000B49F3" w:rsidRDefault="00F6411F" w:rsidP="00F6411F">
            <w:pPr>
              <w:widowControl w:val="0"/>
              <w:autoSpaceDE w:val="0"/>
              <w:autoSpaceDN w:val="0"/>
              <w:adjustRightInd w:val="0"/>
              <w:ind w:right="-117"/>
              <w:jc w:val="center"/>
              <w:rPr>
                <w:sz w:val="18"/>
                <w:szCs w:val="18"/>
              </w:rPr>
            </w:pPr>
            <w:r w:rsidRPr="00890BAC">
              <w:rPr>
                <w:rFonts w:eastAsia="Times New Roman"/>
                <w:color w:val="000000"/>
                <w:sz w:val="18"/>
                <w:szCs w:val="18"/>
              </w:rPr>
              <w:t>(</w:t>
            </w:r>
            <w:r>
              <w:rPr>
                <w:rFonts w:eastAsia="Times New Roman"/>
                <w:color w:val="000000"/>
                <w:sz w:val="18"/>
                <w:szCs w:val="18"/>
              </w:rPr>
              <w:t>6.5999</w:t>
            </w:r>
            <w:r w:rsidRPr="00890BAC">
              <w:rPr>
                <w:rFonts w:eastAsia="Times New Roman"/>
                <w:color w:val="000000"/>
                <w:sz w:val="18"/>
                <w:szCs w:val="18"/>
              </w:rPr>
              <w:t>)</w:t>
            </w:r>
          </w:p>
        </w:tc>
        <w:tc>
          <w:tcPr>
            <w:tcW w:w="994" w:type="dxa"/>
            <w:gridSpan w:val="2"/>
            <w:tcBorders>
              <w:top w:val="nil"/>
              <w:left w:val="nil"/>
              <w:right w:val="nil"/>
            </w:tcBorders>
            <w:vAlign w:val="bottom"/>
          </w:tcPr>
          <w:p w14:paraId="3AB5D409" w14:textId="6BC3F045" w:rsidR="00F6411F" w:rsidRPr="000B49F3" w:rsidRDefault="00F6411F" w:rsidP="00F6411F">
            <w:pPr>
              <w:widowControl w:val="0"/>
              <w:autoSpaceDE w:val="0"/>
              <w:autoSpaceDN w:val="0"/>
              <w:adjustRightInd w:val="0"/>
              <w:ind w:right="-117"/>
              <w:jc w:val="center"/>
              <w:rPr>
                <w:rFonts w:eastAsia="Times New Roman"/>
                <w:color w:val="000000"/>
                <w:sz w:val="18"/>
                <w:szCs w:val="18"/>
              </w:rPr>
            </w:pPr>
            <w:r>
              <w:rPr>
                <w:rFonts w:eastAsia="Times New Roman"/>
                <w:color w:val="000000"/>
                <w:sz w:val="18"/>
                <w:szCs w:val="18"/>
              </w:rPr>
              <w:t>(6.2208</w:t>
            </w:r>
            <w:r w:rsidRPr="00890BAC">
              <w:rPr>
                <w:rFonts w:eastAsia="Times New Roman"/>
                <w:color w:val="000000"/>
                <w:sz w:val="18"/>
                <w:szCs w:val="18"/>
              </w:rPr>
              <w:t>)</w:t>
            </w:r>
          </w:p>
        </w:tc>
        <w:tc>
          <w:tcPr>
            <w:tcW w:w="992" w:type="dxa"/>
            <w:gridSpan w:val="2"/>
            <w:tcBorders>
              <w:top w:val="nil"/>
              <w:left w:val="nil"/>
              <w:right w:val="nil"/>
            </w:tcBorders>
            <w:vAlign w:val="bottom"/>
          </w:tcPr>
          <w:p w14:paraId="6C9439BB" w14:textId="56E57BE1" w:rsidR="00F6411F" w:rsidRPr="000B49F3" w:rsidRDefault="00F6411F" w:rsidP="00F6411F">
            <w:pPr>
              <w:widowControl w:val="0"/>
              <w:autoSpaceDE w:val="0"/>
              <w:autoSpaceDN w:val="0"/>
              <w:adjustRightInd w:val="0"/>
              <w:ind w:right="-117"/>
              <w:jc w:val="center"/>
              <w:rPr>
                <w:rFonts w:eastAsia="Times New Roman"/>
                <w:color w:val="000000"/>
                <w:sz w:val="18"/>
                <w:szCs w:val="18"/>
              </w:rPr>
            </w:pPr>
            <w:r>
              <w:rPr>
                <w:rFonts w:eastAsia="Times New Roman"/>
                <w:color w:val="000000"/>
                <w:sz w:val="18"/>
                <w:szCs w:val="18"/>
              </w:rPr>
              <w:t>(6.2206</w:t>
            </w:r>
            <w:r w:rsidRPr="00890BAC">
              <w:rPr>
                <w:rFonts w:eastAsia="Times New Roman"/>
                <w:color w:val="000000"/>
                <w:sz w:val="18"/>
                <w:szCs w:val="18"/>
              </w:rPr>
              <w:t>)</w:t>
            </w:r>
          </w:p>
        </w:tc>
      </w:tr>
      <w:tr w:rsidR="00F6411F" w:rsidRPr="00C8257C" w14:paraId="13C3D000" w14:textId="77777777" w:rsidTr="008F1EE3">
        <w:trPr>
          <w:trHeight w:val="279"/>
          <w:jc w:val="center"/>
        </w:trPr>
        <w:tc>
          <w:tcPr>
            <w:tcW w:w="903" w:type="dxa"/>
            <w:tcBorders>
              <w:top w:val="nil"/>
              <w:left w:val="nil"/>
              <w:right w:val="nil"/>
            </w:tcBorders>
          </w:tcPr>
          <w:p w14:paraId="4F456C5D" w14:textId="77777777" w:rsidR="00F6411F" w:rsidRPr="00C8257C" w:rsidRDefault="00F6411F" w:rsidP="00F6411F">
            <w:pPr>
              <w:widowControl w:val="0"/>
              <w:autoSpaceDE w:val="0"/>
              <w:autoSpaceDN w:val="0"/>
              <w:adjustRightInd w:val="0"/>
              <w:ind w:right="-117"/>
              <w:rPr>
                <w:i/>
                <w:sz w:val="22"/>
                <w:szCs w:val="22"/>
              </w:rPr>
            </w:pPr>
            <w:r>
              <w:rPr>
                <w:i/>
                <w:sz w:val="22"/>
                <w:szCs w:val="22"/>
              </w:rPr>
              <w:t>LogAT</w:t>
            </w:r>
            <w:r w:rsidRPr="00FF5565">
              <w:rPr>
                <w:i/>
                <w:sz w:val="22"/>
                <w:szCs w:val="22"/>
                <w:vertAlign w:val="subscript"/>
              </w:rPr>
              <w:t>t-1</w:t>
            </w:r>
          </w:p>
        </w:tc>
        <w:tc>
          <w:tcPr>
            <w:tcW w:w="725" w:type="dxa"/>
            <w:tcBorders>
              <w:top w:val="nil"/>
              <w:left w:val="nil"/>
              <w:right w:val="nil"/>
            </w:tcBorders>
          </w:tcPr>
          <w:p w14:paraId="355AFFEE" w14:textId="77777777" w:rsidR="00F6411F" w:rsidRPr="00C8257C" w:rsidRDefault="00F6411F" w:rsidP="00F6411F">
            <w:pPr>
              <w:widowControl w:val="0"/>
              <w:autoSpaceDE w:val="0"/>
              <w:autoSpaceDN w:val="0"/>
              <w:adjustRightInd w:val="0"/>
              <w:jc w:val="center"/>
              <w:rPr>
                <w:sz w:val="22"/>
                <w:szCs w:val="22"/>
              </w:rPr>
            </w:pPr>
            <w:r>
              <w:rPr>
                <w:sz w:val="22"/>
                <w:szCs w:val="22"/>
              </w:rPr>
              <w:t>-</w:t>
            </w:r>
          </w:p>
        </w:tc>
        <w:tc>
          <w:tcPr>
            <w:tcW w:w="991" w:type="dxa"/>
            <w:tcBorders>
              <w:top w:val="nil"/>
              <w:left w:val="nil"/>
              <w:right w:val="nil"/>
            </w:tcBorders>
            <w:vAlign w:val="bottom"/>
          </w:tcPr>
          <w:p w14:paraId="04FB6FAA" w14:textId="3CCE4779" w:rsidR="00F6411F" w:rsidRPr="00890BAC" w:rsidRDefault="00F6411F" w:rsidP="00F6411F">
            <w:pPr>
              <w:widowControl w:val="0"/>
              <w:autoSpaceDE w:val="0"/>
              <w:autoSpaceDN w:val="0"/>
              <w:adjustRightInd w:val="0"/>
              <w:ind w:right="-97"/>
              <w:jc w:val="center"/>
              <w:rPr>
                <w:rFonts w:eastAsia="Times New Roman"/>
                <w:color w:val="000000"/>
                <w:sz w:val="18"/>
                <w:szCs w:val="18"/>
              </w:rPr>
            </w:pPr>
            <w:r w:rsidRPr="00890BAC">
              <w:rPr>
                <w:rFonts w:eastAsia="Times New Roman"/>
                <w:color w:val="000000"/>
                <w:sz w:val="18"/>
                <w:szCs w:val="18"/>
              </w:rPr>
              <w:t>-0.0</w:t>
            </w:r>
            <w:r>
              <w:rPr>
                <w:rFonts w:eastAsia="Times New Roman"/>
                <w:color w:val="000000"/>
                <w:sz w:val="18"/>
                <w:szCs w:val="18"/>
              </w:rPr>
              <w:t>027</w:t>
            </w:r>
            <w:r w:rsidRPr="00890BAC">
              <w:rPr>
                <w:rFonts w:eastAsia="Times New Roman"/>
                <w:color w:val="000000"/>
                <w:sz w:val="18"/>
                <w:szCs w:val="18"/>
              </w:rPr>
              <w:t>***</w:t>
            </w:r>
          </w:p>
        </w:tc>
        <w:tc>
          <w:tcPr>
            <w:tcW w:w="991" w:type="dxa"/>
            <w:gridSpan w:val="2"/>
            <w:tcBorders>
              <w:top w:val="nil"/>
              <w:left w:val="nil"/>
              <w:right w:val="nil"/>
            </w:tcBorders>
            <w:vAlign w:val="bottom"/>
          </w:tcPr>
          <w:p w14:paraId="3CF76F3A" w14:textId="5098B38A" w:rsidR="00F6411F" w:rsidRPr="00890BAC" w:rsidRDefault="00F6411F" w:rsidP="00F6411F">
            <w:pPr>
              <w:widowControl w:val="0"/>
              <w:autoSpaceDE w:val="0"/>
              <w:autoSpaceDN w:val="0"/>
              <w:adjustRightInd w:val="0"/>
              <w:ind w:right="-97"/>
              <w:jc w:val="center"/>
              <w:rPr>
                <w:rFonts w:eastAsia="Times New Roman"/>
                <w:color w:val="000000"/>
                <w:sz w:val="18"/>
                <w:szCs w:val="18"/>
              </w:rPr>
            </w:pPr>
            <w:r w:rsidRPr="00890BAC">
              <w:rPr>
                <w:rFonts w:eastAsia="Times New Roman"/>
                <w:color w:val="000000"/>
                <w:sz w:val="18"/>
                <w:szCs w:val="18"/>
              </w:rPr>
              <w:t>-0.0</w:t>
            </w:r>
            <w:r>
              <w:rPr>
                <w:rFonts w:eastAsia="Times New Roman"/>
                <w:color w:val="000000"/>
                <w:sz w:val="18"/>
                <w:szCs w:val="18"/>
              </w:rPr>
              <w:t>027</w:t>
            </w:r>
            <w:r w:rsidRPr="00890BAC">
              <w:rPr>
                <w:rFonts w:eastAsia="Times New Roman"/>
                <w:color w:val="000000"/>
                <w:sz w:val="18"/>
                <w:szCs w:val="18"/>
              </w:rPr>
              <w:t>***</w:t>
            </w:r>
          </w:p>
        </w:tc>
        <w:tc>
          <w:tcPr>
            <w:tcW w:w="991" w:type="dxa"/>
            <w:gridSpan w:val="2"/>
            <w:tcBorders>
              <w:top w:val="nil"/>
              <w:left w:val="nil"/>
              <w:right w:val="nil"/>
            </w:tcBorders>
            <w:vAlign w:val="bottom"/>
          </w:tcPr>
          <w:p w14:paraId="7F19269F" w14:textId="0D2C9305" w:rsidR="00F6411F" w:rsidRPr="000B49F3" w:rsidRDefault="00F6411F" w:rsidP="00F6411F">
            <w:pPr>
              <w:widowControl w:val="0"/>
              <w:autoSpaceDE w:val="0"/>
              <w:autoSpaceDN w:val="0"/>
              <w:adjustRightInd w:val="0"/>
              <w:ind w:right="-97"/>
              <w:jc w:val="center"/>
              <w:rPr>
                <w:sz w:val="18"/>
                <w:szCs w:val="18"/>
              </w:rPr>
            </w:pPr>
            <w:r w:rsidRPr="00890BAC">
              <w:rPr>
                <w:rFonts w:eastAsia="Times New Roman"/>
                <w:color w:val="000000"/>
                <w:sz w:val="18"/>
                <w:szCs w:val="18"/>
              </w:rPr>
              <w:t>-0.0</w:t>
            </w:r>
            <w:r>
              <w:rPr>
                <w:rFonts w:eastAsia="Times New Roman"/>
                <w:color w:val="000000"/>
                <w:sz w:val="18"/>
                <w:szCs w:val="18"/>
              </w:rPr>
              <w:t>026</w:t>
            </w:r>
            <w:r w:rsidRPr="00890BAC">
              <w:rPr>
                <w:rFonts w:eastAsia="Times New Roman"/>
                <w:color w:val="000000"/>
                <w:sz w:val="18"/>
                <w:szCs w:val="18"/>
              </w:rPr>
              <w:t>***</w:t>
            </w:r>
          </w:p>
        </w:tc>
        <w:tc>
          <w:tcPr>
            <w:tcW w:w="977" w:type="dxa"/>
            <w:gridSpan w:val="2"/>
            <w:tcBorders>
              <w:top w:val="nil"/>
              <w:left w:val="nil"/>
              <w:right w:val="nil"/>
            </w:tcBorders>
            <w:vAlign w:val="bottom"/>
          </w:tcPr>
          <w:p w14:paraId="02EBA7D0" w14:textId="0210F126" w:rsidR="00F6411F" w:rsidRPr="000B49F3" w:rsidRDefault="00F6411F" w:rsidP="00F6411F">
            <w:pPr>
              <w:widowControl w:val="0"/>
              <w:autoSpaceDE w:val="0"/>
              <w:autoSpaceDN w:val="0"/>
              <w:adjustRightInd w:val="0"/>
              <w:ind w:right="-100"/>
              <w:jc w:val="center"/>
              <w:rPr>
                <w:sz w:val="18"/>
                <w:szCs w:val="18"/>
              </w:rPr>
            </w:pPr>
            <w:r w:rsidRPr="00890BAC">
              <w:rPr>
                <w:rFonts w:eastAsia="Times New Roman"/>
                <w:color w:val="000000"/>
                <w:sz w:val="18"/>
                <w:szCs w:val="18"/>
              </w:rPr>
              <w:t>-0.0</w:t>
            </w:r>
            <w:r>
              <w:rPr>
                <w:rFonts w:eastAsia="Times New Roman"/>
                <w:color w:val="000000"/>
                <w:sz w:val="18"/>
                <w:szCs w:val="18"/>
              </w:rPr>
              <w:t>026</w:t>
            </w:r>
            <w:r w:rsidRPr="00890BAC">
              <w:rPr>
                <w:rFonts w:eastAsia="Times New Roman"/>
                <w:color w:val="000000"/>
                <w:sz w:val="18"/>
                <w:szCs w:val="18"/>
              </w:rPr>
              <w:t>***</w:t>
            </w:r>
          </w:p>
        </w:tc>
        <w:tc>
          <w:tcPr>
            <w:tcW w:w="971" w:type="dxa"/>
            <w:gridSpan w:val="2"/>
            <w:tcBorders>
              <w:top w:val="nil"/>
              <w:left w:val="nil"/>
              <w:right w:val="nil"/>
            </w:tcBorders>
            <w:vAlign w:val="bottom"/>
          </w:tcPr>
          <w:p w14:paraId="25918864" w14:textId="5EFFF979" w:rsidR="00F6411F" w:rsidRPr="000B49F3" w:rsidRDefault="00F6411F" w:rsidP="00F6411F">
            <w:pPr>
              <w:widowControl w:val="0"/>
              <w:autoSpaceDE w:val="0"/>
              <w:autoSpaceDN w:val="0"/>
              <w:adjustRightInd w:val="0"/>
              <w:ind w:right="-117"/>
              <w:jc w:val="center"/>
              <w:rPr>
                <w:sz w:val="18"/>
                <w:szCs w:val="18"/>
              </w:rPr>
            </w:pPr>
            <w:r w:rsidRPr="00890BAC">
              <w:rPr>
                <w:rFonts w:eastAsia="Times New Roman"/>
                <w:color w:val="000000"/>
                <w:sz w:val="18"/>
                <w:szCs w:val="18"/>
              </w:rPr>
              <w:t>-0.0</w:t>
            </w:r>
            <w:r>
              <w:rPr>
                <w:rFonts w:eastAsia="Times New Roman"/>
                <w:color w:val="000000"/>
                <w:sz w:val="18"/>
                <w:szCs w:val="18"/>
              </w:rPr>
              <w:t>027</w:t>
            </w:r>
            <w:r w:rsidRPr="00890BAC">
              <w:rPr>
                <w:rFonts w:eastAsia="Times New Roman"/>
                <w:color w:val="000000"/>
                <w:sz w:val="18"/>
                <w:szCs w:val="18"/>
              </w:rPr>
              <w:t>***</w:t>
            </w:r>
          </w:p>
        </w:tc>
        <w:tc>
          <w:tcPr>
            <w:tcW w:w="929" w:type="dxa"/>
            <w:gridSpan w:val="2"/>
            <w:tcBorders>
              <w:top w:val="nil"/>
              <w:left w:val="nil"/>
              <w:right w:val="nil"/>
            </w:tcBorders>
            <w:vAlign w:val="bottom"/>
          </w:tcPr>
          <w:p w14:paraId="5B2A3627" w14:textId="1D12796B" w:rsidR="00F6411F" w:rsidRPr="000B49F3" w:rsidRDefault="00F6411F" w:rsidP="00F6411F">
            <w:pPr>
              <w:widowControl w:val="0"/>
              <w:autoSpaceDE w:val="0"/>
              <w:autoSpaceDN w:val="0"/>
              <w:adjustRightInd w:val="0"/>
              <w:ind w:right="-117"/>
              <w:jc w:val="center"/>
              <w:rPr>
                <w:sz w:val="18"/>
                <w:szCs w:val="18"/>
              </w:rPr>
            </w:pPr>
            <w:r w:rsidRPr="00890BAC">
              <w:rPr>
                <w:rFonts w:eastAsia="Times New Roman"/>
                <w:color w:val="000000"/>
                <w:sz w:val="18"/>
                <w:szCs w:val="18"/>
              </w:rPr>
              <w:t>-0.0</w:t>
            </w:r>
            <w:r>
              <w:rPr>
                <w:rFonts w:eastAsia="Times New Roman"/>
                <w:color w:val="000000"/>
                <w:sz w:val="18"/>
                <w:szCs w:val="18"/>
              </w:rPr>
              <w:t>026</w:t>
            </w:r>
            <w:r w:rsidRPr="00890BAC">
              <w:rPr>
                <w:rFonts w:eastAsia="Times New Roman"/>
                <w:color w:val="000000"/>
                <w:sz w:val="18"/>
                <w:szCs w:val="18"/>
              </w:rPr>
              <w:t>***</w:t>
            </w:r>
          </w:p>
        </w:tc>
        <w:tc>
          <w:tcPr>
            <w:tcW w:w="994" w:type="dxa"/>
            <w:gridSpan w:val="2"/>
            <w:tcBorders>
              <w:top w:val="nil"/>
              <w:left w:val="nil"/>
              <w:right w:val="nil"/>
            </w:tcBorders>
            <w:vAlign w:val="bottom"/>
          </w:tcPr>
          <w:p w14:paraId="7D6C4E21" w14:textId="68C8BBE9" w:rsidR="00F6411F" w:rsidRPr="000B49F3" w:rsidRDefault="00F6411F" w:rsidP="00F6411F">
            <w:pPr>
              <w:widowControl w:val="0"/>
              <w:autoSpaceDE w:val="0"/>
              <w:autoSpaceDN w:val="0"/>
              <w:adjustRightInd w:val="0"/>
              <w:ind w:right="-117"/>
              <w:jc w:val="center"/>
              <w:rPr>
                <w:rFonts w:eastAsia="Times New Roman"/>
                <w:color w:val="000000"/>
                <w:sz w:val="18"/>
                <w:szCs w:val="18"/>
              </w:rPr>
            </w:pPr>
            <w:r w:rsidRPr="00890BAC">
              <w:rPr>
                <w:rFonts w:eastAsia="Times New Roman"/>
                <w:color w:val="000000"/>
                <w:sz w:val="18"/>
                <w:szCs w:val="18"/>
              </w:rPr>
              <w:t>-0.0</w:t>
            </w:r>
            <w:r>
              <w:rPr>
                <w:rFonts w:eastAsia="Times New Roman"/>
                <w:color w:val="000000"/>
                <w:sz w:val="18"/>
                <w:szCs w:val="18"/>
              </w:rPr>
              <w:t>029</w:t>
            </w:r>
            <w:r w:rsidRPr="00890BAC">
              <w:rPr>
                <w:rFonts w:eastAsia="Times New Roman"/>
                <w:color w:val="000000"/>
                <w:sz w:val="18"/>
                <w:szCs w:val="18"/>
              </w:rPr>
              <w:t>***</w:t>
            </w:r>
          </w:p>
        </w:tc>
        <w:tc>
          <w:tcPr>
            <w:tcW w:w="992" w:type="dxa"/>
            <w:gridSpan w:val="2"/>
            <w:tcBorders>
              <w:top w:val="nil"/>
              <w:left w:val="nil"/>
              <w:right w:val="nil"/>
            </w:tcBorders>
            <w:vAlign w:val="bottom"/>
          </w:tcPr>
          <w:p w14:paraId="3EFE51A2" w14:textId="77DDC2C4" w:rsidR="00F6411F" w:rsidRPr="000B49F3" w:rsidRDefault="00F6411F" w:rsidP="00F6411F">
            <w:pPr>
              <w:widowControl w:val="0"/>
              <w:autoSpaceDE w:val="0"/>
              <w:autoSpaceDN w:val="0"/>
              <w:adjustRightInd w:val="0"/>
              <w:ind w:right="-117"/>
              <w:jc w:val="center"/>
              <w:rPr>
                <w:rFonts w:eastAsia="Times New Roman"/>
                <w:color w:val="000000"/>
                <w:sz w:val="18"/>
                <w:szCs w:val="18"/>
              </w:rPr>
            </w:pPr>
            <w:r w:rsidRPr="00890BAC">
              <w:rPr>
                <w:rFonts w:eastAsia="Times New Roman"/>
                <w:color w:val="000000"/>
                <w:sz w:val="18"/>
                <w:szCs w:val="18"/>
              </w:rPr>
              <w:t>-0.0</w:t>
            </w:r>
            <w:r>
              <w:rPr>
                <w:rFonts w:eastAsia="Times New Roman"/>
                <w:color w:val="000000"/>
                <w:sz w:val="18"/>
                <w:szCs w:val="18"/>
              </w:rPr>
              <w:t>028</w:t>
            </w:r>
            <w:r w:rsidRPr="00890BAC">
              <w:rPr>
                <w:rFonts w:eastAsia="Times New Roman"/>
                <w:color w:val="000000"/>
                <w:sz w:val="18"/>
                <w:szCs w:val="18"/>
              </w:rPr>
              <w:t>***</w:t>
            </w:r>
          </w:p>
        </w:tc>
      </w:tr>
      <w:tr w:rsidR="00F6411F" w:rsidRPr="00C8257C" w14:paraId="0935551E" w14:textId="77777777" w:rsidTr="008F1EE3">
        <w:trPr>
          <w:jc w:val="center"/>
        </w:trPr>
        <w:tc>
          <w:tcPr>
            <w:tcW w:w="903" w:type="dxa"/>
            <w:tcBorders>
              <w:top w:val="nil"/>
              <w:left w:val="nil"/>
              <w:right w:val="nil"/>
            </w:tcBorders>
          </w:tcPr>
          <w:p w14:paraId="5A0F4666" w14:textId="77777777" w:rsidR="00F6411F" w:rsidRPr="00C8257C" w:rsidRDefault="00F6411F" w:rsidP="00F6411F">
            <w:pPr>
              <w:widowControl w:val="0"/>
              <w:autoSpaceDE w:val="0"/>
              <w:autoSpaceDN w:val="0"/>
              <w:adjustRightInd w:val="0"/>
              <w:ind w:right="-117"/>
              <w:rPr>
                <w:i/>
                <w:sz w:val="22"/>
                <w:szCs w:val="22"/>
              </w:rPr>
            </w:pPr>
          </w:p>
        </w:tc>
        <w:tc>
          <w:tcPr>
            <w:tcW w:w="725" w:type="dxa"/>
            <w:tcBorders>
              <w:top w:val="nil"/>
              <w:left w:val="nil"/>
              <w:right w:val="nil"/>
            </w:tcBorders>
          </w:tcPr>
          <w:p w14:paraId="170C8BF4" w14:textId="77777777" w:rsidR="00F6411F" w:rsidRPr="00C8257C" w:rsidRDefault="00F6411F" w:rsidP="00F6411F">
            <w:pPr>
              <w:widowControl w:val="0"/>
              <w:autoSpaceDE w:val="0"/>
              <w:autoSpaceDN w:val="0"/>
              <w:adjustRightInd w:val="0"/>
              <w:jc w:val="center"/>
              <w:rPr>
                <w:sz w:val="22"/>
                <w:szCs w:val="22"/>
              </w:rPr>
            </w:pPr>
          </w:p>
        </w:tc>
        <w:tc>
          <w:tcPr>
            <w:tcW w:w="991" w:type="dxa"/>
            <w:tcBorders>
              <w:top w:val="nil"/>
              <w:left w:val="nil"/>
              <w:right w:val="nil"/>
            </w:tcBorders>
            <w:vAlign w:val="bottom"/>
          </w:tcPr>
          <w:p w14:paraId="7E28A2CD" w14:textId="1185D357" w:rsidR="00F6411F" w:rsidRPr="00890BAC" w:rsidRDefault="00F6411F" w:rsidP="00F6411F">
            <w:pPr>
              <w:widowControl w:val="0"/>
              <w:autoSpaceDE w:val="0"/>
              <w:autoSpaceDN w:val="0"/>
              <w:adjustRightInd w:val="0"/>
              <w:ind w:right="-97"/>
              <w:jc w:val="center"/>
              <w:rPr>
                <w:rFonts w:eastAsia="Times New Roman"/>
                <w:color w:val="000000"/>
                <w:sz w:val="18"/>
                <w:szCs w:val="18"/>
              </w:rPr>
            </w:pPr>
            <w:r w:rsidRPr="00890BAC">
              <w:rPr>
                <w:rFonts w:eastAsia="Times New Roman"/>
                <w:color w:val="000000"/>
                <w:sz w:val="18"/>
                <w:szCs w:val="18"/>
              </w:rPr>
              <w:t>(-</w:t>
            </w:r>
            <w:r>
              <w:rPr>
                <w:rFonts w:eastAsia="Times New Roman"/>
                <w:color w:val="000000"/>
                <w:sz w:val="18"/>
                <w:szCs w:val="18"/>
              </w:rPr>
              <w:t>7.2506</w:t>
            </w:r>
            <w:r w:rsidRPr="00890BAC">
              <w:rPr>
                <w:rFonts w:eastAsia="Times New Roman"/>
                <w:color w:val="000000"/>
                <w:sz w:val="18"/>
                <w:szCs w:val="18"/>
              </w:rPr>
              <w:t>)</w:t>
            </w:r>
          </w:p>
        </w:tc>
        <w:tc>
          <w:tcPr>
            <w:tcW w:w="991" w:type="dxa"/>
            <w:gridSpan w:val="2"/>
            <w:tcBorders>
              <w:top w:val="nil"/>
              <w:left w:val="nil"/>
              <w:right w:val="nil"/>
            </w:tcBorders>
            <w:vAlign w:val="bottom"/>
          </w:tcPr>
          <w:p w14:paraId="77FA7EE4" w14:textId="56096714" w:rsidR="00F6411F" w:rsidRPr="00890BAC" w:rsidRDefault="00F6411F" w:rsidP="00F6411F">
            <w:pPr>
              <w:widowControl w:val="0"/>
              <w:autoSpaceDE w:val="0"/>
              <w:autoSpaceDN w:val="0"/>
              <w:adjustRightInd w:val="0"/>
              <w:ind w:right="-97"/>
              <w:jc w:val="center"/>
              <w:rPr>
                <w:rFonts w:eastAsia="Times New Roman"/>
                <w:color w:val="000000"/>
                <w:sz w:val="18"/>
                <w:szCs w:val="18"/>
              </w:rPr>
            </w:pPr>
            <w:r w:rsidRPr="00890BAC">
              <w:rPr>
                <w:rFonts w:eastAsia="Times New Roman"/>
                <w:color w:val="000000"/>
                <w:sz w:val="18"/>
                <w:szCs w:val="18"/>
              </w:rPr>
              <w:t>(-</w:t>
            </w:r>
            <w:r>
              <w:rPr>
                <w:rFonts w:eastAsia="Times New Roman"/>
                <w:color w:val="000000"/>
                <w:sz w:val="18"/>
                <w:szCs w:val="18"/>
              </w:rPr>
              <w:t>7.2004</w:t>
            </w:r>
            <w:r w:rsidRPr="00890BAC">
              <w:rPr>
                <w:rFonts w:eastAsia="Times New Roman"/>
                <w:color w:val="000000"/>
                <w:sz w:val="18"/>
                <w:szCs w:val="18"/>
              </w:rPr>
              <w:t>)</w:t>
            </w:r>
          </w:p>
        </w:tc>
        <w:tc>
          <w:tcPr>
            <w:tcW w:w="991" w:type="dxa"/>
            <w:gridSpan w:val="2"/>
            <w:tcBorders>
              <w:top w:val="nil"/>
              <w:left w:val="nil"/>
              <w:right w:val="nil"/>
            </w:tcBorders>
            <w:vAlign w:val="bottom"/>
          </w:tcPr>
          <w:p w14:paraId="5761BB66" w14:textId="41C44621" w:rsidR="00F6411F" w:rsidRPr="000B49F3" w:rsidRDefault="00F6411F" w:rsidP="00F65A01">
            <w:pPr>
              <w:widowControl w:val="0"/>
              <w:autoSpaceDE w:val="0"/>
              <w:autoSpaceDN w:val="0"/>
              <w:adjustRightInd w:val="0"/>
              <w:ind w:right="-97"/>
              <w:jc w:val="center"/>
              <w:rPr>
                <w:sz w:val="18"/>
                <w:szCs w:val="18"/>
              </w:rPr>
            </w:pPr>
            <w:r w:rsidRPr="00890BAC">
              <w:rPr>
                <w:rFonts w:eastAsia="Times New Roman"/>
                <w:color w:val="000000"/>
                <w:sz w:val="18"/>
                <w:szCs w:val="18"/>
              </w:rPr>
              <w:t>(-</w:t>
            </w:r>
            <w:r>
              <w:rPr>
                <w:rFonts w:eastAsia="Times New Roman"/>
                <w:color w:val="000000"/>
                <w:sz w:val="18"/>
                <w:szCs w:val="18"/>
              </w:rPr>
              <w:t>6.9435</w:t>
            </w:r>
            <w:r w:rsidRPr="00890BAC">
              <w:rPr>
                <w:rFonts w:eastAsia="Times New Roman"/>
                <w:color w:val="000000"/>
                <w:sz w:val="18"/>
                <w:szCs w:val="18"/>
              </w:rPr>
              <w:t>)</w:t>
            </w:r>
          </w:p>
        </w:tc>
        <w:tc>
          <w:tcPr>
            <w:tcW w:w="977" w:type="dxa"/>
            <w:gridSpan w:val="2"/>
            <w:tcBorders>
              <w:top w:val="nil"/>
              <w:left w:val="nil"/>
              <w:right w:val="nil"/>
            </w:tcBorders>
            <w:vAlign w:val="bottom"/>
          </w:tcPr>
          <w:p w14:paraId="5B5F14E4" w14:textId="21C32DFE" w:rsidR="00F6411F" w:rsidRPr="000B49F3" w:rsidRDefault="00F6411F" w:rsidP="00F6411F">
            <w:pPr>
              <w:widowControl w:val="0"/>
              <w:autoSpaceDE w:val="0"/>
              <w:autoSpaceDN w:val="0"/>
              <w:adjustRightInd w:val="0"/>
              <w:ind w:right="-100"/>
              <w:jc w:val="center"/>
              <w:rPr>
                <w:sz w:val="18"/>
                <w:szCs w:val="18"/>
              </w:rPr>
            </w:pPr>
            <w:r w:rsidRPr="00890BAC">
              <w:rPr>
                <w:rFonts w:eastAsia="Times New Roman"/>
                <w:color w:val="000000"/>
                <w:sz w:val="18"/>
                <w:szCs w:val="18"/>
              </w:rPr>
              <w:t>(-</w:t>
            </w:r>
            <w:r>
              <w:rPr>
                <w:rFonts w:eastAsia="Times New Roman"/>
                <w:color w:val="000000"/>
                <w:sz w:val="18"/>
                <w:szCs w:val="18"/>
              </w:rPr>
              <w:t>6.8997</w:t>
            </w:r>
            <w:r w:rsidRPr="00890BAC">
              <w:rPr>
                <w:rFonts w:eastAsia="Times New Roman"/>
                <w:color w:val="000000"/>
                <w:sz w:val="18"/>
                <w:szCs w:val="18"/>
              </w:rPr>
              <w:t>)</w:t>
            </w:r>
          </w:p>
        </w:tc>
        <w:tc>
          <w:tcPr>
            <w:tcW w:w="971" w:type="dxa"/>
            <w:gridSpan w:val="2"/>
            <w:tcBorders>
              <w:top w:val="nil"/>
              <w:left w:val="nil"/>
              <w:right w:val="nil"/>
            </w:tcBorders>
            <w:vAlign w:val="bottom"/>
          </w:tcPr>
          <w:p w14:paraId="69B14AB0" w14:textId="57C8201F" w:rsidR="00F6411F" w:rsidRPr="000B49F3" w:rsidRDefault="00F6411F" w:rsidP="00F6411F">
            <w:pPr>
              <w:widowControl w:val="0"/>
              <w:autoSpaceDE w:val="0"/>
              <w:autoSpaceDN w:val="0"/>
              <w:adjustRightInd w:val="0"/>
              <w:ind w:right="-117"/>
              <w:jc w:val="center"/>
              <w:rPr>
                <w:sz w:val="18"/>
                <w:szCs w:val="18"/>
              </w:rPr>
            </w:pPr>
            <w:r w:rsidRPr="00890BAC">
              <w:rPr>
                <w:rFonts w:eastAsia="Times New Roman"/>
                <w:color w:val="000000"/>
                <w:sz w:val="18"/>
                <w:szCs w:val="18"/>
              </w:rPr>
              <w:t>(-</w:t>
            </w:r>
            <w:r>
              <w:rPr>
                <w:rFonts w:eastAsia="Times New Roman"/>
                <w:color w:val="000000"/>
                <w:sz w:val="18"/>
                <w:szCs w:val="18"/>
              </w:rPr>
              <w:t>6.9990</w:t>
            </w:r>
            <w:r w:rsidRPr="00890BAC">
              <w:rPr>
                <w:rFonts w:eastAsia="Times New Roman"/>
                <w:color w:val="000000"/>
                <w:sz w:val="18"/>
                <w:szCs w:val="18"/>
              </w:rPr>
              <w:t>)</w:t>
            </w:r>
          </w:p>
        </w:tc>
        <w:tc>
          <w:tcPr>
            <w:tcW w:w="929" w:type="dxa"/>
            <w:gridSpan w:val="2"/>
            <w:tcBorders>
              <w:top w:val="nil"/>
              <w:left w:val="nil"/>
              <w:right w:val="nil"/>
            </w:tcBorders>
            <w:vAlign w:val="bottom"/>
          </w:tcPr>
          <w:p w14:paraId="518B364D" w14:textId="33851D9A" w:rsidR="00F6411F" w:rsidRPr="000B49F3" w:rsidRDefault="00F6411F" w:rsidP="00F6411F">
            <w:pPr>
              <w:widowControl w:val="0"/>
              <w:autoSpaceDE w:val="0"/>
              <w:autoSpaceDN w:val="0"/>
              <w:adjustRightInd w:val="0"/>
              <w:ind w:right="-117"/>
              <w:jc w:val="center"/>
              <w:rPr>
                <w:sz w:val="18"/>
                <w:szCs w:val="18"/>
              </w:rPr>
            </w:pPr>
            <w:r w:rsidRPr="00890BAC">
              <w:rPr>
                <w:rFonts w:eastAsia="Times New Roman"/>
                <w:color w:val="000000"/>
                <w:sz w:val="18"/>
                <w:szCs w:val="18"/>
              </w:rPr>
              <w:t>(-</w:t>
            </w:r>
            <w:r>
              <w:rPr>
                <w:rFonts w:eastAsia="Times New Roman"/>
                <w:color w:val="000000"/>
                <w:sz w:val="18"/>
                <w:szCs w:val="18"/>
              </w:rPr>
              <w:t>6.9546</w:t>
            </w:r>
            <w:r w:rsidRPr="00890BAC">
              <w:rPr>
                <w:rFonts w:eastAsia="Times New Roman"/>
                <w:color w:val="000000"/>
                <w:sz w:val="18"/>
                <w:szCs w:val="18"/>
              </w:rPr>
              <w:t>)</w:t>
            </w:r>
          </w:p>
        </w:tc>
        <w:tc>
          <w:tcPr>
            <w:tcW w:w="994" w:type="dxa"/>
            <w:gridSpan w:val="2"/>
            <w:tcBorders>
              <w:top w:val="nil"/>
              <w:left w:val="nil"/>
              <w:right w:val="nil"/>
            </w:tcBorders>
            <w:vAlign w:val="bottom"/>
          </w:tcPr>
          <w:p w14:paraId="64AF052E" w14:textId="14CD7CB5" w:rsidR="00F6411F" w:rsidRPr="000B49F3" w:rsidRDefault="00F6411F" w:rsidP="00F6411F">
            <w:pPr>
              <w:widowControl w:val="0"/>
              <w:autoSpaceDE w:val="0"/>
              <w:autoSpaceDN w:val="0"/>
              <w:adjustRightInd w:val="0"/>
              <w:ind w:right="-117"/>
              <w:jc w:val="center"/>
              <w:rPr>
                <w:rFonts w:eastAsia="Times New Roman"/>
                <w:color w:val="000000"/>
                <w:sz w:val="18"/>
                <w:szCs w:val="18"/>
              </w:rPr>
            </w:pPr>
            <w:r w:rsidRPr="00890BAC">
              <w:rPr>
                <w:rFonts w:eastAsia="Times New Roman"/>
                <w:color w:val="000000"/>
                <w:sz w:val="18"/>
                <w:szCs w:val="18"/>
              </w:rPr>
              <w:t>(-</w:t>
            </w:r>
            <w:r>
              <w:rPr>
                <w:rFonts w:eastAsia="Times New Roman"/>
                <w:color w:val="000000"/>
                <w:sz w:val="18"/>
                <w:szCs w:val="18"/>
              </w:rPr>
              <w:t>7.3069</w:t>
            </w:r>
            <w:r w:rsidRPr="00890BAC">
              <w:rPr>
                <w:rFonts w:eastAsia="Times New Roman"/>
                <w:color w:val="000000"/>
                <w:sz w:val="18"/>
                <w:szCs w:val="18"/>
              </w:rPr>
              <w:t>)</w:t>
            </w:r>
          </w:p>
        </w:tc>
        <w:tc>
          <w:tcPr>
            <w:tcW w:w="992" w:type="dxa"/>
            <w:gridSpan w:val="2"/>
            <w:tcBorders>
              <w:top w:val="nil"/>
              <w:left w:val="nil"/>
              <w:right w:val="nil"/>
            </w:tcBorders>
            <w:vAlign w:val="bottom"/>
          </w:tcPr>
          <w:p w14:paraId="2966B46B" w14:textId="2A35E47A" w:rsidR="00F6411F" w:rsidRPr="000B49F3" w:rsidRDefault="00F6411F" w:rsidP="00F6411F">
            <w:pPr>
              <w:widowControl w:val="0"/>
              <w:autoSpaceDE w:val="0"/>
              <w:autoSpaceDN w:val="0"/>
              <w:adjustRightInd w:val="0"/>
              <w:ind w:right="-117"/>
              <w:jc w:val="center"/>
              <w:rPr>
                <w:rFonts w:eastAsia="Times New Roman"/>
                <w:color w:val="000000"/>
                <w:sz w:val="18"/>
                <w:szCs w:val="18"/>
              </w:rPr>
            </w:pPr>
            <w:r w:rsidRPr="00890BAC">
              <w:rPr>
                <w:rFonts w:eastAsia="Times New Roman"/>
                <w:color w:val="000000"/>
                <w:sz w:val="18"/>
                <w:szCs w:val="18"/>
              </w:rPr>
              <w:t>(-</w:t>
            </w:r>
            <w:r>
              <w:rPr>
                <w:rFonts w:eastAsia="Times New Roman"/>
                <w:color w:val="000000"/>
                <w:sz w:val="18"/>
                <w:szCs w:val="18"/>
              </w:rPr>
              <w:t>7.2691</w:t>
            </w:r>
            <w:r w:rsidRPr="00890BAC">
              <w:rPr>
                <w:rFonts w:eastAsia="Times New Roman"/>
                <w:color w:val="000000"/>
                <w:sz w:val="18"/>
                <w:szCs w:val="18"/>
              </w:rPr>
              <w:t>)</w:t>
            </w:r>
          </w:p>
        </w:tc>
      </w:tr>
      <w:tr w:rsidR="00F6411F" w:rsidRPr="00C8257C" w14:paraId="143C14F8" w14:textId="77777777" w:rsidTr="008F1EE3">
        <w:trPr>
          <w:jc w:val="center"/>
        </w:trPr>
        <w:tc>
          <w:tcPr>
            <w:tcW w:w="903" w:type="dxa"/>
            <w:tcBorders>
              <w:top w:val="nil"/>
              <w:left w:val="nil"/>
              <w:right w:val="nil"/>
            </w:tcBorders>
          </w:tcPr>
          <w:p w14:paraId="5E0F255B" w14:textId="77777777" w:rsidR="00F6411F" w:rsidRPr="00C8257C" w:rsidRDefault="00F6411F" w:rsidP="00F6411F">
            <w:pPr>
              <w:widowControl w:val="0"/>
              <w:autoSpaceDE w:val="0"/>
              <w:autoSpaceDN w:val="0"/>
              <w:adjustRightInd w:val="0"/>
              <w:ind w:right="-117"/>
              <w:rPr>
                <w:i/>
                <w:sz w:val="22"/>
                <w:szCs w:val="22"/>
              </w:rPr>
            </w:pPr>
            <w:r>
              <w:rPr>
                <w:i/>
                <w:sz w:val="22"/>
                <w:szCs w:val="22"/>
              </w:rPr>
              <w:t>ROA</w:t>
            </w:r>
            <w:r w:rsidRPr="00FF5565">
              <w:rPr>
                <w:i/>
                <w:sz w:val="22"/>
                <w:szCs w:val="22"/>
                <w:vertAlign w:val="subscript"/>
              </w:rPr>
              <w:t>t-1</w:t>
            </w:r>
          </w:p>
        </w:tc>
        <w:tc>
          <w:tcPr>
            <w:tcW w:w="725" w:type="dxa"/>
            <w:tcBorders>
              <w:top w:val="nil"/>
              <w:left w:val="nil"/>
              <w:right w:val="nil"/>
            </w:tcBorders>
          </w:tcPr>
          <w:p w14:paraId="0618FC83" w14:textId="77777777" w:rsidR="00F6411F" w:rsidRPr="00C8257C" w:rsidRDefault="00F6411F" w:rsidP="00F6411F">
            <w:pPr>
              <w:widowControl w:val="0"/>
              <w:autoSpaceDE w:val="0"/>
              <w:autoSpaceDN w:val="0"/>
              <w:adjustRightInd w:val="0"/>
              <w:jc w:val="center"/>
              <w:rPr>
                <w:sz w:val="22"/>
                <w:szCs w:val="22"/>
              </w:rPr>
            </w:pPr>
            <w:r w:rsidRPr="00C8257C">
              <w:rPr>
                <w:sz w:val="22"/>
                <w:szCs w:val="22"/>
              </w:rPr>
              <w:t>+</w:t>
            </w:r>
          </w:p>
        </w:tc>
        <w:tc>
          <w:tcPr>
            <w:tcW w:w="991" w:type="dxa"/>
            <w:tcBorders>
              <w:top w:val="nil"/>
              <w:left w:val="nil"/>
              <w:right w:val="nil"/>
            </w:tcBorders>
            <w:vAlign w:val="bottom"/>
          </w:tcPr>
          <w:p w14:paraId="1F541C85" w14:textId="708AE30D" w:rsidR="00F6411F" w:rsidRPr="00890BAC" w:rsidRDefault="00F6411F" w:rsidP="00F6411F">
            <w:pPr>
              <w:widowControl w:val="0"/>
              <w:autoSpaceDE w:val="0"/>
              <w:autoSpaceDN w:val="0"/>
              <w:adjustRightInd w:val="0"/>
              <w:ind w:right="-97"/>
              <w:jc w:val="center"/>
              <w:rPr>
                <w:rFonts w:eastAsia="Times New Roman"/>
                <w:color w:val="000000"/>
                <w:sz w:val="18"/>
                <w:szCs w:val="18"/>
              </w:rPr>
            </w:pPr>
            <w:r w:rsidRPr="00890BAC">
              <w:rPr>
                <w:rFonts w:eastAsia="Times New Roman"/>
                <w:color w:val="000000"/>
                <w:sz w:val="18"/>
                <w:szCs w:val="18"/>
              </w:rPr>
              <w:t>0.</w:t>
            </w:r>
            <w:r>
              <w:rPr>
                <w:rFonts w:eastAsia="Times New Roman"/>
                <w:color w:val="000000"/>
                <w:sz w:val="18"/>
                <w:szCs w:val="18"/>
              </w:rPr>
              <w:t>1380</w:t>
            </w:r>
            <w:r w:rsidRPr="00890BAC">
              <w:rPr>
                <w:rFonts w:eastAsia="Times New Roman"/>
                <w:color w:val="000000"/>
                <w:sz w:val="18"/>
                <w:szCs w:val="18"/>
              </w:rPr>
              <w:t>***</w:t>
            </w:r>
          </w:p>
        </w:tc>
        <w:tc>
          <w:tcPr>
            <w:tcW w:w="991" w:type="dxa"/>
            <w:gridSpan w:val="2"/>
            <w:tcBorders>
              <w:top w:val="nil"/>
              <w:left w:val="nil"/>
              <w:right w:val="nil"/>
            </w:tcBorders>
            <w:vAlign w:val="bottom"/>
          </w:tcPr>
          <w:p w14:paraId="78D6D535" w14:textId="1B35558C" w:rsidR="00F6411F" w:rsidRPr="00890BAC" w:rsidRDefault="00F6411F" w:rsidP="00F6411F">
            <w:pPr>
              <w:widowControl w:val="0"/>
              <w:autoSpaceDE w:val="0"/>
              <w:autoSpaceDN w:val="0"/>
              <w:adjustRightInd w:val="0"/>
              <w:ind w:right="-97"/>
              <w:jc w:val="center"/>
              <w:rPr>
                <w:rFonts w:eastAsia="Times New Roman"/>
                <w:color w:val="000000"/>
                <w:sz w:val="18"/>
                <w:szCs w:val="18"/>
              </w:rPr>
            </w:pPr>
            <w:r w:rsidRPr="00890BAC">
              <w:rPr>
                <w:rFonts w:eastAsia="Times New Roman"/>
                <w:color w:val="000000"/>
                <w:sz w:val="18"/>
                <w:szCs w:val="18"/>
              </w:rPr>
              <w:t>0.</w:t>
            </w:r>
            <w:r>
              <w:rPr>
                <w:rFonts w:eastAsia="Times New Roman"/>
                <w:color w:val="000000"/>
                <w:sz w:val="18"/>
                <w:szCs w:val="18"/>
              </w:rPr>
              <w:t>1380</w:t>
            </w:r>
            <w:r w:rsidRPr="00890BAC">
              <w:rPr>
                <w:rFonts w:eastAsia="Times New Roman"/>
                <w:color w:val="000000"/>
                <w:sz w:val="18"/>
                <w:szCs w:val="18"/>
              </w:rPr>
              <w:t>***</w:t>
            </w:r>
          </w:p>
        </w:tc>
        <w:tc>
          <w:tcPr>
            <w:tcW w:w="991" w:type="dxa"/>
            <w:gridSpan w:val="2"/>
            <w:tcBorders>
              <w:top w:val="nil"/>
              <w:left w:val="nil"/>
              <w:right w:val="nil"/>
            </w:tcBorders>
            <w:vAlign w:val="bottom"/>
          </w:tcPr>
          <w:p w14:paraId="079BE903" w14:textId="681F9E05" w:rsidR="00F6411F" w:rsidRPr="000B49F3" w:rsidRDefault="00F6411F" w:rsidP="00F6411F">
            <w:pPr>
              <w:widowControl w:val="0"/>
              <w:autoSpaceDE w:val="0"/>
              <w:autoSpaceDN w:val="0"/>
              <w:adjustRightInd w:val="0"/>
              <w:ind w:right="-97"/>
              <w:jc w:val="center"/>
              <w:rPr>
                <w:sz w:val="18"/>
                <w:szCs w:val="18"/>
              </w:rPr>
            </w:pPr>
            <w:r w:rsidRPr="00890BAC">
              <w:rPr>
                <w:rFonts w:eastAsia="Times New Roman"/>
                <w:color w:val="000000"/>
                <w:sz w:val="18"/>
                <w:szCs w:val="18"/>
              </w:rPr>
              <w:t>0.</w:t>
            </w:r>
            <w:r>
              <w:rPr>
                <w:rFonts w:eastAsia="Times New Roman"/>
                <w:color w:val="000000"/>
                <w:sz w:val="18"/>
                <w:szCs w:val="18"/>
              </w:rPr>
              <w:t>1275</w:t>
            </w:r>
            <w:r w:rsidRPr="00890BAC">
              <w:rPr>
                <w:rFonts w:eastAsia="Times New Roman"/>
                <w:color w:val="000000"/>
                <w:sz w:val="18"/>
                <w:szCs w:val="18"/>
              </w:rPr>
              <w:t>***</w:t>
            </w:r>
          </w:p>
        </w:tc>
        <w:tc>
          <w:tcPr>
            <w:tcW w:w="977" w:type="dxa"/>
            <w:gridSpan w:val="2"/>
            <w:tcBorders>
              <w:top w:val="nil"/>
              <w:left w:val="nil"/>
              <w:right w:val="nil"/>
            </w:tcBorders>
            <w:vAlign w:val="bottom"/>
          </w:tcPr>
          <w:p w14:paraId="0346CD25" w14:textId="1FFE0E92" w:rsidR="00F6411F" w:rsidRPr="000B49F3" w:rsidRDefault="00F6411F" w:rsidP="00F6411F">
            <w:pPr>
              <w:widowControl w:val="0"/>
              <w:autoSpaceDE w:val="0"/>
              <w:autoSpaceDN w:val="0"/>
              <w:adjustRightInd w:val="0"/>
              <w:ind w:right="-100"/>
              <w:jc w:val="center"/>
              <w:rPr>
                <w:sz w:val="18"/>
                <w:szCs w:val="18"/>
              </w:rPr>
            </w:pPr>
            <w:r w:rsidRPr="00890BAC">
              <w:rPr>
                <w:rFonts w:eastAsia="Times New Roman"/>
                <w:color w:val="000000"/>
                <w:sz w:val="18"/>
                <w:szCs w:val="18"/>
              </w:rPr>
              <w:t>0.</w:t>
            </w:r>
            <w:r>
              <w:rPr>
                <w:rFonts w:eastAsia="Times New Roman"/>
                <w:color w:val="000000"/>
                <w:sz w:val="18"/>
                <w:szCs w:val="18"/>
              </w:rPr>
              <w:t>1277</w:t>
            </w:r>
            <w:r w:rsidRPr="00890BAC">
              <w:rPr>
                <w:rFonts w:eastAsia="Times New Roman"/>
                <w:color w:val="000000"/>
                <w:sz w:val="18"/>
                <w:szCs w:val="18"/>
              </w:rPr>
              <w:t>***</w:t>
            </w:r>
          </w:p>
        </w:tc>
        <w:tc>
          <w:tcPr>
            <w:tcW w:w="971" w:type="dxa"/>
            <w:gridSpan w:val="2"/>
            <w:tcBorders>
              <w:top w:val="nil"/>
              <w:left w:val="nil"/>
              <w:right w:val="nil"/>
            </w:tcBorders>
            <w:vAlign w:val="bottom"/>
          </w:tcPr>
          <w:p w14:paraId="4E38A8A2" w14:textId="7081A7F7" w:rsidR="00F6411F" w:rsidRPr="000B49F3" w:rsidRDefault="00F6411F" w:rsidP="00F6411F">
            <w:pPr>
              <w:widowControl w:val="0"/>
              <w:autoSpaceDE w:val="0"/>
              <w:autoSpaceDN w:val="0"/>
              <w:adjustRightInd w:val="0"/>
              <w:ind w:right="-117"/>
              <w:jc w:val="center"/>
              <w:rPr>
                <w:sz w:val="18"/>
                <w:szCs w:val="18"/>
              </w:rPr>
            </w:pPr>
            <w:r w:rsidRPr="00890BAC">
              <w:rPr>
                <w:rFonts w:eastAsia="Times New Roman"/>
                <w:color w:val="000000"/>
                <w:sz w:val="18"/>
                <w:szCs w:val="18"/>
              </w:rPr>
              <w:t>0.</w:t>
            </w:r>
            <w:r>
              <w:rPr>
                <w:rFonts w:eastAsia="Times New Roman"/>
                <w:color w:val="000000"/>
                <w:sz w:val="18"/>
                <w:szCs w:val="18"/>
              </w:rPr>
              <w:t>1244</w:t>
            </w:r>
            <w:r w:rsidRPr="00890BAC">
              <w:rPr>
                <w:rFonts w:eastAsia="Times New Roman"/>
                <w:color w:val="000000"/>
                <w:sz w:val="18"/>
                <w:szCs w:val="18"/>
              </w:rPr>
              <w:t>***</w:t>
            </w:r>
          </w:p>
        </w:tc>
        <w:tc>
          <w:tcPr>
            <w:tcW w:w="929" w:type="dxa"/>
            <w:gridSpan w:val="2"/>
            <w:tcBorders>
              <w:top w:val="nil"/>
              <w:left w:val="nil"/>
              <w:right w:val="nil"/>
            </w:tcBorders>
            <w:vAlign w:val="bottom"/>
          </w:tcPr>
          <w:p w14:paraId="6EAA1E6D" w14:textId="3915A006" w:rsidR="00F6411F" w:rsidRPr="000B49F3" w:rsidRDefault="00F6411F" w:rsidP="00F6411F">
            <w:pPr>
              <w:widowControl w:val="0"/>
              <w:autoSpaceDE w:val="0"/>
              <w:autoSpaceDN w:val="0"/>
              <w:adjustRightInd w:val="0"/>
              <w:ind w:right="-117"/>
              <w:jc w:val="center"/>
              <w:rPr>
                <w:sz w:val="18"/>
                <w:szCs w:val="18"/>
              </w:rPr>
            </w:pPr>
            <w:r w:rsidRPr="00890BAC">
              <w:rPr>
                <w:rFonts w:eastAsia="Times New Roman"/>
                <w:color w:val="000000"/>
                <w:sz w:val="18"/>
                <w:szCs w:val="18"/>
              </w:rPr>
              <w:t>0.</w:t>
            </w:r>
            <w:r>
              <w:rPr>
                <w:rFonts w:eastAsia="Times New Roman"/>
                <w:color w:val="000000"/>
                <w:sz w:val="18"/>
                <w:szCs w:val="18"/>
              </w:rPr>
              <w:t>1245</w:t>
            </w:r>
            <w:r w:rsidRPr="00890BAC">
              <w:rPr>
                <w:rFonts w:eastAsia="Times New Roman"/>
                <w:color w:val="000000"/>
                <w:sz w:val="18"/>
                <w:szCs w:val="18"/>
              </w:rPr>
              <w:t>***</w:t>
            </w:r>
          </w:p>
        </w:tc>
        <w:tc>
          <w:tcPr>
            <w:tcW w:w="994" w:type="dxa"/>
            <w:gridSpan w:val="2"/>
            <w:tcBorders>
              <w:top w:val="nil"/>
              <w:left w:val="nil"/>
              <w:right w:val="nil"/>
            </w:tcBorders>
            <w:vAlign w:val="bottom"/>
          </w:tcPr>
          <w:p w14:paraId="0F5E28B2" w14:textId="0DA8D23C" w:rsidR="00F6411F" w:rsidRPr="000B49F3" w:rsidRDefault="00F6411F" w:rsidP="00F6411F">
            <w:pPr>
              <w:widowControl w:val="0"/>
              <w:autoSpaceDE w:val="0"/>
              <w:autoSpaceDN w:val="0"/>
              <w:adjustRightInd w:val="0"/>
              <w:ind w:right="-117"/>
              <w:jc w:val="center"/>
              <w:rPr>
                <w:rFonts w:eastAsia="Times New Roman"/>
                <w:color w:val="000000"/>
                <w:sz w:val="18"/>
                <w:szCs w:val="18"/>
              </w:rPr>
            </w:pPr>
            <w:r w:rsidRPr="00890BAC">
              <w:rPr>
                <w:rFonts w:eastAsia="Times New Roman"/>
                <w:color w:val="000000"/>
                <w:sz w:val="18"/>
                <w:szCs w:val="18"/>
              </w:rPr>
              <w:t>0.</w:t>
            </w:r>
            <w:r>
              <w:rPr>
                <w:rFonts w:eastAsia="Times New Roman"/>
                <w:color w:val="000000"/>
                <w:sz w:val="18"/>
                <w:szCs w:val="18"/>
              </w:rPr>
              <w:t>1054</w:t>
            </w:r>
            <w:r w:rsidRPr="00890BAC">
              <w:rPr>
                <w:rFonts w:eastAsia="Times New Roman"/>
                <w:color w:val="000000"/>
                <w:sz w:val="18"/>
                <w:szCs w:val="18"/>
              </w:rPr>
              <w:t>***</w:t>
            </w:r>
          </w:p>
        </w:tc>
        <w:tc>
          <w:tcPr>
            <w:tcW w:w="992" w:type="dxa"/>
            <w:gridSpan w:val="2"/>
            <w:tcBorders>
              <w:top w:val="nil"/>
              <w:left w:val="nil"/>
              <w:right w:val="nil"/>
            </w:tcBorders>
            <w:vAlign w:val="bottom"/>
          </w:tcPr>
          <w:p w14:paraId="2A4BFA20" w14:textId="20960949" w:rsidR="00F6411F" w:rsidRPr="000B49F3" w:rsidRDefault="00F6411F" w:rsidP="00F6411F">
            <w:pPr>
              <w:widowControl w:val="0"/>
              <w:autoSpaceDE w:val="0"/>
              <w:autoSpaceDN w:val="0"/>
              <w:adjustRightInd w:val="0"/>
              <w:ind w:right="-117"/>
              <w:jc w:val="center"/>
              <w:rPr>
                <w:rFonts w:eastAsia="Times New Roman"/>
                <w:color w:val="000000"/>
                <w:sz w:val="18"/>
                <w:szCs w:val="18"/>
              </w:rPr>
            </w:pPr>
            <w:r w:rsidRPr="00890BAC">
              <w:rPr>
                <w:rFonts w:eastAsia="Times New Roman"/>
                <w:color w:val="000000"/>
                <w:sz w:val="18"/>
                <w:szCs w:val="18"/>
              </w:rPr>
              <w:t>0.</w:t>
            </w:r>
            <w:r>
              <w:rPr>
                <w:rFonts w:eastAsia="Times New Roman"/>
                <w:color w:val="000000"/>
                <w:sz w:val="18"/>
                <w:szCs w:val="18"/>
              </w:rPr>
              <w:t>1058</w:t>
            </w:r>
            <w:r w:rsidRPr="00890BAC">
              <w:rPr>
                <w:rFonts w:eastAsia="Times New Roman"/>
                <w:color w:val="000000"/>
                <w:sz w:val="18"/>
                <w:szCs w:val="18"/>
              </w:rPr>
              <w:t>***</w:t>
            </w:r>
          </w:p>
        </w:tc>
      </w:tr>
      <w:tr w:rsidR="00F6411F" w:rsidRPr="00C8257C" w14:paraId="47D1D5E3" w14:textId="77777777" w:rsidTr="008F1EE3">
        <w:trPr>
          <w:trHeight w:val="215"/>
          <w:jc w:val="center"/>
        </w:trPr>
        <w:tc>
          <w:tcPr>
            <w:tcW w:w="903" w:type="dxa"/>
            <w:tcBorders>
              <w:left w:val="nil"/>
              <w:right w:val="nil"/>
            </w:tcBorders>
          </w:tcPr>
          <w:p w14:paraId="5FFD38A5" w14:textId="77777777" w:rsidR="00F6411F" w:rsidRPr="00C8257C" w:rsidRDefault="00F6411F" w:rsidP="00F6411F">
            <w:pPr>
              <w:widowControl w:val="0"/>
              <w:autoSpaceDE w:val="0"/>
              <w:autoSpaceDN w:val="0"/>
              <w:adjustRightInd w:val="0"/>
              <w:ind w:right="-117"/>
              <w:rPr>
                <w:i/>
                <w:sz w:val="22"/>
                <w:szCs w:val="22"/>
              </w:rPr>
            </w:pPr>
          </w:p>
        </w:tc>
        <w:tc>
          <w:tcPr>
            <w:tcW w:w="725" w:type="dxa"/>
            <w:tcBorders>
              <w:left w:val="nil"/>
              <w:right w:val="nil"/>
            </w:tcBorders>
          </w:tcPr>
          <w:p w14:paraId="107307E2" w14:textId="77777777" w:rsidR="00F6411F" w:rsidRPr="00C8257C" w:rsidRDefault="00F6411F" w:rsidP="00F6411F">
            <w:pPr>
              <w:widowControl w:val="0"/>
              <w:autoSpaceDE w:val="0"/>
              <w:autoSpaceDN w:val="0"/>
              <w:adjustRightInd w:val="0"/>
              <w:jc w:val="center"/>
              <w:rPr>
                <w:sz w:val="22"/>
                <w:szCs w:val="22"/>
              </w:rPr>
            </w:pPr>
          </w:p>
        </w:tc>
        <w:tc>
          <w:tcPr>
            <w:tcW w:w="991" w:type="dxa"/>
            <w:tcBorders>
              <w:left w:val="nil"/>
              <w:right w:val="nil"/>
            </w:tcBorders>
            <w:vAlign w:val="bottom"/>
          </w:tcPr>
          <w:p w14:paraId="731AF382" w14:textId="36EF05EB" w:rsidR="00F6411F" w:rsidRPr="00890BAC" w:rsidRDefault="00F6411F" w:rsidP="00F6411F">
            <w:pPr>
              <w:widowControl w:val="0"/>
              <w:autoSpaceDE w:val="0"/>
              <w:autoSpaceDN w:val="0"/>
              <w:adjustRightInd w:val="0"/>
              <w:ind w:right="-97"/>
              <w:jc w:val="center"/>
              <w:rPr>
                <w:rFonts w:eastAsia="Times New Roman"/>
                <w:color w:val="000000"/>
                <w:sz w:val="18"/>
                <w:szCs w:val="18"/>
              </w:rPr>
            </w:pPr>
            <w:r w:rsidRPr="00890BAC">
              <w:rPr>
                <w:rFonts w:eastAsia="Times New Roman"/>
                <w:color w:val="000000"/>
                <w:sz w:val="18"/>
                <w:szCs w:val="18"/>
              </w:rPr>
              <w:t>(</w:t>
            </w:r>
            <w:r>
              <w:rPr>
                <w:rFonts w:eastAsia="Times New Roman"/>
                <w:color w:val="000000"/>
                <w:sz w:val="18"/>
                <w:szCs w:val="18"/>
              </w:rPr>
              <w:t>10.3725</w:t>
            </w:r>
            <w:r w:rsidRPr="00890BAC">
              <w:rPr>
                <w:rFonts w:eastAsia="Times New Roman"/>
                <w:color w:val="000000"/>
                <w:sz w:val="18"/>
                <w:szCs w:val="18"/>
              </w:rPr>
              <w:t>)</w:t>
            </w:r>
          </w:p>
        </w:tc>
        <w:tc>
          <w:tcPr>
            <w:tcW w:w="991" w:type="dxa"/>
            <w:gridSpan w:val="2"/>
            <w:tcBorders>
              <w:left w:val="nil"/>
              <w:right w:val="nil"/>
            </w:tcBorders>
            <w:vAlign w:val="bottom"/>
          </w:tcPr>
          <w:p w14:paraId="6BFCBC82" w14:textId="0AC2DE64" w:rsidR="00F6411F" w:rsidRPr="00890BAC" w:rsidRDefault="00F6411F" w:rsidP="00F6411F">
            <w:pPr>
              <w:widowControl w:val="0"/>
              <w:autoSpaceDE w:val="0"/>
              <w:autoSpaceDN w:val="0"/>
              <w:adjustRightInd w:val="0"/>
              <w:ind w:right="-97"/>
              <w:jc w:val="center"/>
              <w:rPr>
                <w:rFonts w:eastAsia="Times New Roman"/>
                <w:color w:val="000000"/>
                <w:sz w:val="18"/>
                <w:szCs w:val="18"/>
              </w:rPr>
            </w:pPr>
            <w:r w:rsidRPr="00890BAC">
              <w:rPr>
                <w:rFonts w:eastAsia="Times New Roman"/>
                <w:color w:val="000000"/>
                <w:sz w:val="18"/>
                <w:szCs w:val="18"/>
              </w:rPr>
              <w:t>(</w:t>
            </w:r>
            <w:r>
              <w:rPr>
                <w:rFonts w:eastAsia="Times New Roman"/>
                <w:color w:val="000000"/>
                <w:sz w:val="18"/>
                <w:szCs w:val="18"/>
              </w:rPr>
              <w:t>10.3793</w:t>
            </w:r>
            <w:r w:rsidRPr="00890BAC">
              <w:rPr>
                <w:rFonts w:eastAsia="Times New Roman"/>
                <w:color w:val="000000"/>
                <w:sz w:val="18"/>
                <w:szCs w:val="18"/>
              </w:rPr>
              <w:t>)</w:t>
            </w:r>
          </w:p>
        </w:tc>
        <w:tc>
          <w:tcPr>
            <w:tcW w:w="991" w:type="dxa"/>
            <w:gridSpan w:val="2"/>
            <w:tcBorders>
              <w:left w:val="nil"/>
              <w:right w:val="nil"/>
            </w:tcBorders>
            <w:vAlign w:val="bottom"/>
          </w:tcPr>
          <w:p w14:paraId="280218D5" w14:textId="70DA69E2" w:rsidR="00F6411F" w:rsidRPr="000B49F3" w:rsidRDefault="00F6411F" w:rsidP="00F6411F">
            <w:pPr>
              <w:widowControl w:val="0"/>
              <w:autoSpaceDE w:val="0"/>
              <w:autoSpaceDN w:val="0"/>
              <w:adjustRightInd w:val="0"/>
              <w:ind w:right="-97"/>
              <w:jc w:val="center"/>
              <w:rPr>
                <w:sz w:val="18"/>
                <w:szCs w:val="18"/>
              </w:rPr>
            </w:pPr>
            <w:r w:rsidRPr="00890BAC">
              <w:rPr>
                <w:rFonts w:eastAsia="Times New Roman"/>
                <w:color w:val="000000"/>
                <w:sz w:val="18"/>
                <w:szCs w:val="18"/>
              </w:rPr>
              <w:t>(1</w:t>
            </w:r>
            <w:r>
              <w:rPr>
                <w:rFonts w:eastAsia="Times New Roman"/>
                <w:color w:val="000000"/>
                <w:sz w:val="18"/>
                <w:szCs w:val="18"/>
              </w:rPr>
              <w:t>0.4074</w:t>
            </w:r>
            <w:r w:rsidRPr="00890BAC">
              <w:rPr>
                <w:rFonts w:eastAsia="Times New Roman"/>
                <w:color w:val="000000"/>
                <w:sz w:val="18"/>
                <w:szCs w:val="18"/>
              </w:rPr>
              <w:t>)</w:t>
            </w:r>
          </w:p>
        </w:tc>
        <w:tc>
          <w:tcPr>
            <w:tcW w:w="977" w:type="dxa"/>
            <w:gridSpan w:val="2"/>
            <w:tcBorders>
              <w:left w:val="nil"/>
              <w:right w:val="nil"/>
            </w:tcBorders>
            <w:vAlign w:val="bottom"/>
          </w:tcPr>
          <w:p w14:paraId="737F71E7" w14:textId="061CEEDA" w:rsidR="00F6411F" w:rsidRPr="000B49F3" w:rsidRDefault="00F6411F" w:rsidP="00F6411F">
            <w:pPr>
              <w:widowControl w:val="0"/>
              <w:autoSpaceDE w:val="0"/>
              <w:autoSpaceDN w:val="0"/>
              <w:adjustRightInd w:val="0"/>
              <w:ind w:right="-100"/>
              <w:jc w:val="center"/>
              <w:rPr>
                <w:sz w:val="18"/>
                <w:szCs w:val="18"/>
              </w:rPr>
            </w:pPr>
            <w:r w:rsidRPr="00890BAC">
              <w:rPr>
                <w:rFonts w:eastAsia="Times New Roman"/>
                <w:color w:val="000000"/>
                <w:sz w:val="18"/>
                <w:szCs w:val="18"/>
              </w:rPr>
              <w:t>(1</w:t>
            </w:r>
            <w:r>
              <w:rPr>
                <w:rFonts w:eastAsia="Times New Roman"/>
                <w:color w:val="000000"/>
                <w:sz w:val="18"/>
                <w:szCs w:val="18"/>
              </w:rPr>
              <w:t>0.4196</w:t>
            </w:r>
            <w:r w:rsidRPr="00890BAC">
              <w:rPr>
                <w:rFonts w:eastAsia="Times New Roman"/>
                <w:color w:val="000000"/>
                <w:sz w:val="18"/>
                <w:szCs w:val="18"/>
              </w:rPr>
              <w:t>)</w:t>
            </w:r>
          </w:p>
        </w:tc>
        <w:tc>
          <w:tcPr>
            <w:tcW w:w="971" w:type="dxa"/>
            <w:gridSpan w:val="2"/>
            <w:tcBorders>
              <w:left w:val="nil"/>
              <w:right w:val="nil"/>
            </w:tcBorders>
            <w:vAlign w:val="bottom"/>
          </w:tcPr>
          <w:p w14:paraId="7B41928A" w14:textId="1F03DC77" w:rsidR="00F6411F" w:rsidRPr="000B49F3" w:rsidRDefault="00F6411F" w:rsidP="00F6411F">
            <w:pPr>
              <w:widowControl w:val="0"/>
              <w:autoSpaceDE w:val="0"/>
              <w:autoSpaceDN w:val="0"/>
              <w:adjustRightInd w:val="0"/>
              <w:ind w:right="-117"/>
              <w:jc w:val="center"/>
              <w:rPr>
                <w:sz w:val="18"/>
                <w:szCs w:val="18"/>
              </w:rPr>
            </w:pPr>
            <w:r w:rsidRPr="00890BAC">
              <w:rPr>
                <w:rFonts w:eastAsia="Times New Roman"/>
                <w:color w:val="000000"/>
                <w:sz w:val="18"/>
                <w:szCs w:val="18"/>
              </w:rPr>
              <w:t>(1</w:t>
            </w:r>
            <w:r>
              <w:rPr>
                <w:rFonts w:eastAsia="Times New Roman"/>
                <w:color w:val="000000"/>
                <w:sz w:val="18"/>
                <w:szCs w:val="18"/>
              </w:rPr>
              <w:t>0.1291</w:t>
            </w:r>
            <w:r w:rsidRPr="00890BAC">
              <w:rPr>
                <w:rFonts w:eastAsia="Times New Roman"/>
                <w:color w:val="000000"/>
                <w:sz w:val="18"/>
                <w:szCs w:val="18"/>
              </w:rPr>
              <w:t>)</w:t>
            </w:r>
          </w:p>
        </w:tc>
        <w:tc>
          <w:tcPr>
            <w:tcW w:w="929" w:type="dxa"/>
            <w:gridSpan w:val="2"/>
            <w:tcBorders>
              <w:left w:val="nil"/>
              <w:right w:val="nil"/>
            </w:tcBorders>
            <w:vAlign w:val="bottom"/>
          </w:tcPr>
          <w:p w14:paraId="1D9FC06E" w14:textId="722D8EB4" w:rsidR="00F6411F" w:rsidRPr="000B49F3" w:rsidRDefault="00F6411F" w:rsidP="00F6411F">
            <w:pPr>
              <w:widowControl w:val="0"/>
              <w:autoSpaceDE w:val="0"/>
              <w:autoSpaceDN w:val="0"/>
              <w:adjustRightInd w:val="0"/>
              <w:ind w:right="-117"/>
              <w:jc w:val="center"/>
              <w:rPr>
                <w:sz w:val="18"/>
                <w:szCs w:val="18"/>
              </w:rPr>
            </w:pPr>
            <w:r w:rsidRPr="00890BAC">
              <w:rPr>
                <w:rFonts w:eastAsia="Times New Roman"/>
                <w:color w:val="000000"/>
                <w:sz w:val="18"/>
                <w:szCs w:val="18"/>
              </w:rPr>
              <w:t>(1</w:t>
            </w:r>
            <w:r>
              <w:rPr>
                <w:rFonts w:eastAsia="Times New Roman"/>
                <w:color w:val="000000"/>
                <w:sz w:val="18"/>
                <w:szCs w:val="18"/>
              </w:rPr>
              <w:t>0.1434</w:t>
            </w:r>
            <w:r w:rsidRPr="00890BAC">
              <w:rPr>
                <w:rFonts w:eastAsia="Times New Roman"/>
                <w:color w:val="000000"/>
                <w:sz w:val="18"/>
                <w:szCs w:val="18"/>
              </w:rPr>
              <w:t>)</w:t>
            </w:r>
          </w:p>
        </w:tc>
        <w:tc>
          <w:tcPr>
            <w:tcW w:w="994" w:type="dxa"/>
            <w:gridSpan w:val="2"/>
            <w:tcBorders>
              <w:left w:val="nil"/>
              <w:right w:val="nil"/>
            </w:tcBorders>
            <w:vAlign w:val="bottom"/>
          </w:tcPr>
          <w:p w14:paraId="14A5FF06" w14:textId="58C8888C" w:rsidR="00F6411F" w:rsidRPr="000B49F3" w:rsidRDefault="00F6411F" w:rsidP="00F6411F">
            <w:pPr>
              <w:widowControl w:val="0"/>
              <w:autoSpaceDE w:val="0"/>
              <w:autoSpaceDN w:val="0"/>
              <w:adjustRightInd w:val="0"/>
              <w:ind w:right="-117"/>
              <w:jc w:val="center"/>
              <w:rPr>
                <w:rFonts w:eastAsia="Times New Roman"/>
                <w:color w:val="000000"/>
                <w:sz w:val="18"/>
                <w:szCs w:val="18"/>
              </w:rPr>
            </w:pPr>
            <w:r w:rsidRPr="00890BAC">
              <w:rPr>
                <w:rFonts w:eastAsia="Times New Roman"/>
                <w:color w:val="000000"/>
                <w:sz w:val="18"/>
                <w:szCs w:val="18"/>
              </w:rPr>
              <w:t>(</w:t>
            </w:r>
            <w:r>
              <w:rPr>
                <w:rFonts w:eastAsia="Times New Roman"/>
                <w:color w:val="000000"/>
                <w:sz w:val="18"/>
                <w:szCs w:val="18"/>
              </w:rPr>
              <w:t>8.5721</w:t>
            </w:r>
            <w:r w:rsidRPr="00890BAC">
              <w:rPr>
                <w:rFonts w:eastAsia="Times New Roman"/>
                <w:color w:val="000000"/>
                <w:sz w:val="18"/>
                <w:szCs w:val="18"/>
              </w:rPr>
              <w:t>)</w:t>
            </w:r>
          </w:p>
        </w:tc>
        <w:tc>
          <w:tcPr>
            <w:tcW w:w="992" w:type="dxa"/>
            <w:gridSpan w:val="2"/>
            <w:tcBorders>
              <w:left w:val="nil"/>
              <w:right w:val="nil"/>
            </w:tcBorders>
            <w:vAlign w:val="bottom"/>
          </w:tcPr>
          <w:p w14:paraId="3F355276" w14:textId="202B5820" w:rsidR="00F6411F" w:rsidRPr="000B49F3" w:rsidRDefault="00F6411F" w:rsidP="00F6411F">
            <w:pPr>
              <w:widowControl w:val="0"/>
              <w:autoSpaceDE w:val="0"/>
              <w:autoSpaceDN w:val="0"/>
              <w:adjustRightInd w:val="0"/>
              <w:ind w:right="-117"/>
              <w:jc w:val="center"/>
              <w:rPr>
                <w:rFonts w:eastAsia="Times New Roman"/>
                <w:color w:val="000000"/>
                <w:sz w:val="18"/>
                <w:szCs w:val="18"/>
              </w:rPr>
            </w:pPr>
            <w:r w:rsidRPr="00890BAC">
              <w:rPr>
                <w:rFonts w:eastAsia="Times New Roman"/>
                <w:color w:val="000000"/>
                <w:sz w:val="18"/>
                <w:szCs w:val="18"/>
              </w:rPr>
              <w:t>(</w:t>
            </w:r>
            <w:r>
              <w:rPr>
                <w:rFonts w:eastAsia="Times New Roman"/>
                <w:color w:val="000000"/>
                <w:sz w:val="18"/>
                <w:szCs w:val="18"/>
              </w:rPr>
              <w:t>8.5995</w:t>
            </w:r>
            <w:r w:rsidRPr="00890BAC">
              <w:rPr>
                <w:rFonts w:eastAsia="Times New Roman"/>
                <w:color w:val="000000"/>
                <w:sz w:val="18"/>
                <w:szCs w:val="18"/>
              </w:rPr>
              <w:t>)</w:t>
            </w:r>
          </w:p>
        </w:tc>
      </w:tr>
      <w:tr w:rsidR="00890BAC" w:rsidRPr="00C8257C" w14:paraId="58135469" w14:textId="77777777" w:rsidTr="008F1EE3">
        <w:trPr>
          <w:trHeight w:val="215"/>
          <w:jc w:val="center"/>
        </w:trPr>
        <w:tc>
          <w:tcPr>
            <w:tcW w:w="903" w:type="dxa"/>
            <w:tcBorders>
              <w:left w:val="nil"/>
              <w:right w:val="nil"/>
            </w:tcBorders>
          </w:tcPr>
          <w:p w14:paraId="58073C3B" w14:textId="77777777" w:rsidR="00890BAC" w:rsidRPr="00C8257C" w:rsidRDefault="00890BAC" w:rsidP="007B1433">
            <w:pPr>
              <w:widowControl w:val="0"/>
              <w:autoSpaceDE w:val="0"/>
              <w:autoSpaceDN w:val="0"/>
              <w:adjustRightInd w:val="0"/>
              <w:ind w:right="-117"/>
              <w:rPr>
                <w:i/>
                <w:sz w:val="22"/>
                <w:szCs w:val="22"/>
              </w:rPr>
            </w:pPr>
            <w:r>
              <w:rPr>
                <w:i/>
                <w:sz w:val="22"/>
                <w:szCs w:val="22"/>
              </w:rPr>
              <w:t>G</w:t>
            </w:r>
          </w:p>
        </w:tc>
        <w:tc>
          <w:tcPr>
            <w:tcW w:w="725" w:type="dxa"/>
            <w:tcBorders>
              <w:left w:val="nil"/>
              <w:right w:val="nil"/>
            </w:tcBorders>
          </w:tcPr>
          <w:p w14:paraId="289E8A50" w14:textId="77777777" w:rsidR="00890BAC" w:rsidRPr="00C8257C" w:rsidRDefault="00890BAC" w:rsidP="007B1433">
            <w:pPr>
              <w:widowControl w:val="0"/>
              <w:autoSpaceDE w:val="0"/>
              <w:autoSpaceDN w:val="0"/>
              <w:adjustRightInd w:val="0"/>
              <w:jc w:val="center"/>
              <w:rPr>
                <w:sz w:val="22"/>
                <w:szCs w:val="22"/>
              </w:rPr>
            </w:pPr>
            <w:r>
              <w:rPr>
                <w:sz w:val="22"/>
                <w:szCs w:val="22"/>
              </w:rPr>
              <w:t>+</w:t>
            </w:r>
          </w:p>
        </w:tc>
        <w:tc>
          <w:tcPr>
            <w:tcW w:w="991" w:type="dxa"/>
            <w:tcBorders>
              <w:left w:val="nil"/>
              <w:right w:val="nil"/>
            </w:tcBorders>
            <w:vAlign w:val="bottom"/>
          </w:tcPr>
          <w:p w14:paraId="692BBDF4" w14:textId="77777777" w:rsidR="00890BAC" w:rsidRPr="000B49F3" w:rsidRDefault="00890BAC" w:rsidP="007B1433">
            <w:pPr>
              <w:widowControl w:val="0"/>
              <w:autoSpaceDE w:val="0"/>
              <w:autoSpaceDN w:val="0"/>
              <w:adjustRightInd w:val="0"/>
              <w:ind w:right="-97"/>
              <w:jc w:val="center"/>
              <w:rPr>
                <w:sz w:val="18"/>
                <w:szCs w:val="18"/>
              </w:rPr>
            </w:pPr>
          </w:p>
        </w:tc>
        <w:tc>
          <w:tcPr>
            <w:tcW w:w="991" w:type="dxa"/>
            <w:gridSpan w:val="2"/>
            <w:tcBorders>
              <w:left w:val="nil"/>
              <w:right w:val="nil"/>
            </w:tcBorders>
            <w:vAlign w:val="bottom"/>
          </w:tcPr>
          <w:p w14:paraId="4E23179A" w14:textId="39E0815E" w:rsidR="00890BAC" w:rsidRPr="000B49F3" w:rsidRDefault="00890BAC" w:rsidP="007B1433">
            <w:pPr>
              <w:widowControl w:val="0"/>
              <w:autoSpaceDE w:val="0"/>
              <w:autoSpaceDN w:val="0"/>
              <w:adjustRightInd w:val="0"/>
              <w:ind w:right="-97"/>
              <w:jc w:val="center"/>
              <w:rPr>
                <w:sz w:val="18"/>
                <w:szCs w:val="18"/>
              </w:rPr>
            </w:pPr>
            <w:r w:rsidRPr="00890BAC">
              <w:rPr>
                <w:rFonts w:eastAsia="Times New Roman"/>
                <w:color w:val="000000"/>
                <w:sz w:val="18"/>
                <w:szCs w:val="18"/>
              </w:rPr>
              <w:t>0.000</w:t>
            </w:r>
            <w:r w:rsidR="0095790C">
              <w:rPr>
                <w:rFonts w:eastAsia="Times New Roman"/>
                <w:color w:val="000000"/>
                <w:sz w:val="18"/>
                <w:szCs w:val="18"/>
              </w:rPr>
              <w:t>4</w:t>
            </w:r>
            <w:r w:rsidRPr="00890BAC">
              <w:rPr>
                <w:rFonts w:eastAsia="Times New Roman"/>
                <w:color w:val="000000"/>
                <w:sz w:val="18"/>
                <w:szCs w:val="18"/>
              </w:rPr>
              <w:t>**</w:t>
            </w:r>
          </w:p>
        </w:tc>
        <w:tc>
          <w:tcPr>
            <w:tcW w:w="991" w:type="dxa"/>
            <w:gridSpan w:val="2"/>
            <w:tcBorders>
              <w:left w:val="nil"/>
              <w:right w:val="nil"/>
            </w:tcBorders>
            <w:vAlign w:val="bottom"/>
          </w:tcPr>
          <w:p w14:paraId="652CE199" w14:textId="59D8B1D9" w:rsidR="00890BAC" w:rsidRPr="000B49F3" w:rsidRDefault="00890BAC" w:rsidP="007B1433">
            <w:pPr>
              <w:widowControl w:val="0"/>
              <w:autoSpaceDE w:val="0"/>
              <w:autoSpaceDN w:val="0"/>
              <w:adjustRightInd w:val="0"/>
              <w:ind w:right="-97"/>
              <w:jc w:val="center"/>
              <w:rPr>
                <w:sz w:val="18"/>
                <w:szCs w:val="18"/>
              </w:rPr>
            </w:pPr>
          </w:p>
        </w:tc>
        <w:tc>
          <w:tcPr>
            <w:tcW w:w="977" w:type="dxa"/>
            <w:gridSpan w:val="2"/>
            <w:tcBorders>
              <w:left w:val="nil"/>
              <w:right w:val="nil"/>
            </w:tcBorders>
            <w:vAlign w:val="bottom"/>
          </w:tcPr>
          <w:p w14:paraId="05D78FD0" w14:textId="74CFC066" w:rsidR="00890BAC" w:rsidRPr="000B49F3" w:rsidRDefault="00890BAC" w:rsidP="007B1433">
            <w:pPr>
              <w:widowControl w:val="0"/>
              <w:autoSpaceDE w:val="0"/>
              <w:autoSpaceDN w:val="0"/>
              <w:adjustRightInd w:val="0"/>
              <w:ind w:right="-100"/>
              <w:jc w:val="center"/>
              <w:rPr>
                <w:sz w:val="18"/>
                <w:szCs w:val="18"/>
              </w:rPr>
            </w:pPr>
            <w:r w:rsidRPr="00890BAC">
              <w:rPr>
                <w:rFonts w:eastAsia="Times New Roman"/>
                <w:color w:val="000000"/>
                <w:sz w:val="18"/>
                <w:szCs w:val="18"/>
              </w:rPr>
              <w:t>0.000</w:t>
            </w:r>
            <w:r w:rsidR="0095790C">
              <w:rPr>
                <w:rFonts w:eastAsia="Times New Roman"/>
                <w:color w:val="000000"/>
                <w:sz w:val="18"/>
                <w:szCs w:val="18"/>
              </w:rPr>
              <w:t>4</w:t>
            </w:r>
            <w:r w:rsidRPr="00890BAC">
              <w:rPr>
                <w:rFonts w:eastAsia="Times New Roman"/>
                <w:color w:val="000000"/>
                <w:sz w:val="18"/>
                <w:szCs w:val="18"/>
              </w:rPr>
              <w:t>**</w:t>
            </w:r>
          </w:p>
        </w:tc>
        <w:tc>
          <w:tcPr>
            <w:tcW w:w="971" w:type="dxa"/>
            <w:gridSpan w:val="2"/>
            <w:tcBorders>
              <w:left w:val="nil"/>
              <w:right w:val="nil"/>
            </w:tcBorders>
            <w:vAlign w:val="bottom"/>
          </w:tcPr>
          <w:p w14:paraId="39B4E140" w14:textId="77777777" w:rsidR="00890BAC" w:rsidRPr="000B49F3" w:rsidRDefault="00890BAC" w:rsidP="007B1433">
            <w:pPr>
              <w:widowControl w:val="0"/>
              <w:autoSpaceDE w:val="0"/>
              <w:autoSpaceDN w:val="0"/>
              <w:adjustRightInd w:val="0"/>
              <w:ind w:right="-117"/>
              <w:jc w:val="center"/>
              <w:rPr>
                <w:sz w:val="18"/>
                <w:szCs w:val="18"/>
              </w:rPr>
            </w:pPr>
          </w:p>
        </w:tc>
        <w:tc>
          <w:tcPr>
            <w:tcW w:w="929" w:type="dxa"/>
            <w:gridSpan w:val="2"/>
            <w:tcBorders>
              <w:left w:val="nil"/>
              <w:right w:val="nil"/>
            </w:tcBorders>
            <w:vAlign w:val="bottom"/>
          </w:tcPr>
          <w:p w14:paraId="6B32210D" w14:textId="6114ED4F" w:rsidR="00890BAC" w:rsidRPr="000B49F3" w:rsidRDefault="00890BAC" w:rsidP="007B1433">
            <w:pPr>
              <w:widowControl w:val="0"/>
              <w:autoSpaceDE w:val="0"/>
              <w:autoSpaceDN w:val="0"/>
              <w:adjustRightInd w:val="0"/>
              <w:ind w:right="-117"/>
              <w:jc w:val="center"/>
              <w:rPr>
                <w:sz w:val="18"/>
                <w:szCs w:val="18"/>
              </w:rPr>
            </w:pPr>
            <w:r w:rsidRPr="00890BAC">
              <w:rPr>
                <w:rFonts w:eastAsia="Times New Roman"/>
                <w:color w:val="000000"/>
                <w:sz w:val="18"/>
                <w:szCs w:val="18"/>
              </w:rPr>
              <w:t>0.000</w:t>
            </w:r>
            <w:r w:rsidR="00F6411F">
              <w:rPr>
                <w:rFonts w:eastAsia="Times New Roman"/>
                <w:color w:val="000000"/>
                <w:sz w:val="18"/>
                <w:szCs w:val="18"/>
              </w:rPr>
              <w:t>4</w:t>
            </w:r>
            <w:r w:rsidRPr="00890BAC">
              <w:rPr>
                <w:rFonts w:eastAsia="Times New Roman"/>
                <w:color w:val="000000"/>
                <w:sz w:val="18"/>
                <w:szCs w:val="18"/>
              </w:rPr>
              <w:t>**</w:t>
            </w:r>
          </w:p>
        </w:tc>
        <w:tc>
          <w:tcPr>
            <w:tcW w:w="994" w:type="dxa"/>
            <w:gridSpan w:val="2"/>
            <w:tcBorders>
              <w:left w:val="nil"/>
              <w:right w:val="nil"/>
            </w:tcBorders>
            <w:vAlign w:val="bottom"/>
          </w:tcPr>
          <w:p w14:paraId="7D2AD087" w14:textId="77777777" w:rsidR="00890BAC" w:rsidRPr="000B49F3" w:rsidRDefault="00890BAC" w:rsidP="007B1433">
            <w:pPr>
              <w:widowControl w:val="0"/>
              <w:autoSpaceDE w:val="0"/>
              <w:autoSpaceDN w:val="0"/>
              <w:adjustRightInd w:val="0"/>
              <w:ind w:right="-117"/>
              <w:jc w:val="center"/>
              <w:rPr>
                <w:rFonts w:eastAsia="Times New Roman"/>
                <w:color w:val="000000"/>
                <w:sz w:val="18"/>
                <w:szCs w:val="18"/>
              </w:rPr>
            </w:pPr>
          </w:p>
        </w:tc>
        <w:tc>
          <w:tcPr>
            <w:tcW w:w="992" w:type="dxa"/>
            <w:gridSpan w:val="2"/>
            <w:tcBorders>
              <w:left w:val="nil"/>
              <w:right w:val="nil"/>
            </w:tcBorders>
            <w:vAlign w:val="bottom"/>
          </w:tcPr>
          <w:p w14:paraId="6E8EBEF4" w14:textId="7AE0CB09" w:rsidR="00890BAC" w:rsidRPr="000B49F3" w:rsidRDefault="00890BAC" w:rsidP="007B1433">
            <w:pPr>
              <w:widowControl w:val="0"/>
              <w:autoSpaceDE w:val="0"/>
              <w:autoSpaceDN w:val="0"/>
              <w:adjustRightInd w:val="0"/>
              <w:ind w:right="-117"/>
              <w:jc w:val="center"/>
              <w:rPr>
                <w:rFonts w:eastAsia="Times New Roman"/>
                <w:color w:val="000000"/>
                <w:sz w:val="18"/>
                <w:szCs w:val="18"/>
              </w:rPr>
            </w:pPr>
            <w:r w:rsidRPr="00890BAC">
              <w:rPr>
                <w:rFonts w:eastAsia="Times New Roman"/>
                <w:color w:val="000000"/>
                <w:sz w:val="18"/>
                <w:szCs w:val="18"/>
              </w:rPr>
              <w:t>0.00</w:t>
            </w:r>
            <w:r w:rsidR="00F6411F">
              <w:rPr>
                <w:rFonts w:eastAsia="Times New Roman"/>
                <w:color w:val="000000"/>
                <w:sz w:val="18"/>
                <w:szCs w:val="18"/>
              </w:rPr>
              <w:t>05</w:t>
            </w:r>
            <w:r w:rsidRPr="00890BAC">
              <w:rPr>
                <w:rFonts w:eastAsia="Times New Roman"/>
                <w:color w:val="000000"/>
                <w:sz w:val="18"/>
                <w:szCs w:val="18"/>
              </w:rPr>
              <w:t>*</w:t>
            </w:r>
            <w:r w:rsidR="00F6411F">
              <w:rPr>
                <w:rFonts w:eastAsia="Times New Roman"/>
                <w:color w:val="000000"/>
                <w:sz w:val="18"/>
                <w:szCs w:val="18"/>
              </w:rPr>
              <w:t>*</w:t>
            </w:r>
            <w:r w:rsidRPr="00890BAC">
              <w:rPr>
                <w:rFonts w:eastAsia="Times New Roman"/>
                <w:color w:val="000000"/>
                <w:sz w:val="18"/>
                <w:szCs w:val="18"/>
              </w:rPr>
              <w:t>*</w:t>
            </w:r>
          </w:p>
        </w:tc>
      </w:tr>
      <w:tr w:rsidR="00890BAC" w:rsidRPr="00C8257C" w14:paraId="40B96292" w14:textId="77777777" w:rsidTr="008F1EE3">
        <w:trPr>
          <w:trHeight w:val="215"/>
          <w:jc w:val="center"/>
        </w:trPr>
        <w:tc>
          <w:tcPr>
            <w:tcW w:w="903" w:type="dxa"/>
            <w:tcBorders>
              <w:left w:val="nil"/>
              <w:right w:val="nil"/>
            </w:tcBorders>
          </w:tcPr>
          <w:p w14:paraId="789A3794" w14:textId="77777777" w:rsidR="00890BAC" w:rsidRPr="00C8257C" w:rsidRDefault="00890BAC" w:rsidP="007B1433">
            <w:pPr>
              <w:widowControl w:val="0"/>
              <w:autoSpaceDE w:val="0"/>
              <w:autoSpaceDN w:val="0"/>
              <w:adjustRightInd w:val="0"/>
              <w:ind w:right="-117"/>
              <w:rPr>
                <w:i/>
                <w:sz w:val="22"/>
                <w:szCs w:val="22"/>
              </w:rPr>
            </w:pPr>
          </w:p>
        </w:tc>
        <w:tc>
          <w:tcPr>
            <w:tcW w:w="725" w:type="dxa"/>
            <w:tcBorders>
              <w:left w:val="nil"/>
              <w:right w:val="nil"/>
            </w:tcBorders>
          </w:tcPr>
          <w:p w14:paraId="4F531722" w14:textId="77777777" w:rsidR="00890BAC" w:rsidRPr="00C8257C" w:rsidRDefault="00890BAC" w:rsidP="007B1433">
            <w:pPr>
              <w:widowControl w:val="0"/>
              <w:autoSpaceDE w:val="0"/>
              <w:autoSpaceDN w:val="0"/>
              <w:adjustRightInd w:val="0"/>
              <w:jc w:val="center"/>
              <w:rPr>
                <w:sz w:val="22"/>
                <w:szCs w:val="22"/>
              </w:rPr>
            </w:pPr>
          </w:p>
        </w:tc>
        <w:tc>
          <w:tcPr>
            <w:tcW w:w="991" w:type="dxa"/>
            <w:tcBorders>
              <w:left w:val="nil"/>
              <w:right w:val="nil"/>
            </w:tcBorders>
            <w:vAlign w:val="bottom"/>
          </w:tcPr>
          <w:p w14:paraId="35A6676F" w14:textId="77777777" w:rsidR="00890BAC" w:rsidRPr="000B49F3" w:rsidRDefault="00890BAC" w:rsidP="007B1433">
            <w:pPr>
              <w:widowControl w:val="0"/>
              <w:autoSpaceDE w:val="0"/>
              <w:autoSpaceDN w:val="0"/>
              <w:adjustRightInd w:val="0"/>
              <w:ind w:right="-97"/>
              <w:jc w:val="center"/>
              <w:rPr>
                <w:sz w:val="18"/>
                <w:szCs w:val="18"/>
              </w:rPr>
            </w:pPr>
          </w:p>
        </w:tc>
        <w:tc>
          <w:tcPr>
            <w:tcW w:w="991" w:type="dxa"/>
            <w:gridSpan w:val="2"/>
            <w:tcBorders>
              <w:left w:val="nil"/>
              <w:right w:val="nil"/>
            </w:tcBorders>
            <w:vAlign w:val="bottom"/>
          </w:tcPr>
          <w:p w14:paraId="4BDAF027" w14:textId="1CDA0238" w:rsidR="00890BAC" w:rsidRPr="000B49F3" w:rsidRDefault="00890BAC" w:rsidP="007B1433">
            <w:pPr>
              <w:widowControl w:val="0"/>
              <w:autoSpaceDE w:val="0"/>
              <w:autoSpaceDN w:val="0"/>
              <w:adjustRightInd w:val="0"/>
              <w:ind w:right="-97"/>
              <w:jc w:val="center"/>
              <w:rPr>
                <w:sz w:val="18"/>
                <w:szCs w:val="18"/>
              </w:rPr>
            </w:pPr>
            <w:r w:rsidRPr="00890BAC">
              <w:rPr>
                <w:rFonts w:eastAsia="Times New Roman"/>
                <w:color w:val="000000"/>
                <w:sz w:val="18"/>
                <w:szCs w:val="18"/>
              </w:rPr>
              <w:t>(1.77</w:t>
            </w:r>
            <w:r w:rsidR="0095790C">
              <w:rPr>
                <w:rFonts w:eastAsia="Times New Roman"/>
                <w:color w:val="000000"/>
                <w:sz w:val="18"/>
                <w:szCs w:val="18"/>
              </w:rPr>
              <w:t>03</w:t>
            </w:r>
            <w:r w:rsidRPr="00890BAC">
              <w:rPr>
                <w:rFonts w:eastAsia="Times New Roman"/>
                <w:color w:val="000000"/>
                <w:sz w:val="18"/>
                <w:szCs w:val="18"/>
              </w:rPr>
              <w:t>)</w:t>
            </w:r>
          </w:p>
        </w:tc>
        <w:tc>
          <w:tcPr>
            <w:tcW w:w="991" w:type="dxa"/>
            <w:gridSpan w:val="2"/>
            <w:tcBorders>
              <w:left w:val="nil"/>
              <w:right w:val="nil"/>
            </w:tcBorders>
            <w:vAlign w:val="bottom"/>
          </w:tcPr>
          <w:p w14:paraId="41AB629F" w14:textId="334D403E" w:rsidR="00890BAC" w:rsidRPr="000B49F3" w:rsidRDefault="00890BAC" w:rsidP="007B1433">
            <w:pPr>
              <w:widowControl w:val="0"/>
              <w:autoSpaceDE w:val="0"/>
              <w:autoSpaceDN w:val="0"/>
              <w:adjustRightInd w:val="0"/>
              <w:ind w:right="-97"/>
              <w:jc w:val="center"/>
              <w:rPr>
                <w:sz w:val="18"/>
                <w:szCs w:val="18"/>
              </w:rPr>
            </w:pPr>
          </w:p>
        </w:tc>
        <w:tc>
          <w:tcPr>
            <w:tcW w:w="977" w:type="dxa"/>
            <w:gridSpan w:val="2"/>
            <w:tcBorders>
              <w:left w:val="nil"/>
              <w:right w:val="nil"/>
            </w:tcBorders>
            <w:vAlign w:val="bottom"/>
          </w:tcPr>
          <w:p w14:paraId="66F33D7C" w14:textId="7293F230" w:rsidR="00890BAC" w:rsidRPr="000B49F3" w:rsidRDefault="00890BAC" w:rsidP="007B1433">
            <w:pPr>
              <w:widowControl w:val="0"/>
              <w:autoSpaceDE w:val="0"/>
              <w:autoSpaceDN w:val="0"/>
              <w:adjustRightInd w:val="0"/>
              <w:ind w:right="-100"/>
              <w:jc w:val="center"/>
              <w:rPr>
                <w:sz w:val="18"/>
                <w:szCs w:val="18"/>
              </w:rPr>
            </w:pPr>
            <w:r w:rsidRPr="00890BAC">
              <w:rPr>
                <w:rFonts w:eastAsia="Times New Roman"/>
                <w:color w:val="000000"/>
                <w:sz w:val="18"/>
                <w:szCs w:val="18"/>
              </w:rPr>
              <w:t>(1.7</w:t>
            </w:r>
            <w:r w:rsidR="0095790C">
              <w:rPr>
                <w:rFonts w:eastAsia="Times New Roman"/>
                <w:color w:val="000000"/>
                <w:sz w:val="18"/>
                <w:szCs w:val="18"/>
              </w:rPr>
              <w:t>279</w:t>
            </w:r>
            <w:r w:rsidRPr="00890BAC">
              <w:rPr>
                <w:rFonts w:eastAsia="Times New Roman"/>
                <w:color w:val="000000"/>
                <w:sz w:val="18"/>
                <w:szCs w:val="18"/>
              </w:rPr>
              <w:t>)</w:t>
            </w:r>
          </w:p>
        </w:tc>
        <w:tc>
          <w:tcPr>
            <w:tcW w:w="971" w:type="dxa"/>
            <w:gridSpan w:val="2"/>
            <w:tcBorders>
              <w:left w:val="nil"/>
              <w:right w:val="nil"/>
            </w:tcBorders>
            <w:vAlign w:val="bottom"/>
          </w:tcPr>
          <w:p w14:paraId="1C8AA214" w14:textId="77777777" w:rsidR="00890BAC" w:rsidRPr="000B49F3" w:rsidRDefault="00890BAC" w:rsidP="007B1433">
            <w:pPr>
              <w:widowControl w:val="0"/>
              <w:autoSpaceDE w:val="0"/>
              <w:autoSpaceDN w:val="0"/>
              <w:adjustRightInd w:val="0"/>
              <w:ind w:right="-117"/>
              <w:jc w:val="center"/>
              <w:rPr>
                <w:sz w:val="18"/>
                <w:szCs w:val="18"/>
              </w:rPr>
            </w:pPr>
          </w:p>
        </w:tc>
        <w:tc>
          <w:tcPr>
            <w:tcW w:w="929" w:type="dxa"/>
            <w:gridSpan w:val="2"/>
            <w:tcBorders>
              <w:left w:val="nil"/>
              <w:right w:val="nil"/>
            </w:tcBorders>
            <w:vAlign w:val="bottom"/>
          </w:tcPr>
          <w:p w14:paraId="0D789F8D" w14:textId="30BEFF18" w:rsidR="00890BAC" w:rsidRPr="000B49F3" w:rsidRDefault="00890BAC" w:rsidP="007B1433">
            <w:pPr>
              <w:widowControl w:val="0"/>
              <w:autoSpaceDE w:val="0"/>
              <w:autoSpaceDN w:val="0"/>
              <w:adjustRightInd w:val="0"/>
              <w:ind w:right="-117"/>
              <w:jc w:val="center"/>
              <w:rPr>
                <w:sz w:val="18"/>
                <w:szCs w:val="18"/>
              </w:rPr>
            </w:pPr>
            <w:r w:rsidRPr="00890BAC">
              <w:rPr>
                <w:rFonts w:eastAsia="Times New Roman"/>
                <w:color w:val="000000"/>
                <w:sz w:val="18"/>
                <w:szCs w:val="18"/>
              </w:rPr>
              <w:t>(1.7</w:t>
            </w:r>
            <w:r w:rsidR="00F6411F">
              <w:rPr>
                <w:rFonts w:eastAsia="Times New Roman"/>
                <w:color w:val="000000"/>
                <w:sz w:val="18"/>
                <w:szCs w:val="18"/>
              </w:rPr>
              <w:t>944</w:t>
            </w:r>
            <w:r w:rsidRPr="00890BAC">
              <w:rPr>
                <w:rFonts w:eastAsia="Times New Roman"/>
                <w:color w:val="000000"/>
                <w:sz w:val="18"/>
                <w:szCs w:val="18"/>
              </w:rPr>
              <w:t>)</w:t>
            </w:r>
          </w:p>
        </w:tc>
        <w:tc>
          <w:tcPr>
            <w:tcW w:w="994" w:type="dxa"/>
            <w:gridSpan w:val="2"/>
            <w:tcBorders>
              <w:left w:val="nil"/>
              <w:right w:val="nil"/>
            </w:tcBorders>
            <w:vAlign w:val="bottom"/>
          </w:tcPr>
          <w:p w14:paraId="678DA63B" w14:textId="77777777" w:rsidR="00890BAC" w:rsidRPr="000B49F3" w:rsidRDefault="00890BAC" w:rsidP="007B1433">
            <w:pPr>
              <w:widowControl w:val="0"/>
              <w:autoSpaceDE w:val="0"/>
              <w:autoSpaceDN w:val="0"/>
              <w:adjustRightInd w:val="0"/>
              <w:ind w:right="-117"/>
              <w:jc w:val="center"/>
              <w:rPr>
                <w:rFonts w:eastAsia="Times New Roman"/>
                <w:color w:val="000000"/>
                <w:sz w:val="18"/>
                <w:szCs w:val="18"/>
              </w:rPr>
            </w:pPr>
          </w:p>
        </w:tc>
        <w:tc>
          <w:tcPr>
            <w:tcW w:w="992" w:type="dxa"/>
            <w:gridSpan w:val="2"/>
            <w:tcBorders>
              <w:left w:val="nil"/>
              <w:right w:val="nil"/>
            </w:tcBorders>
            <w:vAlign w:val="bottom"/>
          </w:tcPr>
          <w:p w14:paraId="402F269C" w14:textId="2A4D05AD" w:rsidR="00890BAC" w:rsidRPr="000B49F3" w:rsidRDefault="00890BAC" w:rsidP="007B1433">
            <w:pPr>
              <w:widowControl w:val="0"/>
              <w:autoSpaceDE w:val="0"/>
              <w:autoSpaceDN w:val="0"/>
              <w:adjustRightInd w:val="0"/>
              <w:ind w:right="-117"/>
              <w:jc w:val="center"/>
              <w:rPr>
                <w:rFonts w:eastAsia="Times New Roman"/>
                <w:color w:val="000000"/>
                <w:sz w:val="18"/>
                <w:szCs w:val="18"/>
              </w:rPr>
            </w:pPr>
            <w:r w:rsidRPr="00890BAC">
              <w:rPr>
                <w:rFonts w:eastAsia="Times New Roman"/>
                <w:color w:val="000000"/>
                <w:sz w:val="18"/>
                <w:szCs w:val="18"/>
              </w:rPr>
              <w:t>(</w:t>
            </w:r>
            <w:r w:rsidR="00F6411F">
              <w:rPr>
                <w:rFonts w:eastAsia="Times New Roman"/>
                <w:color w:val="000000"/>
                <w:sz w:val="18"/>
                <w:szCs w:val="18"/>
              </w:rPr>
              <w:t>2.1146</w:t>
            </w:r>
            <w:r w:rsidRPr="00890BAC">
              <w:rPr>
                <w:rFonts w:eastAsia="Times New Roman"/>
                <w:color w:val="000000"/>
                <w:sz w:val="18"/>
                <w:szCs w:val="18"/>
              </w:rPr>
              <w:t>)</w:t>
            </w:r>
          </w:p>
        </w:tc>
      </w:tr>
      <w:tr w:rsidR="00890BAC" w:rsidRPr="00C8257C" w14:paraId="105FA095" w14:textId="77777777" w:rsidTr="008F1EE3">
        <w:trPr>
          <w:gridAfter w:val="1"/>
          <w:wAfter w:w="28" w:type="dxa"/>
          <w:trHeight w:val="477"/>
          <w:jc w:val="center"/>
        </w:trPr>
        <w:tc>
          <w:tcPr>
            <w:tcW w:w="1628" w:type="dxa"/>
            <w:gridSpan w:val="2"/>
            <w:tcBorders>
              <w:left w:val="nil"/>
              <w:bottom w:val="single" w:sz="4" w:space="0" w:color="auto"/>
              <w:right w:val="nil"/>
            </w:tcBorders>
            <w:vAlign w:val="bottom"/>
          </w:tcPr>
          <w:p w14:paraId="23074D50" w14:textId="77777777" w:rsidR="00890BAC" w:rsidRPr="00C8257C" w:rsidRDefault="00890BAC" w:rsidP="007B1433">
            <w:pPr>
              <w:widowControl w:val="0"/>
              <w:autoSpaceDE w:val="0"/>
              <w:autoSpaceDN w:val="0"/>
              <w:adjustRightInd w:val="0"/>
              <w:jc w:val="center"/>
              <w:rPr>
                <w:sz w:val="22"/>
                <w:szCs w:val="22"/>
              </w:rPr>
            </w:pPr>
            <w:r w:rsidRPr="00C8257C">
              <w:rPr>
                <w:sz w:val="22"/>
                <w:szCs w:val="22"/>
              </w:rPr>
              <w:t>Adjusted R</w:t>
            </w:r>
            <w:r w:rsidRPr="00C8257C">
              <w:rPr>
                <w:sz w:val="22"/>
                <w:szCs w:val="22"/>
                <w:vertAlign w:val="superscript"/>
              </w:rPr>
              <w:t>2</w:t>
            </w:r>
          </w:p>
        </w:tc>
        <w:tc>
          <w:tcPr>
            <w:tcW w:w="991" w:type="dxa"/>
            <w:tcBorders>
              <w:left w:val="nil"/>
              <w:bottom w:val="single" w:sz="4" w:space="0" w:color="auto"/>
              <w:right w:val="nil"/>
            </w:tcBorders>
            <w:vAlign w:val="bottom"/>
          </w:tcPr>
          <w:p w14:paraId="6A2DBA78" w14:textId="67DF7C09" w:rsidR="00890BAC" w:rsidRPr="000B49F3" w:rsidRDefault="00890BAC" w:rsidP="007B1433">
            <w:pPr>
              <w:widowControl w:val="0"/>
              <w:autoSpaceDE w:val="0"/>
              <w:autoSpaceDN w:val="0"/>
              <w:adjustRightInd w:val="0"/>
              <w:ind w:right="-97"/>
              <w:jc w:val="center"/>
              <w:rPr>
                <w:sz w:val="18"/>
                <w:szCs w:val="18"/>
              </w:rPr>
            </w:pPr>
            <w:r w:rsidRPr="00890BAC">
              <w:rPr>
                <w:rFonts w:eastAsia="Times New Roman"/>
                <w:color w:val="000000"/>
                <w:sz w:val="18"/>
                <w:szCs w:val="18"/>
              </w:rPr>
              <w:t>0.0</w:t>
            </w:r>
            <w:r w:rsidR="0095790C">
              <w:rPr>
                <w:rFonts w:eastAsia="Times New Roman"/>
                <w:color w:val="000000"/>
                <w:sz w:val="18"/>
                <w:szCs w:val="18"/>
              </w:rPr>
              <w:t>402</w:t>
            </w:r>
          </w:p>
        </w:tc>
        <w:tc>
          <w:tcPr>
            <w:tcW w:w="977" w:type="dxa"/>
            <w:tcBorders>
              <w:left w:val="nil"/>
              <w:bottom w:val="single" w:sz="4" w:space="0" w:color="auto"/>
              <w:right w:val="nil"/>
            </w:tcBorders>
            <w:vAlign w:val="bottom"/>
          </w:tcPr>
          <w:p w14:paraId="7CB5B1BA" w14:textId="03A65C56" w:rsidR="00890BAC" w:rsidRPr="00890BAC" w:rsidRDefault="00890BAC" w:rsidP="007B1433">
            <w:pPr>
              <w:widowControl w:val="0"/>
              <w:autoSpaceDE w:val="0"/>
              <w:autoSpaceDN w:val="0"/>
              <w:adjustRightInd w:val="0"/>
              <w:ind w:right="-100"/>
              <w:jc w:val="center"/>
              <w:rPr>
                <w:rFonts w:eastAsia="Times New Roman"/>
                <w:color w:val="000000"/>
                <w:sz w:val="18"/>
                <w:szCs w:val="18"/>
              </w:rPr>
            </w:pPr>
            <w:r w:rsidRPr="00890BAC">
              <w:rPr>
                <w:rFonts w:eastAsia="Times New Roman"/>
                <w:color w:val="000000"/>
                <w:sz w:val="18"/>
                <w:szCs w:val="18"/>
              </w:rPr>
              <w:t>0.0</w:t>
            </w:r>
            <w:r w:rsidR="0095790C">
              <w:rPr>
                <w:rFonts w:eastAsia="Times New Roman"/>
                <w:color w:val="000000"/>
                <w:sz w:val="18"/>
                <w:szCs w:val="18"/>
              </w:rPr>
              <w:t>404</w:t>
            </w:r>
          </w:p>
        </w:tc>
        <w:tc>
          <w:tcPr>
            <w:tcW w:w="977" w:type="dxa"/>
            <w:gridSpan w:val="2"/>
            <w:tcBorders>
              <w:left w:val="nil"/>
              <w:bottom w:val="single" w:sz="4" w:space="0" w:color="auto"/>
              <w:right w:val="nil"/>
            </w:tcBorders>
            <w:vAlign w:val="bottom"/>
          </w:tcPr>
          <w:p w14:paraId="617027C0" w14:textId="2030F469" w:rsidR="00890BAC" w:rsidRPr="00890BAC" w:rsidRDefault="00890BAC" w:rsidP="007B1433">
            <w:pPr>
              <w:widowControl w:val="0"/>
              <w:autoSpaceDE w:val="0"/>
              <w:autoSpaceDN w:val="0"/>
              <w:adjustRightInd w:val="0"/>
              <w:ind w:right="-100"/>
              <w:jc w:val="center"/>
              <w:rPr>
                <w:rFonts w:eastAsia="Times New Roman"/>
                <w:color w:val="000000"/>
                <w:sz w:val="18"/>
                <w:szCs w:val="18"/>
              </w:rPr>
            </w:pPr>
            <w:r w:rsidRPr="00890BAC">
              <w:rPr>
                <w:rFonts w:eastAsia="Times New Roman"/>
                <w:color w:val="000000"/>
                <w:sz w:val="18"/>
                <w:szCs w:val="18"/>
              </w:rPr>
              <w:t>0.0</w:t>
            </w:r>
            <w:r w:rsidR="0095790C">
              <w:rPr>
                <w:rFonts w:eastAsia="Times New Roman"/>
                <w:color w:val="000000"/>
                <w:sz w:val="18"/>
                <w:szCs w:val="18"/>
              </w:rPr>
              <w:t>404</w:t>
            </w:r>
          </w:p>
        </w:tc>
        <w:tc>
          <w:tcPr>
            <w:tcW w:w="977" w:type="dxa"/>
            <w:gridSpan w:val="2"/>
            <w:tcBorders>
              <w:left w:val="nil"/>
              <w:bottom w:val="single" w:sz="4" w:space="0" w:color="auto"/>
              <w:right w:val="nil"/>
            </w:tcBorders>
            <w:vAlign w:val="bottom"/>
          </w:tcPr>
          <w:p w14:paraId="77578793" w14:textId="111D1738" w:rsidR="00890BAC" w:rsidRPr="000B49F3" w:rsidRDefault="00890BAC" w:rsidP="007B1433">
            <w:pPr>
              <w:widowControl w:val="0"/>
              <w:autoSpaceDE w:val="0"/>
              <w:autoSpaceDN w:val="0"/>
              <w:adjustRightInd w:val="0"/>
              <w:ind w:right="-100"/>
              <w:jc w:val="center"/>
              <w:rPr>
                <w:sz w:val="18"/>
                <w:szCs w:val="18"/>
              </w:rPr>
            </w:pPr>
            <w:r w:rsidRPr="00890BAC">
              <w:rPr>
                <w:rFonts w:eastAsia="Times New Roman"/>
                <w:color w:val="000000"/>
                <w:sz w:val="18"/>
                <w:szCs w:val="18"/>
              </w:rPr>
              <w:t>0.0</w:t>
            </w:r>
            <w:r w:rsidR="0095790C">
              <w:rPr>
                <w:rFonts w:eastAsia="Times New Roman"/>
                <w:color w:val="000000"/>
                <w:sz w:val="18"/>
                <w:szCs w:val="18"/>
              </w:rPr>
              <w:t>405</w:t>
            </w:r>
          </w:p>
        </w:tc>
        <w:tc>
          <w:tcPr>
            <w:tcW w:w="971" w:type="dxa"/>
            <w:gridSpan w:val="2"/>
            <w:tcBorders>
              <w:left w:val="nil"/>
              <w:bottom w:val="single" w:sz="4" w:space="0" w:color="auto"/>
              <w:right w:val="nil"/>
            </w:tcBorders>
            <w:vAlign w:val="bottom"/>
          </w:tcPr>
          <w:p w14:paraId="73F90783" w14:textId="2410863A" w:rsidR="00890BAC" w:rsidRPr="000B49F3" w:rsidRDefault="00890BAC" w:rsidP="007B1433">
            <w:pPr>
              <w:widowControl w:val="0"/>
              <w:autoSpaceDE w:val="0"/>
              <w:autoSpaceDN w:val="0"/>
              <w:adjustRightInd w:val="0"/>
              <w:ind w:right="-117"/>
              <w:jc w:val="center"/>
              <w:rPr>
                <w:sz w:val="18"/>
                <w:szCs w:val="18"/>
              </w:rPr>
            </w:pPr>
            <w:r w:rsidRPr="00890BAC">
              <w:rPr>
                <w:rFonts w:eastAsia="Times New Roman"/>
                <w:color w:val="000000"/>
                <w:sz w:val="18"/>
                <w:szCs w:val="18"/>
              </w:rPr>
              <w:t>0.0</w:t>
            </w:r>
            <w:r w:rsidR="0095790C">
              <w:rPr>
                <w:rFonts w:eastAsia="Times New Roman"/>
                <w:color w:val="000000"/>
                <w:sz w:val="18"/>
                <w:szCs w:val="18"/>
              </w:rPr>
              <w:t>396</w:t>
            </w:r>
          </w:p>
        </w:tc>
        <w:tc>
          <w:tcPr>
            <w:tcW w:w="929" w:type="dxa"/>
            <w:gridSpan w:val="2"/>
            <w:tcBorders>
              <w:left w:val="nil"/>
              <w:bottom w:val="single" w:sz="4" w:space="0" w:color="auto"/>
              <w:right w:val="nil"/>
            </w:tcBorders>
            <w:vAlign w:val="bottom"/>
          </w:tcPr>
          <w:p w14:paraId="33A22932" w14:textId="28FA3278" w:rsidR="00890BAC" w:rsidRPr="000B49F3" w:rsidRDefault="00890BAC" w:rsidP="007B1433">
            <w:pPr>
              <w:widowControl w:val="0"/>
              <w:autoSpaceDE w:val="0"/>
              <w:autoSpaceDN w:val="0"/>
              <w:adjustRightInd w:val="0"/>
              <w:ind w:right="-117"/>
              <w:jc w:val="center"/>
              <w:rPr>
                <w:rFonts w:eastAsia="Times New Roman"/>
                <w:color w:val="000000"/>
                <w:sz w:val="18"/>
                <w:szCs w:val="18"/>
              </w:rPr>
            </w:pPr>
            <w:r w:rsidRPr="00890BAC">
              <w:rPr>
                <w:rFonts w:eastAsia="Times New Roman"/>
                <w:color w:val="000000"/>
                <w:sz w:val="18"/>
                <w:szCs w:val="18"/>
              </w:rPr>
              <w:t>0.0</w:t>
            </w:r>
            <w:r w:rsidR="00F6411F">
              <w:rPr>
                <w:rFonts w:eastAsia="Times New Roman"/>
                <w:color w:val="000000"/>
                <w:sz w:val="18"/>
                <w:szCs w:val="18"/>
              </w:rPr>
              <w:t>398</w:t>
            </w:r>
          </w:p>
        </w:tc>
        <w:tc>
          <w:tcPr>
            <w:tcW w:w="994" w:type="dxa"/>
            <w:gridSpan w:val="2"/>
            <w:tcBorders>
              <w:left w:val="nil"/>
              <w:bottom w:val="single" w:sz="4" w:space="0" w:color="auto"/>
              <w:right w:val="nil"/>
            </w:tcBorders>
            <w:vAlign w:val="bottom"/>
          </w:tcPr>
          <w:p w14:paraId="6F133FB3" w14:textId="216EDF71" w:rsidR="00890BAC" w:rsidRPr="000B49F3" w:rsidRDefault="00890BAC" w:rsidP="007B1433">
            <w:pPr>
              <w:widowControl w:val="0"/>
              <w:autoSpaceDE w:val="0"/>
              <w:autoSpaceDN w:val="0"/>
              <w:adjustRightInd w:val="0"/>
              <w:ind w:right="-117"/>
              <w:jc w:val="center"/>
              <w:rPr>
                <w:rFonts w:eastAsia="Times New Roman"/>
                <w:color w:val="000000"/>
                <w:sz w:val="18"/>
                <w:szCs w:val="18"/>
              </w:rPr>
            </w:pPr>
            <w:r w:rsidRPr="00890BAC">
              <w:rPr>
                <w:rFonts w:eastAsia="Times New Roman"/>
                <w:color w:val="000000"/>
                <w:sz w:val="18"/>
                <w:szCs w:val="18"/>
              </w:rPr>
              <w:t>0.0</w:t>
            </w:r>
            <w:r w:rsidR="00F6411F">
              <w:rPr>
                <w:rFonts w:eastAsia="Times New Roman"/>
                <w:color w:val="000000"/>
                <w:sz w:val="18"/>
                <w:szCs w:val="18"/>
              </w:rPr>
              <w:t>381</w:t>
            </w:r>
          </w:p>
        </w:tc>
        <w:tc>
          <w:tcPr>
            <w:tcW w:w="992" w:type="dxa"/>
            <w:gridSpan w:val="2"/>
            <w:tcBorders>
              <w:left w:val="nil"/>
              <w:bottom w:val="single" w:sz="4" w:space="0" w:color="auto"/>
              <w:right w:val="nil"/>
            </w:tcBorders>
            <w:vAlign w:val="bottom"/>
          </w:tcPr>
          <w:p w14:paraId="507F9C61" w14:textId="357EAE38" w:rsidR="00890BAC" w:rsidRPr="000B49F3" w:rsidRDefault="00890BAC" w:rsidP="007B1433">
            <w:pPr>
              <w:widowControl w:val="0"/>
              <w:autoSpaceDE w:val="0"/>
              <w:autoSpaceDN w:val="0"/>
              <w:adjustRightInd w:val="0"/>
              <w:ind w:right="-117"/>
              <w:jc w:val="center"/>
              <w:rPr>
                <w:rFonts w:eastAsia="Times New Roman"/>
                <w:color w:val="000000"/>
                <w:sz w:val="18"/>
                <w:szCs w:val="18"/>
              </w:rPr>
            </w:pPr>
            <w:r w:rsidRPr="00890BAC">
              <w:rPr>
                <w:rFonts w:eastAsia="Times New Roman"/>
                <w:color w:val="000000"/>
                <w:sz w:val="18"/>
                <w:szCs w:val="18"/>
              </w:rPr>
              <w:t>0.0</w:t>
            </w:r>
            <w:r w:rsidR="00F6411F">
              <w:rPr>
                <w:rFonts w:eastAsia="Times New Roman"/>
                <w:color w:val="000000"/>
                <w:sz w:val="18"/>
                <w:szCs w:val="18"/>
              </w:rPr>
              <w:t>385</w:t>
            </w:r>
          </w:p>
        </w:tc>
      </w:tr>
    </w:tbl>
    <w:p w14:paraId="3FA033F8" w14:textId="77777777" w:rsidR="000B49F3" w:rsidRDefault="000B49F3" w:rsidP="000B49F3">
      <w:pPr>
        <w:widowControl w:val="0"/>
        <w:autoSpaceDE w:val="0"/>
        <w:autoSpaceDN w:val="0"/>
        <w:adjustRightInd w:val="0"/>
        <w:rPr>
          <w:sz w:val="20"/>
          <w:szCs w:val="20"/>
        </w:rPr>
      </w:pPr>
    </w:p>
    <w:p w14:paraId="7FF681A3" w14:textId="2438F459" w:rsidR="000B49F3" w:rsidRPr="00D40129" w:rsidRDefault="000B49F3" w:rsidP="0010552E">
      <w:pPr>
        <w:jc w:val="both"/>
        <w:rPr>
          <w:sz w:val="22"/>
          <w:szCs w:val="22"/>
        </w:rPr>
      </w:pPr>
      <w:r w:rsidRPr="002D3EC7">
        <w:rPr>
          <w:sz w:val="22"/>
          <w:szCs w:val="22"/>
        </w:rPr>
        <w:t xml:space="preserve">Table </w:t>
      </w:r>
      <w:proofErr w:type="gramStart"/>
      <w:r w:rsidRPr="002D3EC7">
        <w:rPr>
          <w:sz w:val="22"/>
          <w:szCs w:val="22"/>
        </w:rPr>
        <w:t>7</w:t>
      </w:r>
      <w:proofErr w:type="gramEnd"/>
      <w:r w:rsidRPr="002D3EC7">
        <w:rPr>
          <w:sz w:val="22"/>
          <w:szCs w:val="22"/>
        </w:rPr>
        <w:t xml:space="preserve"> present</w:t>
      </w:r>
      <w:r>
        <w:rPr>
          <w:sz w:val="22"/>
          <w:szCs w:val="22"/>
        </w:rPr>
        <w:t xml:space="preserve"> </w:t>
      </w:r>
      <w:r w:rsidRPr="002D3EC7">
        <w:rPr>
          <w:sz w:val="22"/>
          <w:szCs w:val="22"/>
        </w:rPr>
        <w:t xml:space="preserve">coefficients and </w:t>
      </w:r>
      <w:r>
        <w:rPr>
          <w:sz w:val="22"/>
          <w:szCs w:val="22"/>
        </w:rPr>
        <w:t xml:space="preserve">t-statistics </w:t>
      </w:r>
      <w:r w:rsidRPr="002D3EC7">
        <w:rPr>
          <w:sz w:val="22"/>
          <w:szCs w:val="22"/>
        </w:rPr>
        <w:t xml:space="preserve">from regressions </w:t>
      </w:r>
      <w:r>
        <w:rPr>
          <w:sz w:val="22"/>
          <w:szCs w:val="22"/>
        </w:rPr>
        <w:t>of</w:t>
      </w:r>
      <w:r w:rsidRPr="002D3EC7">
        <w:rPr>
          <w:sz w:val="22"/>
          <w:szCs w:val="22"/>
        </w:rPr>
        <w:t xml:space="preserve"> </w:t>
      </w:r>
      <w:r w:rsidR="0095790C">
        <w:rPr>
          <w:sz w:val="22"/>
          <w:szCs w:val="22"/>
        </w:rPr>
        <w:t>20,822</w:t>
      </w:r>
      <w:r>
        <w:rPr>
          <w:sz w:val="22"/>
          <w:szCs w:val="22"/>
        </w:rPr>
        <w:t xml:space="preserve"> </w:t>
      </w:r>
      <w:r w:rsidRPr="002D3EC7">
        <w:rPr>
          <w:sz w:val="22"/>
          <w:szCs w:val="22"/>
        </w:rPr>
        <w:t xml:space="preserve">firm-year observations from </w:t>
      </w:r>
      <w:proofErr w:type="spellStart"/>
      <w:r w:rsidRPr="00D251D2">
        <w:rPr>
          <w:i/>
          <w:sz w:val="22"/>
          <w:szCs w:val="22"/>
        </w:rPr>
        <w:t>Compustat</w:t>
      </w:r>
      <w:proofErr w:type="spellEnd"/>
      <w:r w:rsidRPr="00D251D2">
        <w:rPr>
          <w:i/>
          <w:sz w:val="22"/>
          <w:szCs w:val="22"/>
        </w:rPr>
        <w:t xml:space="preserve"> North America </w:t>
      </w:r>
      <w:r w:rsidRPr="00D251D2">
        <w:rPr>
          <w:sz w:val="22"/>
          <w:szCs w:val="22"/>
        </w:rPr>
        <w:t>and</w:t>
      </w:r>
      <w:r w:rsidRPr="00D251D2">
        <w:rPr>
          <w:i/>
          <w:sz w:val="22"/>
          <w:szCs w:val="22"/>
        </w:rPr>
        <w:t xml:space="preserve"> Global</w:t>
      </w:r>
      <w:r w:rsidRPr="002D3EC7">
        <w:rPr>
          <w:sz w:val="22"/>
          <w:szCs w:val="22"/>
        </w:rPr>
        <w:t xml:space="preserve"> with non-missing data required for estimation. </w:t>
      </w:r>
      <w:r>
        <w:rPr>
          <w:sz w:val="22"/>
          <w:szCs w:val="22"/>
        </w:rPr>
        <w:t xml:space="preserve">Panel </w:t>
      </w:r>
      <w:r w:rsidR="00890BAC">
        <w:rPr>
          <w:sz w:val="22"/>
          <w:szCs w:val="22"/>
        </w:rPr>
        <w:t xml:space="preserve">B </w:t>
      </w:r>
      <w:r>
        <w:rPr>
          <w:sz w:val="22"/>
          <w:szCs w:val="22"/>
        </w:rPr>
        <w:t xml:space="preserve">presents results using </w:t>
      </w:r>
      <w:r>
        <w:rPr>
          <w:i/>
          <w:iCs/>
          <w:sz w:val="22"/>
          <w:szCs w:val="22"/>
        </w:rPr>
        <w:t>INV</w:t>
      </w:r>
      <w:r w:rsidR="000D4612">
        <w:rPr>
          <w:i/>
          <w:iCs/>
          <w:sz w:val="22"/>
          <w:szCs w:val="22"/>
        </w:rPr>
        <w:t>2</w:t>
      </w:r>
      <w:r>
        <w:rPr>
          <w:i/>
          <w:iCs/>
          <w:sz w:val="22"/>
          <w:szCs w:val="22"/>
        </w:rPr>
        <w:t xml:space="preserve"> </w:t>
      </w:r>
      <w:r w:rsidRPr="009133F4">
        <w:rPr>
          <w:iCs/>
          <w:sz w:val="22"/>
          <w:szCs w:val="22"/>
        </w:rPr>
        <w:t>as the dependent variable</w:t>
      </w:r>
      <w:r w:rsidRPr="00600369">
        <w:rPr>
          <w:sz w:val="22"/>
          <w:szCs w:val="22"/>
        </w:rPr>
        <w:t>.</w:t>
      </w:r>
      <w:r>
        <w:rPr>
          <w:sz w:val="22"/>
          <w:szCs w:val="22"/>
        </w:rPr>
        <w:t xml:space="preserve"> Columns (1), (3), (5), and (7) replicate the main investment model using our sample. Columns (2), (4), (6), and (8) add our firm-specific measure of income shifting aggressiveness </w:t>
      </w:r>
      <w:r>
        <w:rPr>
          <w:i/>
          <w:sz w:val="22"/>
          <w:szCs w:val="22"/>
        </w:rPr>
        <w:t xml:space="preserve">G. </w:t>
      </w:r>
      <w:r>
        <w:rPr>
          <w:sz w:val="22"/>
          <w:szCs w:val="22"/>
        </w:rPr>
        <w:t xml:space="preserve">Columns otherwise vary in the proxy for growth opportunities: (1)-(2) use </w:t>
      </w:r>
      <w:r w:rsidR="00890BAC">
        <w:rPr>
          <w:i/>
          <w:iCs/>
          <w:sz w:val="22"/>
          <w:szCs w:val="22"/>
        </w:rPr>
        <w:t>Q</w:t>
      </w:r>
      <w:r w:rsidR="00890BAC" w:rsidRPr="003D3966">
        <w:rPr>
          <w:i/>
          <w:iCs/>
          <w:sz w:val="22"/>
          <w:szCs w:val="22"/>
          <w:vertAlign w:val="subscript"/>
        </w:rPr>
        <w:t>t-1</w:t>
      </w:r>
      <w:r w:rsidRPr="003D3966">
        <w:rPr>
          <w:sz w:val="22"/>
          <w:szCs w:val="22"/>
        </w:rPr>
        <w:t>, (3)-(4) use</w:t>
      </w:r>
      <w:r>
        <w:rPr>
          <w:i/>
          <w:iCs/>
          <w:sz w:val="22"/>
          <w:szCs w:val="22"/>
        </w:rPr>
        <w:t xml:space="preserve"> </w:t>
      </w:r>
      <w:r w:rsidR="00890BAC">
        <w:rPr>
          <w:i/>
          <w:iCs/>
          <w:sz w:val="22"/>
          <w:szCs w:val="22"/>
        </w:rPr>
        <w:t>MeanQ</w:t>
      </w:r>
      <w:r w:rsidR="00890BAC" w:rsidRPr="003D3966">
        <w:rPr>
          <w:i/>
          <w:iCs/>
          <w:sz w:val="22"/>
          <w:szCs w:val="22"/>
          <w:vertAlign w:val="subscript"/>
        </w:rPr>
        <w:t>t-1</w:t>
      </w:r>
      <w:r w:rsidRPr="003D3966">
        <w:rPr>
          <w:sz w:val="22"/>
          <w:szCs w:val="22"/>
        </w:rPr>
        <w:t>, (5)-(6) use</w:t>
      </w:r>
      <w:r>
        <w:rPr>
          <w:i/>
          <w:iCs/>
          <w:sz w:val="22"/>
          <w:szCs w:val="22"/>
        </w:rPr>
        <w:t xml:space="preserve"> </w:t>
      </w:r>
      <w:r w:rsidR="00890BAC">
        <w:rPr>
          <w:i/>
          <w:iCs/>
          <w:sz w:val="22"/>
          <w:szCs w:val="22"/>
        </w:rPr>
        <w:t>MedQ</w:t>
      </w:r>
      <w:r w:rsidR="00890BAC" w:rsidRPr="003D3966">
        <w:rPr>
          <w:i/>
          <w:iCs/>
          <w:sz w:val="22"/>
          <w:szCs w:val="22"/>
          <w:vertAlign w:val="subscript"/>
        </w:rPr>
        <w:t>t-1</w:t>
      </w:r>
      <w:r w:rsidRPr="003D3966">
        <w:rPr>
          <w:sz w:val="22"/>
          <w:szCs w:val="22"/>
        </w:rPr>
        <w:t>, and (7)-(8) use</w:t>
      </w:r>
      <w:r w:rsidR="0084531D" w:rsidRPr="0084531D">
        <w:rPr>
          <w:i/>
          <w:iCs/>
          <w:sz w:val="22"/>
          <w:szCs w:val="22"/>
        </w:rPr>
        <w:t xml:space="preserve"> </w:t>
      </w:r>
      <w:r w:rsidR="0084531D">
        <w:rPr>
          <w:i/>
          <w:iCs/>
          <w:sz w:val="22"/>
          <w:szCs w:val="22"/>
        </w:rPr>
        <w:t>MedPE</w:t>
      </w:r>
      <w:r w:rsidR="0084531D" w:rsidRPr="003D3966">
        <w:rPr>
          <w:i/>
          <w:iCs/>
          <w:sz w:val="22"/>
          <w:szCs w:val="22"/>
          <w:vertAlign w:val="subscript"/>
        </w:rPr>
        <w:t>t-1</w:t>
      </w:r>
      <w:r w:rsidR="00890BAC" w:rsidRPr="00890BAC">
        <w:rPr>
          <w:i/>
          <w:iCs/>
          <w:sz w:val="22"/>
          <w:szCs w:val="22"/>
        </w:rPr>
        <w:t>.</w:t>
      </w:r>
      <w:r w:rsidR="00890BAC">
        <w:rPr>
          <w:i/>
          <w:iCs/>
          <w:sz w:val="22"/>
          <w:szCs w:val="22"/>
          <w:vertAlign w:val="subscript"/>
        </w:rPr>
        <w:t xml:space="preserve"> </w:t>
      </w:r>
      <w:r>
        <w:rPr>
          <w:i/>
          <w:iCs/>
          <w:sz w:val="22"/>
          <w:szCs w:val="22"/>
        </w:rPr>
        <w:t xml:space="preserve">INV2 </w:t>
      </w:r>
      <w:r>
        <w:rPr>
          <w:sz w:val="22"/>
          <w:szCs w:val="22"/>
        </w:rPr>
        <w:t xml:space="preserve">is </w:t>
      </w:r>
      <w:proofErr w:type="spellStart"/>
      <w:r w:rsidR="0088093F">
        <w:rPr>
          <w:i/>
          <w:sz w:val="22"/>
          <w:szCs w:val="22"/>
        </w:rPr>
        <w:t>PPEG</w:t>
      </w:r>
      <w:r w:rsidR="0010552E">
        <w:rPr>
          <w:i/>
          <w:sz w:val="22"/>
          <w:szCs w:val="22"/>
        </w:rPr>
        <w:t>T</w:t>
      </w:r>
      <w:r w:rsidR="0010552E" w:rsidRPr="003D3966">
        <w:rPr>
          <w:i/>
          <w:sz w:val="22"/>
          <w:szCs w:val="22"/>
          <w:vertAlign w:val="subscript"/>
        </w:rPr>
        <w:t>t</w:t>
      </w:r>
      <w:proofErr w:type="spellEnd"/>
      <w:r w:rsidR="0010552E" w:rsidRPr="001D7148">
        <w:rPr>
          <w:i/>
          <w:sz w:val="22"/>
          <w:szCs w:val="22"/>
        </w:rPr>
        <w:t xml:space="preserve"> </w:t>
      </w:r>
      <w:r>
        <w:rPr>
          <w:iCs/>
          <w:sz w:val="22"/>
          <w:szCs w:val="22"/>
        </w:rPr>
        <w:t xml:space="preserve">less </w:t>
      </w:r>
      <w:r w:rsidR="0088093F">
        <w:rPr>
          <w:i/>
          <w:sz w:val="22"/>
          <w:szCs w:val="22"/>
        </w:rPr>
        <w:t>PPEG</w:t>
      </w:r>
      <w:r w:rsidR="0010552E">
        <w:rPr>
          <w:i/>
          <w:sz w:val="22"/>
          <w:szCs w:val="22"/>
        </w:rPr>
        <w:t>T</w:t>
      </w:r>
      <w:r w:rsidR="0010552E" w:rsidRPr="003D3966">
        <w:rPr>
          <w:i/>
          <w:sz w:val="22"/>
          <w:szCs w:val="22"/>
          <w:vertAlign w:val="subscript"/>
        </w:rPr>
        <w:t>t</w:t>
      </w:r>
      <w:r w:rsidRPr="003D3966">
        <w:rPr>
          <w:i/>
          <w:sz w:val="22"/>
          <w:szCs w:val="22"/>
          <w:vertAlign w:val="subscript"/>
        </w:rPr>
        <w:t>-1</w:t>
      </w:r>
      <w:r>
        <w:rPr>
          <w:iCs/>
          <w:sz w:val="22"/>
          <w:szCs w:val="22"/>
        </w:rPr>
        <w:t xml:space="preserve">, scaled by </w:t>
      </w:r>
      <w:r w:rsidR="0010552E">
        <w:rPr>
          <w:i/>
          <w:sz w:val="22"/>
          <w:szCs w:val="22"/>
        </w:rPr>
        <w:t>AT</w:t>
      </w:r>
      <w:r w:rsidR="0010552E" w:rsidRPr="003D3966">
        <w:rPr>
          <w:i/>
          <w:sz w:val="22"/>
          <w:szCs w:val="22"/>
          <w:vertAlign w:val="subscript"/>
        </w:rPr>
        <w:t>t</w:t>
      </w:r>
      <w:r w:rsidRPr="003D3966">
        <w:rPr>
          <w:i/>
          <w:sz w:val="22"/>
          <w:szCs w:val="22"/>
          <w:vertAlign w:val="subscript"/>
        </w:rPr>
        <w:t>-1</w:t>
      </w:r>
      <w:r>
        <w:rPr>
          <w:i/>
          <w:sz w:val="22"/>
          <w:szCs w:val="22"/>
        </w:rPr>
        <w:t>.</w:t>
      </w:r>
      <w:r w:rsidRPr="001D7148">
        <w:rPr>
          <w:i/>
          <w:sz w:val="22"/>
          <w:szCs w:val="22"/>
        </w:rPr>
        <w:t xml:space="preserve"> </w:t>
      </w:r>
      <w:r w:rsidR="004F2155" w:rsidRPr="00C7273D">
        <w:rPr>
          <w:i/>
          <w:sz w:val="22"/>
          <w:szCs w:val="22"/>
        </w:rPr>
        <w:t>Q</w:t>
      </w:r>
      <w:r w:rsidR="004F2155">
        <w:rPr>
          <w:i/>
          <w:sz w:val="22"/>
          <w:szCs w:val="22"/>
          <w:vertAlign w:val="subscript"/>
        </w:rPr>
        <w:t>t-1</w:t>
      </w:r>
      <w:r w:rsidR="004F2155" w:rsidRPr="00C7273D">
        <w:rPr>
          <w:sz w:val="22"/>
          <w:szCs w:val="22"/>
        </w:rPr>
        <w:t xml:space="preserve"> is </w:t>
      </w:r>
      <w:r w:rsidR="004F2155">
        <w:rPr>
          <w:sz w:val="22"/>
          <w:szCs w:val="22"/>
        </w:rPr>
        <w:t xml:space="preserve">firm-year </w:t>
      </w:r>
      <w:r w:rsidR="004F2155" w:rsidRPr="00C7273D">
        <w:rPr>
          <w:sz w:val="22"/>
          <w:szCs w:val="22"/>
        </w:rPr>
        <w:t xml:space="preserve">market value of equity in year </w:t>
      </w:r>
      <w:r w:rsidR="004F2155" w:rsidRPr="00C7273D">
        <w:rPr>
          <w:i/>
          <w:sz w:val="22"/>
          <w:szCs w:val="22"/>
        </w:rPr>
        <w:t>t</w:t>
      </w:r>
      <w:r w:rsidR="004F2155">
        <w:rPr>
          <w:i/>
          <w:sz w:val="22"/>
          <w:szCs w:val="22"/>
        </w:rPr>
        <w:t>-1</w:t>
      </w:r>
      <w:r w:rsidR="004F2155" w:rsidRPr="00C7273D">
        <w:rPr>
          <w:i/>
          <w:sz w:val="22"/>
          <w:szCs w:val="22"/>
        </w:rPr>
        <w:t xml:space="preserve"> </w:t>
      </w:r>
      <w:r w:rsidR="004F2155" w:rsidRPr="00C7273D">
        <w:rPr>
          <w:sz w:val="22"/>
          <w:szCs w:val="22"/>
        </w:rPr>
        <w:t>(</w:t>
      </w:r>
      <w:r w:rsidR="004F2155" w:rsidRPr="00C7273D">
        <w:rPr>
          <w:i/>
          <w:sz w:val="22"/>
          <w:szCs w:val="22"/>
        </w:rPr>
        <w:t>PRCC_F*CSHO</w:t>
      </w:r>
      <w:r w:rsidR="004F2155" w:rsidRPr="00C7273D">
        <w:rPr>
          <w:sz w:val="22"/>
          <w:szCs w:val="22"/>
        </w:rPr>
        <w:t>)</w:t>
      </w:r>
      <w:r w:rsidR="004F2155" w:rsidRPr="00C7273D">
        <w:rPr>
          <w:i/>
          <w:sz w:val="22"/>
          <w:szCs w:val="22"/>
        </w:rPr>
        <w:t xml:space="preserve"> </w:t>
      </w:r>
      <w:r w:rsidR="004F2155" w:rsidRPr="00C7273D">
        <w:rPr>
          <w:sz w:val="22"/>
          <w:szCs w:val="22"/>
        </w:rPr>
        <w:t xml:space="preserve">plus </w:t>
      </w:r>
      <w:r w:rsidR="0010552E">
        <w:rPr>
          <w:i/>
          <w:sz w:val="22"/>
          <w:szCs w:val="22"/>
        </w:rPr>
        <w:t>AT</w:t>
      </w:r>
      <w:r w:rsidR="0010552E" w:rsidRPr="00C7273D">
        <w:rPr>
          <w:sz w:val="22"/>
          <w:szCs w:val="22"/>
        </w:rPr>
        <w:t xml:space="preserve"> </w:t>
      </w:r>
      <w:r w:rsidR="004F2155" w:rsidRPr="00C7273D">
        <w:rPr>
          <w:sz w:val="22"/>
          <w:szCs w:val="22"/>
        </w:rPr>
        <w:t xml:space="preserve">in year </w:t>
      </w:r>
      <w:r w:rsidR="004F2155" w:rsidRPr="00C7273D">
        <w:rPr>
          <w:i/>
          <w:sz w:val="22"/>
          <w:szCs w:val="22"/>
        </w:rPr>
        <w:t>t</w:t>
      </w:r>
      <w:r w:rsidR="004F2155">
        <w:rPr>
          <w:i/>
          <w:sz w:val="22"/>
          <w:szCs w:val="22"/>
        </w:rPr>
        <w:t>-1</w:t>
      </w:r>
      <w:r w:rsidR="004F2155" w:rsidRPr="00C7273D">
        <w:rPr>
          <w:i/>
          <w:sz w:val="22"/>
          <w:szCs w:val="22"/>
        </w:rPr>
        <w:t xml:space="preserve"> </w:t>
      </w:r>
      <w:r w:rsidR="004F2155" w:rsidRPr="00C7273D">
        <w:rPr>
          <w:sz w:val="22"/>
          <w:szCs w:val="22"/>
        </w:rPr>
        <w:t xml:space="preserve">less </w:t>
      </w:r>
      <w:r w:rsidR="004F2155" w:rsidRPr="00C7273D">
        <w:rPr>
          <w:i/>
          <w:sz w:val="22"/>
          <w:szCs w:val="22"/>
        </w:rPr>
        <w:t>CEQ</w:t>
      </w:r>
      <w:r w:rsidR="004F2155" w:rsidRPr="00C7273D">
        <w:rPr>
          <w:i/>
          <w:sz w:val="22"/>
          <w:szCs w:val="22"/>
          <w:vertAlign w:val="subscript"/>
        </w:rPr>
        <w:t xml:space="preserve"> </w:t>
      </w:r>
      <w:r w:rsidR="004F2155" w:rsidRPr="00C7273D">
        <w:rPr>
          <w:sz w:val="22"/>
          <w:szCs w:val="22"/>
        </w:rPr>
        <w:t xml:space="preserve">in year </w:t>
      </w:r>
      <w:r w:rsidR="004F2155" w:rsidRPr="00C7273D">
        <w:rPr>
          <w:i/>
          <w:sz w:val="22"/>
          <w:szCs w:val="22"/>
        </w:rPr>
        <w:t>t</w:t>
      </w:r>
      <w:r w:rsidR="004F2155">
        <w:rPr>
          <w:i/>
          <w:sz w:val="22"/>
          <w:szCs w:val="22"/>
        </w:rPr>
        <w:t>-1</w:t>
      </w:r>
      <w:r w:rsidR="004F2155" w:rsidRPr="00C7273D">
        <w:rPr>
          <w:i/>
          <w:sz w:val="22"/>
          <w:szCs w:val="22"/>
        </w:rPr>
        <w:t xml:space="preserve">, </w:t>
      </w:r>
      <w:r w:rsidR="004F2155" w:rsidRPr="00C7273D">
        <w:rPr>
          <w:sz w:val="22"/>
          <w:szCs w:val="22"/>
        </w:rPr>
        <w:t xml:space="preserve">scaled by </w:t>
      </w:r>
      <w:r w:rsidR="0010552E">
        <w:rPr>
          <w:i/>
          <w:sz w:val="22"/>
          <w:szCs w:val="22"/>
        </w:rPr>
        <w:t>AT</w:t>
      </w:r>
      <w:r w:rsidR="0010552E" w:rsidRPr="00C7273D">
        <w:rPr>
          <w:i/>
          <w:sz w:val="22"/>
          <w:szCs w:val="22"/>
        </w:rPr>
        <w:t xml:space="preserve"> </w:t>
      </w:r>
      <w:r w:rsidR="004F2155" w:rsidRPr="00C7273D">
        <w:rPr>
          <w:sz w:val="22"/>
          <w:szCs w:val="22"/>
        </w:rPr>
        <w:t xml:space="preserve">in year </w:t>
      </w:r>
      <w:r w:rsidR="004F2155" w:rsidRPr="00C7273D">
        <w:rPr>
          <w:i/>
          <w:sz w:val="22"/>
          <w:szCs w:val="22"/>
        </w:rPr>
        <w:t>t</w:t>
      </w:r>
      <w:r w:rsidR="004F2155">
        <w:rPr>
          <w:i/>
          <w:sz w:val="22"/>
          <w:szCs w:val="22"/>
        </w:rPr>
        <w:t>-1</w:t>
      </w:r>
      <w:r w:rsidR="004F2155" w:rsidRPr="00C7273D">
        <w:rPr>
          <w:sz w:val="22"/>
          <w:szCs w:val="22"/>
        </w:rPr>
        <w:t xml:space="preserve">. </w:t>
      </w:r>
      <w:r>
        <w:rPr>
          <w:i/>
          <w:sz w:val="22"/>
          <w:szCs w:val="22"/>
        </w:rPr>
        <w:t>Mean</w:t>
      </w:r>
      <w:r w:rsidRPr="00C7273D">
        <w:rPr>
          <w:i/>
          <w:sz w:val="22"/>
          <w:szCs w:val="22"/>
        </w:rPr>
        <w:t>Q</w:t>
      </w:r>
      <w:r>
        <w:rPr>
          <w:i/>
          <w:sz w:val="22"/>
          <w:szCs w:val="22"/>
          <w:vertAlign w:val="subscript"/>
        </w:rPr>
        <w:t>t-1</w:t>
      </w:r>
      <w:r w:rsidRPr="00C7273D">
        <w:rPr>
          <w:sz w:val="22"/>
          <w:szCs w:val="22"/>
        </w:rPr>
        <w:t xml:space="preserve"> is the </w:t>
      </w:r>
      <w:r>
        <w:rPr>
          <w:sz w:val="22"/>
          <w:szCs w:val="22"/>
        </w:rPr>
        <w:t xml:space="preserve">country-industry-year mean </w:t>
      </w:r>
      <w:r w:rsidRPr="00C7273D">
        <w:rPr>
          <w:sz w:val="22"/>
          <w:szCs w:val="22"/>
        </w:rPr>
        <w:t xml:space="preserve">market value of equity in year </w:t>
      </w:r>
      <w:r w:rsidRPr="00C7273D">
        <w:rPr>
          <w:i/>
          <w:sz w:val="22"/>
          <w:szCs w:val="22"/>
        </w:rPr>
        <w:t>t</w:t>
      </w:r>
      <w:r>
        <w:rPr>
          <w:i/>
          <w:sz w:val="22"/>
          <w:szCs w:val="22"/>
        </w:rPr>
        <w:t>-1</w:t>
      </w:r>
      <w:r w:rsidRPr="00C7273D">
        <w:rPr>
          <w:i/>
          <w:sz w:val="22"/>
          <w:szCs w:val="22"/>
        </w:rPr>
        <w:t xml:space="preserve"> </w:t>
      </w:r>
      <w:r w:rsidRPr="00C7273D">
        <w:rPr>
          <w:sz w:val="22"/>
          <w:szCs w:val="22"/>
        </w:rPr>
        <w:t>(</w:t>
      </w:r>
      <w:r w:rsidRPr="00C7273D">
        <w:rPr>
          <w:i/>
          <w:sz w:val="22"/>
          <w:szCs w:val="22"/>
        </w:rPr>
        <w:t>PRCC_F*CSHO</w:t>
      </w:r>
      <w:r w:rsidRPr="00C7273D">
        <w:rPr>
          <w:sz w:val="22"/>
          <w:szCs w:val="22"/>
        </w:rPr>
        <w:t>)</w:t>
      </w:r>
      <w:r w:rsidRPr="00C7273D">
        <w:rPr>
          <w:i/>
          <w:sz w:val="22"/>
          <w:szCs w:val="22"/>
        </w:rPr>
        <w:t xml:space="preserve"> </w:t>
      </w:r>
      <w:r w:rsidRPr="00C7273D">
        <w:rPr>
          <w:sz w:val="22"/>
          <w:szCs w:val="22"/>
        </w:rPr>
        <w:t xml:space="preserve">plus </w:t>
      </w:r>
      <w:r w:rsidR="0010552E">
        <w:rPr>
          <w:i/>
          <w:sz w:val="22"/>
          <w:szCs w:val="22"/>
        </w:rPr>
        <w:t>AT</w:t>
      </w:r>
      <w:r w:rsidR="0010552E" w:rsidRPr="00C7273D">
        <w:rPr>
          <w:sz w:val="22"/>
          <w:szCs w:val="22"/>
        </w:rPr>
        <w:t xml:space="preserve"> </w:t>
      </w:r>
      <w:r w:rsidRPr="00C7273D">
        <w:rPr>
          <w:sz w:val="22"/>
          <w:szCs w:val="22"/>
        </w:rPr>
        <w:t xml:space="preserve">in year </w:t>
      </w:r>
      <w:r w:rsidRPr="00C7273D">
        <w:rPr>
          <w:i/>
          <w:sz w:val="22"/>
          <w:szCs w:val="22"/>
        </w:rPr>
        <w:t>t</w:t>
      </w:r>
      <w:r>
        <w:rPr>
          <w:i/>
          <w:sz w:val="22"/>
          <w:szCs w:val="22"/>
        </w:rPr>
        <w:t>-1</w:t>
      </w:r>
      <w:r w:rsidRPr="00C7273D">
        <w:rPr>
          <w:i/>
          <w:sz w:val="22"/>
          <w:szCs w:val="22"/>
        </w:rPr>
        <w:t xml:space="preserve"> </w:t>
      </w:r>
      <w:r w:rsidRPr="00C7273D">
        <w:rPr>
          <w:sz w:val="22"/>
          <w:szCs w:val="22"/>
        </w:rPr>
        <w:t xml:space="preserve">less </w:t>
      </w:r>
      <w:r w:rsidRPr="00C7273D">
        <w:rPr>
          <w:i/>
          <w:sz w:val="22"/>
          <w:szCs w:val="22"/>
        </w:rPr>
        <w:t>CEQ</w:t>
      </w:r>
      <w:r w:rsidRPr="00C7273D">
        <w:rPr>
          <w:i/>
          <w:sz w:val="22"/>
          <w:szCs w:val="22"/>
          <w:vertAlign w:val="subscript"/>
        </w:rPr>
        <w:t xml:space="preserve"> </w:t>
      </w:r>
      <w:r w:rsidRPr="00C7273D">
        <w:rPr>
          <w:sz w:val="22"/>
          <w:szCs w:val="22"/>
        </w:rPr>
        <w:t xml:space="preserve">in year </w:t>
      </w:r>
      <w:r w:rsidRPr="00C7273D">
        <w:rPr>
          <w:i/>
          <w:sz w:val="22"/>
          <w:szCs w:val="22"/>
        </w:rPr>
        <w:t>t</w:t>
      </w:r>
      <w:r>
        <w:rPr>
          <w:i/>
          <w:sz w:val="22"/>
          <w:szCs w:val="22"/>
        </w:rPr>
        <w:t>-1</w:t>
      </w:r>
      <w:r w:rsidRPr="00C7273D">
        <w:rPr>
          <w:i/>
          <w:sz w:val="22"/>
          <w:szCs w:val="22"/>
        </w:rPr>
        <w:t xml:space="preserve">, </w:t>
      </w:r>
      <w:r w:rsidRPr="00C7273D">
        <w:rPr>
          <w:sz w:val="22"/>
          <w:szCs w:val="22"/>
        </w:rPr>
        <w:t xml:space="preserve">scaled by </w:t>
      </w:r>
      <w:r w:rsidR="0010552E">
        <w:rPr>
          <w:i/>
          <w:sz w:val="22"/>
          <w:szCs w:val="22"/>
        </w:rPr>
        <w:t>AT</w:t>
      </w:r>
      <w:r w:rsidR="0010552E" w:rsidRPr="00C7273D">
        <w:rPr>
          <w:i/>
          <w:sz w:val="22"/>
          <w:szCs w:val="22"/>
        </w:rPr>
        <w:t xml:space="preserve"> </w:t>
      </w:r>
      <w:r w:rsidRPr="00C7273D">
        <w:rPr>
          <w:sz w:val="22"/>
          <w:szCs w:val="22"/>
        </w:rPr>
        <w:t xml:space="preserve">in year </w:t>
      </w:r>
      <w:r w:rsidRPr="00C7273D">
        <w:rPr>
          <w:i/>
          <w:sz w:val="22"/>
          <w:szCs w:val="22"/>
        </w:rPr>
        <w:t>t</w:t>
      </w:r>
      <w:r>
        <w:rPr>
          <w:i/>
          <w:sz w:val="22"/>
          <w:szCs w:val="22"/>
        </w:rPr>
        <w:t>-1</w:t>
      </w:r>
      <w:r w:rsidRPr="00C7273D">
        <w:rPr>
          <w:sz w:val="22"/>
          <w:szCs w:val="22"/>
        </w:rPr>
        <w:t xml:space="preserve">. </w:t>
      </w:r>
      <w:r>
        <w:rPr>
          <w:i/>
          <w:sz w:val="22"/>
          <w:szCs w:val="22"/>
        </w:rPr>
        <w:t>Med</w:t>
      </w:r>
      <w:r w:rsidRPr="00C7273D">
        <w:rPr>
          <w:i/>
          <w:sz w:val="22"/>
          <w:szCs w:val="22"/>
        </w:rPr>
        <w:t>Q</w:t>
      </w:r>
      <w:r>
        <w:rPr>
          <w:i/>
          <w:sz w:val="22"/>
          <w:szCs w:val="22"/>
          <w:vertAlign w:val="subscript"/>
        </w:rPr>
        <w:t>t-1</w:t>
      </w:r>
      <w:r w:rsidRPr="00C7273D">
        <w:rPr>
          <w:sz w:val="22"/>
          <w:szCs w:val="22"/>
        </w:rPr>
        <w:t xml:space="preserve"> is the </w:t>
      </w:r>
      <w:r>
        <w:rPr>
          <w:sz w:val="22"/>
          <w:szCs w:val="22"/>
        </w:rPr>
        <w:t xml:space="preserve">country-industry-year median </w:t>
      </w:r>
      <w:r w:rsidRPr="00C7273D">
        <w:rPr>
          <w:sz w:val="22"/>
          <w:szCs w:val="22"/>
        </w:rPr>
        <w:t xml:space="preserve">market value of equity in year </w:t>
      </w:r>
      <w:r w:rsidRPr="00C7273D">
        <w:rPr>
          <w:i/>
          <w:sz w:val="22"/>
          <w:szCs w:val="22"/>
        </w:rPr>
        <w:t>t</w:t>
      </w:r>
      <w:r>
        <w:rPr>
          <w:i/>
          <w:sz w:val="22"/>
          <w:szCs w:val="22"/>
        </w:rPr>
        <w:t>-1</w:t>
      </w:r>
      <w:r w:rsidRPr="00C7273D">
        <w:rPr>
          <w:i/>
          <w:sz w:val="22"/>
          <w:szCs w:val="22"/>
        </w:rPr>
        <w:t xml:space="preserve"> </w:t>
      </w:r>
      <w:r w:rsidRPr="00C7273D">
        <w:rPr>
          <w:sz w:val="22"/>
          <w:szCs w:val="22"/>
        </w:rPr>
        <w:t>(</w:t>
      </w:r>
      <w:r w:rsidRPr="00C7273D">
        <w:rPr>
          <w:i/>
          <w:sz w:val="22"/>
          <w:szCs w:val="22"/>
        </w:rPr>
        <w:t>PRCC_F*CSHO</w:t>
      </w:r>
      <w:r w:rsidRPr="00C7273D">
        <w:rPr>
          <w:sz w:val="22"/>
          <w:szCs w:val="22"/>
        </w:rPr>
        <w:t>)</w:t>
      </w:r>
      <w:r w:rsidRPr="00C7273D">
        <w:rPr>
          <w:i/>
          <w:sz w:val="22"/>
          <w:szCs w:val="22"/>
        </w:rPr>
        <w:t xml:space="preserve"> </w:t>
      </w:r>
      <w:r w:rsidRPr="00C7273D">
        <w:rPr>
          <w:sz w:val="22"/>
          <w:szCs w:val="22"/>
        </w:rPr>
        <w:t xml:space="preserve">plus </w:t>
      </w:r>
      <w:r w:rsidR="0010552E">
        <w:rPr>
          <w:i/>
          <w:sz w:val="22"/>
          <w:szCs w:val="22"/>
        </w:rPr>
        <w:t>AT</w:t>
      </w:r>
      <w:r w:rsidR="0010552E" w:rsidRPr="00C7273D">
        <w:rPr>
          <w:sz w:val="22"/>
          <w:szCs w:val="22"/>
        </w:rPr>
        <w:t xml:space="preserve"> </w:t>
      </w:r>
      <w:r w:rsidRPr="00C7273D">
        <w:rPr>
          <w:sz w:val="22"/>
          <w:szCs w:val="22"/>
        </w:rPr>
        <w:t xml:space="preserve">in year </w:t>
      </w:r>
      <w:r w:rsidRPr="00C7273D">
        <w:rPr>
          <w:i/>
          <w:sz w:val="22"/>
          <w:szCs w:val="22"/>
        </w:rPr>
        <w:t>t</w:t>
      </w:r>
      <w:r>
        <w:rPr>
          <w:i/>
          <w:sz w:val="22"/>
          <w:szCs w:val="22"/>
        </w:rPr>
        <w:t>-1</w:t>
      </w:r>
      <w:r w:rsidRPr="00C7273D">
        <w:rPr>
          <w:i/>
          <w:sz w:val="22"/>
          <w:szCs w:val="22"/>
        </w:rPr>
        <w:t xml:space="preserve"> </w:t>
      </w:r>
      <w:r w:rsidRPr="00C7273D">
        <w:rPr>
          <w:sz w:val="22"/>
          <w:szCs w:val="22"/>
        </w:rPr>
        <w:t xml:space="preserve">less </w:t>
      </w:r>
      <w:r w:rsidRPr="00C7273D">
        <w:rPr>
          <w:i/>
          <w:sz w:val="22"/>
          <w:szCs w:val="22"/>
        </w:rPr>
        <w:t>CEQ</w:t>
      </w:r>
      <w:r w:rsidRPr="00C7273D">
        <w:rPr>
          <w:i/>
          <w:sz w:val="22"/>
          <w:szCs w:val="22"/>
          <w:vertAlign w:val="subscript"/>
        </w:rPr>
        <w:t xml:space="preserve"> </w:t>
      </w:r>
      <w:r w:rsidRPr="00C7273D">
        <w:rPr>
          <w:sz w:val="22"/>
          <w:szCs w:val="22"/>
        </w:rPr>
        <w:t xml:space="preserve">in year </w:t>
      </w:r>
      <w:r w:rsidRPr="00C7273D">
        <w:rPr>
          <w:i/>
          <w:sz w:val="22"/>
          <w:szCs w:val="22"/>
        </w:rPr>
        <w:t>t</w:t>
      </w:r>
      <w:r>
        <w:rPr>
          <w:i/>
          <w:sz w:val="22"/>
          <w:szCs w:val="22"/>
        </w:rPr>
        <w:t>-1</w:t>
      </w:r>
      <w:r w:rsidRPr="00C7273D">
        <w:rPr>
          <w:i/>
          <w:sz w:val="22"/>
          <w:szCs w:val="22"/>
        </w:rPr>
        <w:t xml:space="preserve">, </w:t>
      </w:r>
      <w:r w:rsidRPr="00C7273D">
        <w:rPr>
          <w:sz w:val="22"/>
          <w:szCs w:val="22"/>
        </w:rPr>
        <w:t xml:space="preserve">scaled by </w:t>
      </w:r>
      <w:r w:rsidR="0010552E">
        <w:rPr>
          <w:i/>
          <w:sz w:val="22"/>
          <w:szCs w:val="22"/>
        </w:rPr>
        <w:t>AT</w:t>
      </w:r>
      <w:r w:rsidR="0010552E" w:rsidRPr="00C7273D">
        <w:rPr>
          <w:i/>
          <w:sz w:val="22"/>
          <w:szCs w:val="22"/>
        </w:rPr>
        <w:t xml:space="preserve"> </w:t>
      </w:r>
      <w:r w:rsidRPr="00C7273D">
        <w:rPr>
          <w:sz w:val="22"/>
          <w:szCs w:val="22"/>
        </w:rPr>
        <w:t xml:space="preserve">in year </w:t>
      </w:r>
      <w:r w:rsidRPr="00C7273D">
        <w:rPr>
          <w:i/>
          <w:sz w:val="22"/>
          <w:szCs w:val="22"/>
        </w:rPr>
        <w:t>t</w:t>
      </w:r>
      <w:r>
        <w:rPr>
          <w:i/>
          <w:sz w:val="22"/>
          <w:szCs w:val="22"/>
        </w:rPr>
        <w:t>-1</w:t>
      </w:r>
      <w:r w:rsidRPr="00C7273D">
        <w:rPr>
          <w:sz w:val="22"/>
          <w:szCs w:val="22"/>
        </w:rPr>
        <w:t xml:space="preserve">. </w:t>
      </w:r>
      <w:r>
        <w:rPr>
          <w:i/>
          <w:sz w:val="22"/>
          <w:szCs w:val="22"/>
        </w:rPr>
        <w:t>MedPE</w:t>
      </w:r>
      <w:r>
        <w:rPr>
          <w:i/>
          <w:sz w:val="22"/>
          <w:szCs w:val="22"/>
          <w:vertAlign w:val="subscript"/>
        </w:rPr>
        <w:t>t-1</w:t>
      </w:r>
      <w:r w:rsidRPr="00C7273D">
        <w:rPr>
          <w:sz w:val="22"/>
          <w:szCs w:val="22"/>
        </w:rPr>
        <w:t xml:space="preserve"> is the </w:t>
      </w:r>
      <w:r>
        <w:rPr>
          <w:sz w:val="22"/>
          <w:szCs w:val="22"/>
        </w:rPr>
        <w:t xml:space="preserve">country-industry-year median price to earnings ratio reported by </w:t>
      </w:r>
      <w:proofErr w:type="spellStart"/>
      <w:r w:rsidRPr="00D251D2">
        <w:rPr>
          <w:i/>
          <w:sz w:val="22"/>
          <w:szCs w:val="22"/>
        </w:rPr>
        <w:t>WorldScope</w:t>
      </w:r>
      <w:proofErr w:type="spellEnd"/>
      <w:r w:rsidRPr="00C7273D">
        <w:rPr>
          <w:sz w:val="22"/>
          <w:szCs w:val="22"/>
        </w:rPr>
        <w:t xml:space="preserve"> in year </w:t>
      </w:r>
      <w:r w:rsidRPr="00C7273D">
        <w:rPr>
          <w:i/>
          <w:sz w:val="22"/>
          <w:szCs w:val="22"/>
        </w:rPr>
        <w:t>t</w:t>
      </w:r>
      <w:r>
        <w:rPr>
          <w:i/>
          <w:sz w:val="22"/>
          <w:szCs w:val="22"/>
        </w:rPr>
        <w:t>-1</w:t>
      </w:r>
      <w:r w:rsidRPr="00C7273D">
        <w:rPr>
          <w:sz w:val="22"/>
          <w:szCs w:val="22"/>
        </w:rPr>
        <w:t xml:space="preserve">. </w:t>
      </w:r>
      <w:r>
        <w:rPr>
          <w:i/>
          <w:sz w:val="22"/>
          <w:szCs w:val="22"/>
        </w:rPr>
        <w:t>CF</w:t>
      </w:r>
      <w:r w:rsidRPr="003D3966">
        <w:rPr>
          <w:i/>
          <w:sz w:val="22"/>
          <w:szCs w:val="22"/>
          <w:vertAlign w:val="subscript"/>
        </w:rPr>
        <w:t>t-1</w:t>
      </w:r>
      <w:r>
        <w:rPr>
          <w:i/>
          <w:sz w:val="22"/>
          <w:szCs w:val="22"/>
        </w:rPr>
        <w:t xml:space="preserve"> </w:t>
      </w:r>
      <w:r>
        <w:rPr>
          <w:sz w:val="22"/>
          <w:szCs w:val="22"/>
        </w:rPr>
        <w:t xml:space="preserve">is </w:t>
      </w:r>
      <w:r>
        <w:rPr>
          <w:i/>
          <w:sz w:val="22"/>
          <w:szCs w:val="22"/>
        </w:rPr>
        <w:t>C</w:t>
      </w:r>
      <w:r w:rsidRPr="00F66523">
        <w:rPr>
          <w:i/>
          <w:sz w:val="22"/>
          <w:szCs w:val="22"/>
        </w:rPr>
        <w:t>FO</w:t>
      </w:r>
      <w:r w:rsidRPr="003D3966">
        <w:rPr>
          <w:i/>
          <w:sz w:val="22"/>
          <w:szCs w:val="22"/>
          <w:vertAlign w:val="subscript"/>
        </w:rPr>
        <w:t>t-1</w:t>
      </w:r>
      <w:r w:rsidRPr="00F66523">
        <w:rPr>
          <w:i/>
          <w:sz w:val="22"/>
          <w:szCs w:val="22"/>
        </w:rPr>
        <w:t xml:space="preserve"> </w:t>
      </w:r>
      <w:r w:rsidRPr="00F66523">
        <w:rPr>
          <w:sz w:val="22"/>
          <w:szCs w:val="22"/>
        </w:rPr>
        <w:t xml:space="preserve">scaled by </w:t>
      </w:r>
      <w:r w:rsidR="0010552E">
        <w:rPr>
          <w:i/>
          <w:sz w:val="22"/>
          <w:szCs w:val="22"/>
        </w:rPr>
        <w:t>AT</w:t>
      </w:r>
      <w:r w:rsidR="0010552E" w:rsidRPr="00F66523">
        <w:rPr>
          <w:i/>
          <w:sz w:val="22"/>
          <w:szCs w:val="22"/>
          <w:vertAlign w:val="subscript"/>
        </w:rPr>
        <w:t>t</w:t>
      </w:r>
      <w:r w:rsidRPr="00F66523">
        <w:rPr>
          <w:i/>
          <w:sz w:val="22"/>
          <w:szCs w:val="22"/>
          <w:vertAlign w:val="subscript"/>
        </w:rPr>
        <w:t>-</w:t>
      </w:r>
      <w:r>
        <w:rPr>
          <w:i/>
          <w:sz w:val="22"/>
          <w:szCs w:val="22"/>
          <w:vertAlign w:val="subscript"/>
        </w:rPr>
        <w:t>2</w:t>
      </w:r>
      <w:r w:rsidRPr="00F66523">
        <w:rPr>
          <w:sz w:val="22"/>
          <w:szCs w:val="22"/>
        </w:rPr>
        <w:t xml:space="preserve">. </w:t>
      </w:r>
      <w:r w:rsidRPr="003D3966">
        <w:rPr>
          <w:i/>
          <w:iCs/>
          <w:sz w:val="22"/>
          <w:szCs w:val="22"/>
        </w:rPr>
        <w:t>LogAT</w:t>
      </w:r>
      <w:r w:rsidRPr="003D3966">
        <w:rPr>
          <w:i/>
          <w:iCs/>
          <w:sz w:val="22"/>
          <w:szCs w:val="22"/>
          <w:vertAlign w:val="subscript"/>
        </w:rPr>
        <w:t>t-1</w:t>
      </w:r>
      <w:r>
        <w:rPr>
          <w:sz w:val="22"/>
          <w:szCs w:val="22"/>
        </w:rPr>
        <w:t xml:space="preserve"> is the natural log of </w:t>
      </w:r>
      <w:r w:rsidR="0010552E">
        <w:rPr>
          <w:i/>
          <w:sz w:val="22"/>
          <w:szCs w:val="22"/>
        </w:rPr>
        <w:t>AT</w:t>
      </w:r>
      <w:r w:rsidR="0010552E" w:rsidRPr="003D3966">
        <w:rPr>
          <w:i/>
          <w:sz w:val="22"/>
          <w:szCs w:val="22"/>
          <w:vertAlign w:val="subscript"/>
        </w:rPr>
        <w:t>t</w:t>
      </w:r>
      <w:r w:rsidRPr="003D3966">
        <w:rPr>
          <w:i/>
          <w:sz w:val="22"/>
          <w:szCs w:val="22"/>
          <w:vertAlign w:val="subscript"/>
        </w:rPr>
        <w:t>-1</w:t>
      </w:r>
      <w:r w:rsidRPr="00F66523">
        <w:rPr>
          <w:sz w:val="22"/>
          <w:szCs w:val="22"/>
        </w:rPr>
        <w:t>.</w:t>
      </w:r>
      <w:r>
        <w:rPr>
          <w:sz w:val="22"/>
          <w:szCs w:val="22"/>
        </w:rPr>
        <w:t xml:space="preserve"> </w:t>
      </w:r>
      <w:r>
        <w:rPr>
          <w:i/>
          <w:iCs/>
          <w:sz w:val="22"/>
          <w:szCs w:val="22"/>
        </w:rPr>
        <w:t>ROA</w:t>
      </w:r>
      <w:r w:rsidRPr="003D3966">
        <w:rPr>
          <w:i/>
          <w:iCs/>
          <w:sz w:val="22"/>
          <w:szCs w:val="22"/>
          <w:vertAlign w:val="subscript"/>
        </w:rPr>
        <w:t>t-1</w:t>
      </w:r>
      <w:r>
        <w:rPr>
          <w:sz w:val="22"/>
          <w:szCs w:val="22"/>
        </w:rPr>
        <w:t xml:space="preserve"> is income before extraordinary items (</w:t>
      </w:r>
      <w:r>
        <w:rPr>
          <w:i/>
          <w:iCs/>
          <w:sz w:val="22"/>
          <w:szCs w:val="22"/>
        </w:rPr>
        <w:t>IB)</w:t>
      </w:r>
      <w:r>
        <w:rPr>
          <w:sz w:val="22"/>
          <w:szCs w:val="22"/>
        </w:rPr>
        <w:t xml:space="preserve"> scaled by </w:t>
      </w:r>
      <w:r w:rsidR="0010552E">
        <w:rPr>
          <w:i/>
          <w:sz w:val="22"/>
          <w:szCs w:val="22"/>
        </w:rPr>
        <w:t>AT</w:t>
      </w:r>
      <w:r w:rsidR="0010552E" w:rsidRPr="003D3966">
        <w:rPr>
          <w:i/>
          <w:sz w:val="22"/>
          <w:szCs w:val="22"/>
          <w:vertAlign w:val="subscript"/>
        </w:rPr>
        <w:t>t</w:t>
      </w:r>
      <w:r w:rsidRPr="003D3966">
        <w:rPr>
          <w:i/>
          <w:sz w:val="22"/>
          <w:szCs w:val="22"/>
          <w:vertAlign w:val="subscript"/>
        </w:rPr>
        <w:t>-1</w:t>
      </w:r>
      <w:r w:rsidRPr="00F66523">
        <w:rPr>
          <w:sz w:val="22"/>
          <w:szCs w:val="22"/>
        </w:rPr>
        <w:t>.</w:t>
      </w:r>
      <w:r>
        <w:rPr>
          <w:sz w:val="22"/>
          <w:szCs w:val="22"/>
        </w:rPr>
        <w:t xml:space="preserve"> </w:t>
      </w:r>
      <w:r w:rsidRPr="00D40129">
        <w:rPr>
          <w:i/>
          <w:sz w:val="22"/>
          <w:szCs w:val="22"/>
        </w:rPr>
        <w:t>G</w:t>
      </w:r>
      <w:r w:rsidRPr="00D40129">
        <w:rPr>
          <w:sz w:val="22"/>
          <w:szCs w:val="22"/>
        </w:rPr>
        <w:t xml:space="preserve"> is a firm-specific measure of sensitivity to tax rates calculated as </w:t>
      </w:r>
      <w:r>
        <w:rPr>
          <w:sz w:val="22"/>
          <w:szCs w:val="22"/>
        </w:rPr>
        <w:t xml:space="preserve">negative one multiplied by </w:t>
      </w:r>
      <w:r w:rsidRPr="00D40129">
        <w:rPr>
          <w:sz w:val="22"/>
          <w:szCs w:val="22"/>
        </w:rPr>
        <w:t xml:space="preserve">the sum of </w:t>
      </w:r>
      <w:r>
        <w:rPr>
          <w:sz w:val="22"/>
          <w:szCs w:val="22"/>
        </w:rPr>
        <w:t>estimated</w:t>
      </w:r>
      <w:r w:rsidRPr="00D40129">
        <w:rPr>
          <w:i/>
          <w:sz w:val="22"/>
          <w:szCs w:val="22"/>
        </w:rPr>
        <w:t xml:space="preserve"> β</w:t>
      </w:r>
      <w:r w:rsidRPr="00D40129">
        <w:rPr>
          <w:i/>
          <w:sz w:val="22"/>
          <w:szCs w:val="22"/>
          <w:vertAlign w:val="subscript"/>
        </w:rPr>
        <w:t>7</w:t>
      </w:r>
      <w:r w:rsidRPr="00D40129">
        <w:rPr>
          <w:sz w:val="22"/>
          <w:szCs w:val="22"/>
        </w:rPr>
        <w:t xml:space="preserve"> and</w:t>
      </w:r>
      <w:r w:rsidRPr="00D40129">
        <w:rPr>
          <w:i/>
          <w:sz w:val="22"/>
          <w:szCs w:val="22"/>
        </w:rPr>
        <w:t xml:space="preserve"> β</w:t>
      </w:r>
      <w:r w:rsidRPr="00D40129">
        <w:rPr>
          <w:i/>
          <w:sz w:val="22"/>
          <w:szCs w:val="22"/>
          <w:vertAlign w:val="subscript"/>
        </w:rPr>
        <w:t>11</w:t>
      </w:r>
      <w:r w:rsidRPr="00D40129">
        <w:rPr>
          <w:sz w:val="22"/>
          <w:szCs w:val="22"/>
        </w:rPr>
        <w:t xml:space="preserve"> from estimating the following regression using affiliate-level data: </w:t>
      </w:r>
    </w:p>
    <w:p w14:paraId="2ED85489" w14:textId="77777777" w:rsidR="000B49F3" w:rsidRPr="00D40129" w:rsidRDefault="000B49F3" w:rsidP="000B49F3">
      <w:pPr>
        <w:jc w:val="both"/>
        <w:rPr>
          <w:i/>
          <w:sz w:val="22"/>
          <w:szCs w:val="22"/>
        </w:rPr>
      </w:pPr>
      <w:proofErr w:type="gramStart"/>
      <w:r w:rsidRPr="00D40129">
        <w:rPr>
          <w:sz w:val="22"/>
          <w:szCs w:val="22"/>
        </w:rPr>
        <w:t>ln(</w:t>
      </w:r>
      <w:proofErr w:type="gramEnd"/>
      <w:r w:rsidRPr="00D40129">
        <w:rPr>
          <w:i/>
          <w:sz w:val="22"/>
          <w:szCs w:val="22"/>
        </w:rPr>
        <w:sym w:font="Symbol" w:char="F070"/>
      </w:r>
      <w:proofErr w:type="spellStart"/>
      <w:r w:rsidRPr="00D40129">
        <w:rPr>
          <w:i/>
          <w:sz w:val="22"/>
          <w:szCs w:val="22"/>
          <w:vertAlign w:val="subscript"/>
        </w:rPr>
        <w:t>i</w:t>
      </w:r>
      <w:proofErr w:type="spellEnd"/>
      <w:r w:rsidRPr="00D40129">
        <w:rPr>
          <w:sz w:val="22"/>
          <w:szCs w:val="22"/>
        </w:rPr>
        <w:t xml:space="preserve"> + 1) = </w:t>
      </w:r>
      <w:r w:rsidRPr="00D40129">
        <w:rPr>
          <w:i/>
          <w:sz w:val="22"/>
          <w:szCs w:val="22"/>
        </w:rPr>
        <w:t>β</w:t>
      </w:r>
      <w:r w:rsidRPr="00D40129">
        <w:rPr>
          <w:i/>
          <w:sz w:val="22"/>
          <w:szCs w:val="22"/>
          <w:vertAlign w:val="subscript"/>
        </w:rPr>
        <w:t>0</w:t>
      </w:r>
      <w:r w:rsidRPr="00D40129">
        <w:rPr>
          <w:sz w:val="22"/>
          <w:szCs w:val="22"/>
        </w:rPr>
        <w:t xml:space="preserve"> + </w:t>
      </w:r>
      <w:r w:rsidRPr="00D40129">
        <w:rPr>
          <w:i/>
          <w:sz w:val="22"/>
          <w:szCs w:val="22"/>
        </w:rPr>
        <w:t>β</w:t>
      </w:r>
      <w:r w:rsidRPr="00D40129">
        <w:rPr>
          <w:i/>
          <w:sz w:val="22"/>
          <w:szCs w:val="22"/>
          <w:vertAlign w:val="subscript"/>
        </w:rPr>
        <w:t>1</w:t>
      </w:r>
      <w:r w:rsidRPr="00D40129">
        <w:rPr>
          <w:i/>
          <w:sz w:val="22"/>
          <w:szCs w:val="22"/>
        </w:rPr>
        <w:t>*</w:t>
      </w:r>
      <w:r w:rsidRPr="00D40129">
        <w:rPr>
          <w:sz w:val="22"/>
          <w:szCs w:val="22"/>
        </w:rPr>
        <w:t>ln(</w:t>
      </w:r>
      <w:proofErr w:type="spellStart"/>
      <w:r w:rsidRPr="00D40129">
        <w:rPr>
          <w:i/>
          <w:sz w:val="22"/>
          <w:szCs w:val="22"/>
        </w:rPr>
        <w:t>TangibleAssets</w:t>
      </w:r>
      <w:r w:rsidRPr="00D40129">
        <w:rPr>
          <w:i/>
          <w:sz w:val="22"/>
          <w:szCs w:val="22"/>
          <w:vertAlign w:val="subscript"/>
        </w:rPr>
        <w:t>it</w:t>
      </w:r>
      <w:proofErr w:type="spellEnd"/>
      <w:r w:rsidRPr="00D40129">
        <w:rPr>
          <w:sz w:val="22"/>
          <w:szCs w:val="22"/>
        </w:rPr>
        <w:t xml:space="preserve">) + </w:t>
      </w:r>
      <w:r w:rsidRPr="00D40129">
        <w:rPr>
          <w:i/>
          <w:sz w:val="22"/>
          <w:szCs w:val="22"/>
        </w:rPr>
        <w:t>β</w:t>
      </w:r>
      <w:r w:rsidRPr="00D40129">
        <w:rPr>
          <w:i/>
          <w:sz w:val="22"/>
          <w:szCs w:val="22"/>
          <w:vertAlign w:val="subscript"/>
        </w:rPr>
        <w:t>2</w:t>
      </w:r>
      <w:r w:rsidRPr="00D40129">
        <w:rPr>
          <w:i/>
          <w:sz w:val="22"/>
          <w:szCs w:val="22"/>
        </w:rPr>
        <w:t>*</w:t>
      </w:r>
      <w:r w:rsidRPr="00D40129">
        <w:rPr>
          <w:sz w:val="22"/>
          <w:szCs w:val="22"/>
        </w:rPr>
        <w:t>ln(</w:t>
      </w:r>
      <w:proofErr w:type="spellStart"/>
      <w:r w:rsidRPr="00D40129">
        <w:rPr>
          <w:i/>
          <w:sz w:val="22"/>
          <w:szCs w:val="22"/>
        </w:rPr>
        <w:t>CompExp</w:t>
      </w:r>
      <w:r w:rsidRPr="00D40129">
        <w:rPr>
          <w:i/>
          <w:sz w:val="22"/>
          <w:szCs w:val="22"/>
          <w:vertAlign w:val="subscript"/>
        </w:rPr>
        <w:t>it</w:t>
      </w:r>
      <w:proofErr w:type="spellEnd"/>
      <w:r w:rsidRPr="00D40129">
        <w:rPr>
          <w:sz w:val="22"/>
          <w:szCs w:val="22"/>
        </w:rPr>
        <w:t xml:space="preserve">) + </w:t>
      </w:r>
      <w:r w:rsidRPr="00D40129">
        <w:rPr>
          <w:i/>
          <w:sz w:val="22"/>
          <w:szCs w:val="22"/>
        </w:rPr>
        <w:t>β</w:t>
      </w:r>
      <w:r w:rsidRPr="00D40129">
        <w:rPr>
          <w:i/>
          <w:sz w:val="22"/>
          <w:szCs w:val="22"/>
          <w:vertAlign w:val="subscript"/>
        </w:rPr>
        <w:t>3</w:t>
      </w:r>
      <w:r w:rsidRPr="00D40129">
        <w:rPr>
          <w:i/>
          <w:sz w:val="22"/>
          <w:szCs w:val="22"/>
        </w:rPr>
        <w:t>*</w:t>
      </w:r>
      <w:proofErr w:type="spellStart"/>
      <w:r w:rsidRPr="00D40129">
        <w:rPr>
          <w:i/>
          <w:sz w:val="22"/>
          <w:szCs w:val="22"/>
        </w:rPr>
        <w:t>IndustryROA</w:t>
      </w:r>
      <w:r w:rsidRPr="00D40129">
        <w:rPr>
          <w:i/>
          <w:sz w:val="22"/>
          <w:szCs w:val="22"/>
          <w:vertAlign w:val="subscript"/>
        </w:rPr>
        <w:t>t</w:t>
      </w:r>
      <w:proofErr w:type="spellEnd"/>
      <w:r w:rsidRPr="00D40129">
        <w:rPr>
          <w:sz w:val="22"/>
          <w:szCs w:val="22"/>
        </w:rPr>
        <w:t xml:space="preserve"> </w:t>
      </w:r>
      <w:r w:rsidRPr="00D40129">
        <w:rPr>
          <w:i/>
          <w:sz w:val="22"/>
          <w:szCs w:val="22"/>
        </w:rPr>
        <w:t>+ β</w:t>
      </w:r>
      <w:r w:rsidRPr="00D40129">
        <w:rPr>
          <w:i/>
          <w:sz w:val="22"/>
          <w:szCs w:val="22"/>
          <w:vertAlign w:val="subscript"/>
        </w:rPr>
        <w:t>4</w:t>
      </w:r>
      <w:r w:rsidRPr="00D40129">
        <w:rPr>
          <w:i/>
          <w:sz w:val="22"/>
          <w:szCs w:val="22"/>
        </w:rPr>
        <w:t>*</w:t>
      </w:r>
      <w:proofErr w:type="spellStart"/>
      <w:r w:rsidRPr="00D40129">
        <w:rPr>
          <w:i/>
          <w:sz w:val="22"/>
          <w:szCs w:val="22"/>
        </w:rPr>
        <w:t>Age</w:t>
      </w:r>
      <w:r w:rsidRPr="00D40129">
        <w:rPr>
          <w:i/>
          <w:sz w:val="22"/>
          <w:szCs w:val="22"/>
          <w:vertAlign w:val="subscript"/>
        </w:rPr>
        <w:t>it</w:t>
      </w:r>
      <w:proofErr w:type="spellEnd"/>
      <w:r w:rsidRPr="00D40129">
        <w:rPr>
          <w:i/>
          <w:sz w:val="22"/>
          <w:szCs w:val="22"/>
        </w:rPr>
        <w:t xml:space="preserve"> + β</w:t>
      </w:r>
      <w:r w:rsidRPr="00D40129">
        <w:rPr>
          <w:i/>
          <w:sz w:val="22"/>
          <w:szCs w:val="22"/>
          <w:vertAlign w:val="subscript"/>
        </w:rPr>
        <w:t>5</w:t>
      </w:r>
      <w:r w:rsidRPr="00D40129">
        <w:rPr>
          <w:i/>
          <w:sz w:val="22"/>
          <w:szCs w:val="22"/>
        </w:rPr>
        <w:t>*∆</w:t>
      </w:r>
      <w:proofErr w:type="spellStart"/>
      <w:r w:rsidRPr="00D40129">
        <w:rPr>
          <w:i/>
          <w:sz w:val="22"/>
          <w:szCs w:val="22"/>
        </w:rPr>
        <w:t>GDP</w:t>
      </w:r>
      <w:r w:rsidRPr="00D40129">
        <w:rPr>
          <w:i/>
          <w:sz w:val="22"/>
          <w:szCs w:val="22"/>
          <w:vertAlign w:val="subscript"/>
        </w:rPr>
        <w:t>t</w:t>
      </w:r>
      <w:proofErr w:type="spellEnd"/>
      <w:r w:rsidRPr="00D40129">
        <w:rPr>
          <w:i/>
          <w:sz w:val="22"/>
          <w:szCs w:val="22"/>
        </w:rPr>
        <w:t xml:space="preserve"> </w:t>
      </w:r>
    </w:p>
    <w:p w14:paraId="3C2FCB3C" w14:textId="77777777" w:rsidR="000B49F3" w:rsidRPr="00D40129" w:rsidRDefault="000B49F3" w:rsidP="000B49F3">
      <w:pPr>
        <w:jc w:val="both"/>
        <w:rPr>
          <w:sz w:val="22"/>
          <w:szCs w:val="22"/>
        </w:rPr>
      </w:pPr>
      <w:r w:rsidRPr="00D40129">
        <w:rPr>
          <w:i/>
          <w:sz w:val="22"/>
          <w:szCs w:val="22"/>
        </w:rPr>
        <w:t xml:space="preserve">   + β</w:t>
      </w:r>
      <w:r w:rsidRPr="00D40129">
        <w:rPr>
          <w:i/>
          <w:sz w:val="22"/>
          <w:szCs w:val="22"/>
          <w:vertAlign w:val="subscript"/>
        </w:rPr>
        <w:t>6</w:t>
      </w:r>
      <w:r w:rsidRPr="00D40129">
        <w:rPr>
          <w:i/>
          <w:sz w:val="22"/>
          <w:szCs w:val="22"/>
        </w:rPr>
        <w:t>*∆</w:t>
      </w:r>
      <w:proofErr w:type="spellStart"/>
      <w:r w:rsidRPr="00D40129">
        <w:rPr>
          <w:i/>
          <w:sz w:val="22"/>
          <w:szCs w:val="22"/>
        </w:rPr>
        <w:t>MarketSize</w:t>
      </w:r>
      <w:r w:rsidRPr="00D40129">
        <w:rPr>
          <w:i/>
          <w:sz w:val="22"/>
          <w:szCs w:val="22"/>
          <w:vertAlign w:val="subscript"/>
        </w:rPr>
        <w:t>t</w:t>
      </w:r>
      <w:proofErr w:type="spellEnd"/>
      <w:r w:rsidRPr="00D40129">
        <w:rPr>
          <w:i/>
          <w:sz w:val="22"/>
          <w:szCs w:val="22"/>
        </w:rPr>
        <w:t xml:space="preserve"> + β</w:t>
      </w:r>
      <w:r w:rsidRPr="00D40129">
        <w:rPr>
          <w:i/>
          <w:sz w:val="22"/>
          <w:szCs w:val="22"/>
          <w:vertAlign w:val="subscript"/>
        </w:rPr>
        <w:t>7</w:t>
      </w:r>
      <w:r w:rsidRPr="00D40129">
        <w:rPr>
          <w:i/>
          <w:sz w:val="22"/>
          <w:szCs w:val="22"/>
        </w:rPr>
        <w:t>*</w:t>
      </w:r>
      <w:proofErr w:type="spellStart"/>
      <w:r w:rsidRPr="00D40129">
        <w:rPr>
          <w:i/>
          <w:sz w:val="22"/>
          <w:szCs w:val="22"/>
        </w:rPr>
        <w:t>C</w:t>
      </w:r>
      <w:r w:rsidRPr="00D40129">
        <w:rPr>
          <w:i/>
          <w:sz w:val="22"/>
          <w:szCs w:val="22"/>
          <w:vertAlign w:val="subscript"/>
        </w:rPr>
        <w:t>it</w:t>
      </w:r>
      <w:proofErr w:type="spellEnd"/>
      <w:r w:rsidRPr="00D40129">
        <w:rPr>
          <w:i/>
          <w:sz w:val="22"/>
          <w:szCs w:val="22"/>
        </w:rPr>
        <w:t xml:space="preserve"> + β</w:t>
      </w:r>
      <w:r w:rsidRPr="00D40129">
        <w:rPr>
          <w:i/>
          <w:sz w:val="22"/>
          <w:szCs w:val="22"/>
          <w:vertAlign w:val="subscript"/>
        </w:rPr>
        <w:t>8</w:t>
      </w:r>
      <w:r w:rsidRPr="00D40129">
        <w:rPr>
          <w:i/>
          <w:sz w:val="22"/>
          <w:szCs w:val="22"/>
        </w:rPr>
        <w:t>*</w:t>
      </w:r>
      <w:proofErr w:type="spellStart"/>
      <w:r w:rsidRPr="00D40129">
        <w:rPr>
          <w:i/>
          <w:sz w:val="22"/>
          <w:szCs w:val="22"/>
        </w:rPr>
        <w:t>Loss</w:t>
      </w:r>
      <w:r w:rsidRPr="00D40129">
        <w:rPr>
          <w:i/>
          <w:sz w:val="22"/>
          <w:szCs w:val="22"/>
          <w:vertAlign w:val="subscript"/>
        </w:rPr>
        <w:t>it</w:t>
      </w:r>
      <w:proofErr w:type="spellEnd"/>
      <w:r w:rsidRPr="00D40129">
        <w:rPr>
          <w:i/>
          <w:sz w:val="22"/>
          <w:szCs w:val="22"/>
        </w:rPr>
        <w:t xml:space="preserve"> + β</w:t>
      </w:r>
      <w:r w:rsidRPr="00D40129">
        <w:rPr>
          <w:i/>
          <w:sz w:val="22"/>
          <w:szCs w:val="22"/>
          <w:vertAlign w:val="subscript"/>
        </w:rPr>
        <w:t>9</w:t>
      </w:r>
      <w:r w:rsidRPr="00D40129">
        <w:rPr>
          <w:i/>
          <w:sz w:val="22"/>
          <w:szCs w:val="22"/>
        </w:rPr>
        <w:t>*</w:t>
      </w:r>
      <w:proofErr w:type="spellStart"/>
      <w:r w:rsidRPr="00D40129">
        <w:rPr>
          <w:i/>
          <w:sz w:val="22"/>
          <w:szCs w:val="22"/>
        </w:rPr>
        <w:t>Loss</w:t>
      </w:r>
      <w:r w:rsidRPr="00D40129">
        <w:rPr>
          <w:i/>
          <w:sz w:val="22"/>
          <w:szCs w:val="22"/>
          <w:vertAlign w:val="subscript"/>
        </w:rPr>
        <w:t>it</w:t>
      </w:r>
      <w:proofErr w:type="spellEnd"/>
      <w:r w:rsidRPr="00D40129">
        <w:rPr>
          <w:i/>
          <w:sz w:val="22"/>
          <w:szCs w:val="22"/>
        </w:rPr>
        <w:t>*</w:t>
      </w:r>
      <w:proofErr w:type="spellStart"/>
      <w:r w:rsidRPr="00D40129">
        <w:rPr>
          <w:i/>
          <w:sz w:val="22"/>
          <w:szCs w:val="22"/>
        </w:rPr>
        <w:t>C</w:t>
      </w:r>
      <w:r w:rsidRPr="00D40129">
        <w:rPr>
          <w:i/>
          <w:sz w:val="22"/>
          <w:szCs w:val="22"/>
          <w:vertAlign w:val="subscript"/>
        </w:rPr>
        <w:t>it</w:t>
      </w:r>
      <w:proofErr w:type="spellEnd"/>
      <w:r w:rsidRPr="00D40129">
        <w:rPr>
          <w:sz w:val="22"/>
          <w:szCs w:val="22"/>
        </w:rPr>
        <w:t xml:space="preserve"> + </w:t>
      </w:r>
      <w:r w:rsidRPr="00D40129">
        <w:rPr>
          <w:i/>
          <w:sz w:val="22"/>
          <w:szCs w:val="22"/>
        </w:rPr>
        <w:t>β</w:t>
      </w:r>
      <w:r w:rsidRPr="00D40129">
        <w:rPr>
          <w:i/>
          <w:sz w:val="22"/>
          <w:szCs w:val="22"/>
          <w:vertAlign w:val="subscript"/>
        </w:rPr>
        <w:t>10</w:t>
      </w:r>
      <w:proofErr w:type="gramStart"/>
      <w:r>
        <w:rPr>
          <w:i/>
          <w:sz w:val="22"/>
          <w:szCs w:val="22"/>
          <w:vertAlign w:val="subscript"/>
        </w:rPr>
        <w:t>,</w:t>
      </w:r>
      <w:r w:rsidRPr="00625372">
        <w:rPr>
          <w:i/>
          <w:sz w:val="22"/>
          <w:szCs w:val="22"/>
          <w:vertAlign w:val="subscript"/>
        </w:rPr>
        <w:t>f</w:t>
      </w:r>
      <w:proofErr w:type="gramEnd"/>
      <w:r w:rsidRPr="00D40129">
        <w:rPr>
          <w:sz w:val="22"/>
          <w:szCs w:val="22"/>
        </w:rPr>
        <w:t>*</w:t>
      </w:r>
      <w:proofErr w:type="spellStart"/>
      <w:r w:rsidRPr="00D40129">
        <w:rPr>
          <w:i/>
          <w:sz w:val="22"/>
          <w:szCs w:val="22"/>
        </w:rPr>
        <w:t>Firm</w:t>
      </w:r>
      <w:r w:rsidRPr="00625372">
        <w:rPr>
          <w:i/>
          <w:sz w:val="22"/>
          <w:szCs w:val="22"/>
          <w:vertAlign w:val="subscript"/>
        </w:rPr>
        <w:t>f</w:t>
      </w:r>
      <w:proofErr w:type="spellEnd"/>
      <w:r w:rsidRPr="00D40129">
        <w:rPr>
          <w:sz w:val="22"/>
          <w:szCs w:val="22"/>
        </w:rPr>
        <w:t xml:space="preserve"> + </w:t>
      </w:r>
      <w:r w:rsidRPr="00D40129">
        <w:rPr>
          <w:i/>
          <w:sz w:val="22"/>
          <w:szCs w:val="22"/>
        </w:rPr>
        <w:t>β</w:t>
      </w:r>
      <w:r w:rsidRPr="00D40129">
        <w:rPr>
          <w:i/>
          <w:sz w:val="22"/>
          <w:szCs w:val="22"/>
          <w:vertAlign w:val="subscript"/>
        </w:rPr>
        <w:t>11</w:t>
      </w:r>
      <w:r>
        <w:rPr>
          <w:i/>
          <w:sz w:val="22"/>
          <w:szCs w:val="22"/>
          <w:vertAlign w:val="subscript"/>
        </w:rPr>
        <w:t>,</w:t>
      </w:r>
      <w:r w:rsidRPr="00625372">
        <w:rPr>
          <w:i/>
          <w:sz w:val="22"/>
          <w:szCs w:val="22"/>
          <w:vertAlign w:val="subscript"/>
        </w:rPr>
        <w:t>f</w:t>
      </w:r>
      <w:r w:rsidRPr="00D40129">
        <w:rPr>
          <w:sz w:val="22"/>
          <w:szCs w:val="22"/>
        </w:rPr>
        <w:t>*</w:t>
      </w:r>
      <w:proofErr w:type="spellStart"/>
      <w:r w:rsidRPr="00D40129">
        <w:rPr>
          <w:i/>
          <w:sz w:val="22"/>
          <w:szCs w:val="22"/>
        </w:rPr>
        <w:t>Firm</w:t>
      </w:r>
      <w:r w:rsidRPr="00625372">
        <w:rPr>
          <w:i/>
          <w:sz w:val="22"/>
          <w:szCs w:val="22"/>
          <w:vertAlign w:val="subscript"/>
        </w:rPr>
        <w:t>f</w:t>
      </w:r>
      <w:proofErr w:type="spellEnd"/>
      <w:r w:rsidRPr="00D40129">
        <w:rPr>
          <w:i/>
          <w:sz w:val="22"/>
          <w:szCs w:val="22"/>
        </w:rPr>
        <w:t>*</w:t>
      </w:r>
      <w:proofErr w:type="spellStart"/>
      <w:r w:rsidRPr="00D40129">
        <w:rPr>
          <w:i/>
          <w:sz w:val="22"/>
          <w:szCs w:val="22"/>
        </w:rPr>
        <w:t>C</w:t>
      </w:r>
      <w:r w:rsidRPr="00D40129">
        <w:rPr>
          <w:i/>
          <w:sz w:val="22"/>
          <w:szCs w:val="22"/>
          <w:vertAlign w:val="subscript"/>
        </w:rPr>
        <w:t>it</w:t>
      </w:r>
      <w:proofErr w:type="spellEnd"/>
      <w:r w:rsidRPr="00D40129">
        <w:rPr>
          <w:sz w:val="22"/>
          <w:szCs w:val="22"/>
        </w:rPr>
        <w:t xml:space="preserve"> + </w:t>
      </w:r>
      <w:r w:rsidRPr="00D40129">
        <w:rPr>
          <w:i/>
          <w:sz w:val="22"/>
          <w:szCs w:val="22"/>
        </w:rPr>
        <w:t>β</w:t>
      </w:r>
      <w:r w:rsidRPr="00D40129">
        <w:rPr>
          <w:i/>
          <w:sz w:val="22"/>
          <w:szCs w:val="22"/>
          <w:vertAlign w:val="subscript"/>
        </w:rPr>
        <w:t>12</w:t>
      </w:r>
      <w:r>
        <w:rPr>
          <w:i/>
          <w:sz w:val="22"/>
          <w:szCs w:val="22"/>
          <w:vertAlign w:val="subscript"/>
        </w:rPr>
        <w:t>,</w:t>
      </w:r>
      <w:r w:rsidRPr="00625372">
        <w:rPr>
          <w:i/>
          <w:sz w:val="22"/>
          <w:szCs w:val="22"/>
          <w:vertAlign w:val="subscript"/>
        </w:rPr>
        <w:t>f</w:t>
      </w:r>
      <w:r w:rsidRPr="00D40129">
        <w:rPr>
          <w:i/>
          <w:sz w:val="22"/>
          <w:szCs w:val="22"/>
        </w:rPr>
        <w:t>*</w:t>
      </w:r>
      <w:proofErr w:type="spellStart"/>
      <w:r w:rsidRPr="00D40129">
        <w:rPr>
          <w:i/>
          <w:sz w:val="22"/>
          <w:szCs w:val="22"/>
        </w:rPr>
        <w:t>Firm</w:t>
      </w:r>
      <w:r w:rsidRPr="00625372">
        <w:rPr>
          <w:i/>
          <w:sz w:val="22"/>
          <w:szCs w:val="22"/>
          <w:vertAlign w:val="subscript"/>
        </w:rPr>
        <w:t>f</w:t>
      </w:r>
      <w:proofErr w:type="spellEnd"/>
      <w:r w:rsidRPr="00D40129">
        <w:rPr>
          <w:sz w:val="22"/>
          <w:szCs w:val="22"/>
        </w:rPr>
        <w:t>*</w:t>
      </w:r>
      <w:proofErr w:type="spellStart"/>
      <w:r w:rsidRPr="00D40129">
        <w:rPr>
          <w:i/>
          <w:sz w:val="22"/>
          <w:szCs w:val="22"/>
        </w:rPr>
        <w:t>Loss</w:t>
      </w:r>
      <w:r w:rsidRPr="00D40129">
        <w:rPr>
          <w:i/>
          <w:sz w:val="22"/>
          <w:szCs w:val="22"/>
          <w:vertAlign w:val="subscript"/>
        </w:rPr>
        <w:t>it</w:t>
      </w:r>
      <w:proofErr w:type="spellEnd"/>
      <w:r w:rsidRPr="00D40129">
        <w:rPr>
          <w:sz w:val="22"/>
          <w:szCs w:val="22"/>
        </w:rPr>
        <w:t xml:space="preserve"> </w:t>
      </w:r>
    </w:p>
    <w:p w14:paraId="109490DF" w14:textId="77777777" w:rsidR="000B49F3" w:rsidRPr="007512D6" w:rsidRDefault="000B49F3" w:rsidP="000B49F3">
      <w:pPr>
        <w:jc w:val="both"/>
        <w:rPr>
          <w:sz w:val="22"/>
          <w:szCs w:val="22"/>
        </w:rPr>
      </w:pPr>
      <w:r w:rsidRPr="00D40129">
        <w:rPr>
          <w:sz w:val="22"/>
          <w:szCs w:val="22"/>
        </w:rPr>
        <w:t xml:space="preserve">   + </w:t>
      </w:r>
      <w:r w:rsidRPr="00D40129">
        <w:rPr>
          <w:i/>
          <w:sz w:val="22"/>
          <w:szCs w:val="22"/>
        </w:rPr>
        <w:t>β</w:t>
      </w:r>
      <w:r w:rsidRPr="00D40129">
        <w:rPr>
          <w:i/>
          <w:sz w:val="22"/>
          <w:szCs w:val="22"/>
          <w:vertAlign w:val="subscript"/>
        </w:rPr>
        <w:t>13</w:t>
      </w:r>
      <w:proofErr w:type="gramStart"/>
      <w:r>
        <w:rPr>
          <w:i/>
          <w:sz w:val="22"/>
          <w:szCs w:val="22"/>
          <w:vertAlign w:val="subscript"/>
        </w:rPr>
        <w:t>,</w:t>
      </w:r>
      <w:r w:rsidRPr="00625372">
        <w:rPr>
          <w:i/>
          <w:sz w:val="22"/>
          <w:szCs w:val="22"/>
          <w:vertAlign w:val="subscript"/>
        </w:rPr>
        <w:t>f</w:t>
      </w:r>
      <w:proofErr w:type="gramEnd"/>
      <w:r w:rsidRPr="00D40129">
        <w:rPr>
          <w:i/>
          <w:sz w:val="22"/>
          <w:szCs w:val="22"/>
        </w:rPr>
        <w:t>*</w:t>
      </w:r>
      <w:proofErr w:type="spellStart"/>
      <w:r w:rsidRPr="00D40129">
        <w:rPr>
          <w:i/>
          <w:sz w:val="22"/>
          <w:szCs w:val="22"/>
        </w:rPr>
        <w:t>Firm</w:t>
      </w:r>
      <w:r w:rsidRPr="00625372">
        <w:rPr>
          <w:i/>
          <w:sz w:val="22"/>
          <w:szCs w:val="22"/>
          <w:vertAlign w:val="subscript"/>
        </w:rPr>
        <w:t>f</w:t>
      </w:r>
      <w:proofErr w:type="spellEnd"/>
      <w:r w:rsidRPr="00D40129">
        <w:rPr>
          <w:sz w:val="22"/>
          <w:szCs w:val="22"/>
        </w:rPr>
        <w:t>*</w:t>
      </w:r>
      <w:proofErr w:type="spellStart"/>
      <w:r w:rsidRPr="00D40129">
        <w:rPr>
          <w:i/>
          <w:sz w:val="22"/>
          <w:szCs w:val="22"/>
        </w:rPr>
        <w:t>Loss</w:t>
      </w:r>
      <w:r w:rsidRPr="00D40129">
        <w:rPr>
          <w:i/>
          <w:sz w:val="22"/>
          <w:szCs w:val="22"/>
          <w:vertAlign w:val="subscript"/>
        </w:rPr>
        <w:t>it</w:t>
      </w:r>
      <w:proofErr w:type="spellEnd"/>
      <w:r w:rsidRPr="00D40129">
        <w:rPr>
          <w:i/>
          <w:sz w:val="22"/>
          <w:szCs w:val="22"/>
        </w:rPr>
        <w:t>*</w:t>
      </w:r>
      <w:proofErr w:type="spellStart"/>
      <w:r w:rsidRPr="00D40129">
        <w:rPr>
          <w:i/>
          <w:sz w:val="22"/>
          <w:szCs w:val="22"/>
        </w:rPr>
        <w:t>C</w:t>
      </w:r>
      <w:r w:rsidRPr="00D40129">
        <w:rPr>
          <w:i/>
          <w:sz w:val="22"/>
          <w:szCs w:val="22"/>
          <w:vertAlign w:val="subscript"/>
        </w:rPr>
        <w:t>it</w:t>
      </w:r>
      <w:proofErr w:type="spellEnd"/>
      <w:r w:rsidRPr="00D40129">
        <w:rPr>
          <w:sz w:val="22"/>
          <w:szCs w:val="22"/>
        </w:rPr>
        <w:t xml:space="preserve"> </w:t>
      </w:r>
      <w:r w:rsidRPr="00D40129">
        <w:rPr>
          <w:i/>
          <w:sz w:val="22"/>
          <w:szCs w:val="22"/>
        </w:rPr>
        <w:t xml:space="preserve">+ </w:t>
      </w:r>
      <w:proofErr w:type="spellStart"/>
      <w:r w:rsidRPr="00D40129">
        <w:rPr>
          <w:i/>
          <w:sz w:val="22"/>
          <w:szCs w:val="22"/>
        </w:rPr>
        <w:t>ε</w:t>
      </w:r>
      <w:r w:rsidRPr="00D40129">
        <w:rPr>
          <w:i/>
          <w:sz w:val="22"/>
          <w:szCs w:val="22"/>
          <w:vertAlign w:val="subscript"/>
        </w:rPr>
        <w:t>it</w:t>
      </w:r>
      <w:proofErr w:type="spellEnd"/>
      <w:r w:rsidRPr="00D40129">
        <w:rPr>
          <w:sz w:val="22"/>
          <w:szCs w:val="22"/>
        </w:rPr>
        <w:t>.</w:t>
      </w:r>
      <w:r w:rsidRPr="003C3481">
        <w:rPr>
          <w:sz w:val="22"/>
          <w:szCs w:val="22"/>
        </w:rPr>
        <w:t xml:space="preserve"> </w:t>
      </w:r>
    </w:p>
    <w:p w14:paraId="2E8666D9" w14:textId="77777777" w:rsidR="000B49F3" w:rsidRPr="009E1FF6" w:rsidRDefault="000B49F3" w:rsidP="000B49F3">
      <w:pPr>
        <w:jc w:val="both"/>
        <w:rPr>
          <w:sz w:val="22"/>
          <w:szCs w:val="22"/>
          <w:highlight w:val="yellow"/>
        </w:rPr>
      </w:pPr>
      <w:r w:rsidRPr="00E25A97">
        <w:rPr>
          <w:rFonts w:eastAsia="Times New Roman"/>
          <w:color w:val="000000"/>
          <w:sz w:val="22"/>
          <w:szCs w:val="22"/>
          <w:vertAlign w:val="superscript"/>
        </w:rPr>
        <w:t>***</w:t>
      </w:r>
      <w:r w:rsidRPr="00E25A97">
        <w:rPr>
          <w:rFonts w:eastAsia="Times New Roman"/>
          <w:color w:val="000000"/>
          <w:sz w:val="22"/>
          <w:szCs w:val="22"/>
        </w:rPr>
        <w:t>,</w:t>
      </w:r>
      <w:r w:rsidRPr="00E25A97">
        <w:rPr>
          <w:rFonts w:eastAsia="Times New Roman"/>
          <w:color w:val="000000"/>
          <w:sz w:val="22"/>
          <w:szCs w:val="22"/>
          <w:vertAlign w:val="superscript"/>
        </w:rPr>
        <w:t xml:space="preserve"> **</w:t>
      </w:r>
      <w:r w:rsidRPr="00E25A97">
        <w:rPr>
          <w:rFonts w:eastAsia="Times New Roman"/>
          <w:color w:val="000000"/>
          <w:sz w:val="22"/>
          <w:szCs w:val="22"/>
        </w:rPr>
        <w:t>,</w:t>
      </w:r>
      <w:r w:rsidRPr="00E25A97">
        <w:rPr>
          <w:rFonts w:eastAsia="Times New Roman"/>
          <w:color w:val="000000"/>
          <w:sz w:val="22"/>
          <w:szCs w:val="22"/>
          <w:vertAlign w:val="superscript"/>
        </w:rPr>
        <w:t xml:space="preserve"> </w:t>
      </w:r>
      <w:r w:rsidRPr="00E25A97">
        <w:rPr>
          <w:rFonts w:eastAsia="Times New Roman"/>
          <w:color w:val="000000"/>
          <w:sz w:val="22"/>
          <w:szCs w:val="22"/>
        </w:rPr>
        <w:t xml:space="preserve">and </w:t>
      </w:r>
      <w:r w:rsidRPr="00E25A97">
        <w:rPr>
          <w:rFonts w:eastAsia="Times New Roman"/>
          <w:color w:val="000000"/>
          <w:sz w:val="22"/>
          <w:szCs w:val="22"/>
          <w:vertAlign w:val="superscript"/>
        </w:rPr>
        <w:t xml:space="preserve">* </w:t>
      </w:r>
      <w:r w:rsidRPr="00E25A97">
        <w:rPr>
          <w:rFonts w:eastAsia="Times New Roman"/>
          <w:color w:val="000000"/>
          <w:sz w:val="22"/>
          <w:szCs w:val="22"/>
        </w:rPr>
        <w:t xml:space="preserve">represent </w:t>
      </w:r>
      <w:r>
        <w:rPr>
          <w:rFonts w:eastAsia="Times New Roman"/>
          <w:color w:val="000000"/>
          <w:sz w:val="22"/>
          <w:szCs w:val="22"/>
        </w:rPr>
        <w:t xml:space="preserve">(one-tailed) </w:t>
      </w:r>
      <w:r w:rsidRPr="00E25A97">
        <w:rPr>
          <w:rFonts w:eastAsia="Times New Roman"/>
          <w:color w:val="000000"/>
          <w:sz w:val="22"/>
          <w:szCs w:val="22"/>
        </w:rPr>
        <w:t>statistical significance at the 1, 5</w:t>
      </w:r>
      <w:r>
        <w:rPr>
          <w:rFonts w:eastAsia="Times New Roman"/>
          <w:color w:val="000000"/>
          <w:sz w:val="22"/>
          <w:szCs w:val="22"/>
        </w:rPr>
        <w:t>,</w:t>
      </w:r>
      <w:r w:rsidRPr="00E25A97">
        <w:rPr>
          <w:rFonts w:eastAsia="Times New Roman"/>
          <w:color w:val="000000"/>
          <w:sz w:val="22"/>
          <w:szCs w:val="22"/>
        </w:rPr>
        <w:t xml:space="preserve"> and 10 percent levels, respectively.</w:t>
      </w:r>
      <w:r>
        <w:rPr>
          <w:rFonts w:eastAsia="Times New Roman"/>
          <w:color w:val="000000"/>
          <w:sz w:val="22"/>
          <w:szCs w:val="22"/>
        </w:rPr>
        <w:t xml:space="preserve"> </w:t>
      </w:r>
      <w:r w:rsidRPr="007512D6">
        <w:rPr>
          <w:sz w:val="22"/>
          <w:szCs w:val="22"/>
        </w:rPr>
        <w:t xml:space="preserve">All variables are </w:t>
      </w:r>
      <w:proofErr w:type="spellStart"/>
      <w:r w:rsidRPr="007512D6">
        <w:rPr>
          <w:sz w:val="22"/>
          <w:szCs w:val="22"/>
        </w:rPr>
        <w:t>winsorized</w:t>
      </w:r>
      <w:proofErr w:type="spellEnd"/>
      <w:r w:rsidRPr="007512D6">
        <w:rPr>
          <w:sz w:val="22"/>
          <w:szCs w:val="22"/>
        </w:rPr>
        <w:t xml:space="preserve"> at 1 and 99 percent.</w:t>
      </w:r>
    </w:p>
    <w:p w14:paraId="2C916108" w14:textId="56C5C9F9" w:rsidR="00752F4E" w:rsidRDefault="00752F4E">
      <w:pPr>
        <w:rPr>
          <w:rFonts w:eastAsia="Times New Roman"/>
          <w:color w:val="000000"/>
          <w:sz w:val="22"/>
          <w:szCs w:val="22"/>
        </w:rPr>
      </w:pPr>
    </w:p>
    <w:p w14:paraId="6E6629A1" w14:textId="77777777" w:rsidR="00752EE6" w:rsidRPr="002F4BA9" w:rsidRDefault="00752EE6" w:rsidP="002F4BA9">
      <w:pPr>
        <w:jc w:val="both"/>
        <w:rPr>
          <w:sz w:val="22"/>
          <w:szCs w:val="22"/>
        </w:rPr>
      </w:pPr>
    </w:p>
    <w:sectPr w:rsidR="00752EE6" w:rsidRPr="002F4BA9" w:rsidSect="0064093D">
      <w:footerReference w:type="default" r:id="rId9"/>
      <w:pgSz w:w="12240" w:h="15840"/>
      <w:pgMar w:top="1440" w:right="1440" w:bottom="1440" w:left="1440"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6EB64" w14:textId="77777777" w:rsidR="006A47D4" w:rsidRDefault="006A47D4" w:rsidP="0042218F">
      <w:r>
        <w:separator/>
      </w:r>
    </w:p>
  </w:endnote>
  <w:endnote w:type="continuationSeparator" w:id="0">
    <w:p w14:paraId="10A79B0F" w14:textId="77777777" w:rsidR="006A47D4" w:rsidRDefault="006A47D4" w:rsidP="0042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39F38" w14:textId="77777777" w:rsidR="007674B9" w:rsidRDefault="007674B9">
    <w:pPr>
      <w:pStyle w:val="Footer"/>
      <w:jc w:val="center"/>
    </w:pPr>
  </w:p>
  <w:p w14:paraId="58801B55" w14:textId="77777777" w:rsidR="007674B9" w:rsidRDefault="007674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772767"/>
      <w:docPartObj>
        <w:docPartGallery w:val="Page Numbers (Bottom of Page)"/>
        <w:docPartUnique/>
      </w:docPartObj>
    </w:sdtPr>
    <w:sdtEndPr>
      <w:rPr>
        <w:noProof/>
      </w:rPr>
    </w:sdtEndPr>
    <w:sdtContent>
      <w:p w14:paraId="41D831E9" w14:textId="77777777" w:rsidR="007674B9" w:rsidRDefault="007674B9">
        <w:pPr>
          <w:pStyle w:val="Footer"/>
          <w:jc w:val="center"/>
        </w:pPr>
        <w:r>
          <w:fldChar w:fldCharType="begin"/>
        </w:r>
        <w:r>
          <w:instrText xml:space="preserve"> PAGE   \* MERGEFORMAT </w:instrText>
        </w:r>
        <w:r>
          <w:fldChar w:fldCharType="separate"/>
        </w:r>
        <w:r w:rsidR="00016DA4">
          <w:rPr>
            <w:noProof/>
          </w:rPr>
          <w:t>19</w:t>
        </w:r>
        <w:r>
          <w:rPr>
            <w:noProof/>
          </w:rPr>
          <w:fldChar w:fldCharType="end"/>
        </w:r>
      </w:p>
    </w:sdtContent>
  </w:sdt>
  <w:p w14:paraId="1DFF856C" w14:textId="77777777" w:rsidR="007674B9" w:rsidRDefault="00767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B8DCE" w14:textId="77777777" w:rsidR="006A47D4" w:rsidRDefault="006A47D4" w:rsidP="0042218F">
      <w:r>
        <w:separator/>
      </w:r>
    </w:p>
  </w:footnote>
  <w:footnote w:type="continuationSeparator" w:id="0">
    <w:p w14:paraId="20EDC1B1" w14:textId="77777777" w:rsidR="006A47D4" w:rsidRDefault="006A47D4" w:rsidP="0042218F">
      <w:r>
        <w:continuationSeparator/>
      </w:r>
    </w:p>
  </w:footnote>
  <w:footnote w:id="1">
    <w:p w14:paraId="3249E22A" w14:textId="1B91A108" w:rsidR="007674B9" w:rsidRPr="0042218F" w:rsidRDefault="007674B9" w:rsidP="00B41C8B">
      <w:pPr>
        <w:pStyle w:val="FootnoteText"/>
        <w:jc w:val="both"/>
      </w:pPr>
      <w:r w:rsidRPr="0042218F">
        <w:rPr>
          <w:rStyle w:val="FootnoteReference"/>
        </w:rPr>
        <w:footnoteRef/>
      </w:r>
      <w:r w:rsidRPr="0042218F">
        <w:t xml:space="preserve"> For example, Cook (1955), Dean (1955), and </w:t>
      </w:r>
      <w:proofErr w:type="spellStart"/>
      <w:r w:rsidRPr="0042218F">
        <w:t>Hirshleifer</w:t>
      </w:r>
      <w:proofErr w:type="spellEnd"/>
      <w:r w:rsidRPr="0042218F">
        <w:t xml:space="preserve"> (1956</w:t>
      </w:r>
      <w:r>
        <w:t>, 1957</w:t>
      </w:r>
      <w:r w:rsidRPr="0042218F">
        <w:t>).</w:t>
      </w:r>
    </w:p>
  </w:footnote>
  <w:footnote w:id="2">
    <w:p w14:paraId="74CF0419" w14:textId="0CE4DA41" w:rsidR="007674B9" w:rsidRDefault="007674B9" w:rsidP="00B41C8B">
      <w:pPr>
        <w:pStyle w:val="FootnoteText"/>
        <w:jc w:val="both"/>
      </w:pPr>
      <w:r>
        <w:rPr>
          <w:rStyle w:val="FootnoteReference"/>
        </w:rPr>
        <w:footnoteRef/>
      </w:r>
      <w:r>
        <w:t xml:space="preserve"> Hanlon and </w:t>
      </w:r>
      <w:proofErr w:type="spellStart"/>
      <w:r>
        <w:t>Heitzman</w:t>
      </w:r>
      <w:proofErr w:type="spellEnd"/>
      <w:r>
        <w:t xml:space="preserve"> (2010) summarize tax-motivated transfer pricing research</w:t>
      </w:r>
      <w:r w:rsidRPr="00801984">
        <w:t xml:space="preserve"> </w:t>
      </w:r>
      <w:r>
        <w:t>in Section 4.4.1.</w:t>
      </w:r>
    </w:p>
  </w:footnote>
  <w:footnote w:id="3">
    <w:p w14:paraId="4539BE7B" w14:textId="4D4EC790" w:rsidR="007674B9" w:rsidRDefault="007674B9" w:rsidP="006E04D9">
      <w:pPr>
        <w:pStyle w:val="FootnoteText"/>
        <w:jc w:val="both"/>
      </w:pPr>
      <w:r>
        <w:rPr>
          <w:rStyle w:val="FootnoteReference"/>
        </w:rPr>
        <w:footnoteRef/>
      </w:r>
      <w:r>
        <w:t xml:space="preserve"> Though firms may keep two sets of affiliate-level financial results—one for regulatory filings and another for internal decision-making—this is costly.</w:t>
      </w:r>
      <w:r w:rsidRPr="00061F7F">
        <w:t xml:space="preserve"> </w:t>
      </w:r>
      <w:r>
        <w:t xml:space="preserve">As described further below, </w:t>
      </w:r>
      <w:proofErr w:type="spellStart"/>
      <w:r>
        <w:t>Hiemann</w:t>
      </w:r>
      <w:proofErr w:type="spellEnd"/>
      <w:r>
        <w:t xml:space="preserve"> and </w:t>
      </w:r>
      <w:proofErr w:type="spellStart"/>
      <w:r>
        <w:t>Reichelstein</w:t>
      </w:r>
      <w:proofErr w:type="spellEnd"/>
      <w:r>
        <w:t xml:space="preserve"> (2012) show that even with two sets of books, cross-affiliate tax differences lead to changes in equilibrium transfer prices as the firm optimally trades off tax and operational efficiency</w:t>
      </w:r>
      <w:r w:rsidRPr="00F85CAD">
        <w:t xml:space="preserve"> </w:t>
      </w:r>
      <w:r>
        <w:t xml:space="preserve">considerations. See also </w:t>
      </w:r>
      <w:proofErr w:type="spellStart"/>
      <w:r>
        <w:t>Sansing</w:t>
      </w:r>
      <w:proofErr w:type="spellEnd"/>
      <w:r>
        <w:t xml:space="preserve"> (2014).</w:t>
      </w:r>
    </w:p>
  </w:footnote>
  <w:footnote w:id="4">
    <w:p w14:paraId="0DE4946C" w14:textId="77777777" w:rsidR="007674B9" w:rsidRDefault="007674B9">
      <w:pPr>
        <w:pStyle w:val="FootnoteText"/>
        <w:jc w:val="both"/>
      </w:pPr>
      <w:r>
        <w:rPr>
          <w:rStyle w:val="FootnoteReference"/>
        </w:rPr>
        <w:footnoteRef/>
      </w:r>
      <w:r>
        <w:t xml:space="preserve"> </w:t>
      </w:r>
      <w:proofErr w:type="spellStart"/>
      <w:r>
        <w:t>Halperin</w:t>
      </w:r>
      <w:proofErr w:type="spellEnd"/>
      <w:r>
        <w:t xml:space="preserve"> and </w:t>
      </w:r>
      <w:proofErr w:type="spellStart"/>
      <w:r>
        <w:t>Srinidhi</w:t>
      </w:r>
      <w:proofErr w:type="spellEnd"/>
      <w:r>
        <w:t xml:space="preserve"> (1987) introduce a tax rate differential to the </w:t>
      </w:r>
      <w:proofErr w:type="spellStart"/>
      <w:r>
        <w:t>Hirshleifer</w:t>
      </w:r>
      <w:proofErr w:type="spellEnd"/>
      <w:r>
        <w:t xml:space="preserve"> (1956) model and show that tax rate differentials themselves do not introduce resource allocation distortions. Rather, limitations on the acceptable transfer pricing methods induce the distortion.</w:t>
      </w:r>
    </w:p>
  </w:footnote>
  <w:footnote w:id="5">
    <w:p w14:paraId="721DF210" w14:textId="0B2D2A92" w:rsidR="007674B9" w:rsidRDefault="007674B9" w:rsidP="00F85CAD">
      <w:pPr>
        <w:pStyle w:val="FootnoteText"/>
        <w:jc w:val="both"/>
      </w:pPr>
      <w:r>
        <w:rPr>
          <w:rStyle w:val="FootnoteReference"/>
        </w:rPr>
        <w:footnoteRef/>
      </w:r>
      <w:r>
        <w:t xml:space="preserve"> Tax-motivated transfer pricing generally shifts income by selecting a price for goods, services, or rights to exploit intangibles that allocates low revenue or high cost to a high tax affiliate and high revenue or low cost to a low tax affiliate. Section II provides additional details.</w:t>
      </w:r>
    </w:p>
  </w:footnote>
  <w:footnote w:id="6">
    <w:p w14:paraId="2FA51A14" w14:textId="702CCAE5" w:rsidR="007674B9" w:rsidRPr="002C4CE4" w:rsidRDefault="007674B9" w:rsidP="002C4CE4">
      <w:pPr>
        <w:pStyle w:val="FootnoteText"/>
        <w:jc w:val="both"/>
      </w:pPr>
      <w:r w:rsidRPr="002C4CE4">
        <w:rPr>
          <w:rStyle w:val="FootnoteReference"/>
        </w:rPr>
        <w:footnoteRef/>
      </w:r>
      <w:r w:rsidRPr="002C4CE4">
        <w:t xml:space="preserve"> Because affiliate-level data do not contain the variables needed to estimate investment, we conduct our </w:t>
      </w:r>
      <w:r>
        <w:t xml:space="preserve">investment </w:t>
      </w:r>
      <w:r w:rsidRPr="002C4CE4">
        <w:t xml:space="preserve">analyses at the </w:t>
      </w:r>
      <w:proofErr w:type="gramStart"/>
      <w:r w:rsidRPr="002C4CE4">
        <w:t>firm-level</w:t>
      </w:r>
      <w:proofErr w:type="gramEnd"/>
      <w:r w:rsidRPr="002C4CE4">
        <w:t>.</w:t>
      </w:r>
      <w:r>
        <w:t xml:space="preserve"> Following the literature, we use unconsolidated affiliate book financials to examine the sensitivity of reported book profits to tax incentives (e.g., Huizinga and </w:t>
      </w:r>
      <w:proofErr w:type="spellStart"/>
      <w:r>
        <w:t>Laeven</w:t>
      </w:r>
      <w:proofErr w:type="spellEnd"/>
      <w:r>
        <w:t xml:space="preserve"> 2008; Huizinga, </w:t>
      </w:r>
      <w:proofErr w:type="spellStart"/>
      <w:r>
        <w:t>Laeven</w:t>
      </w:r>
      <w:proofErr w:type="spellEnd"/>
      <w:r>
        <w:t xml:space="preserve">, and </w:t>
      </w:r>
      <w:proofErr w:type="spellStart"/>
      <w:r>
        <w:t>Nicodeme</w:t>
      </w:r>
      <w:proofErr w:type="spellEnd"/>
      <w:r>
        <w:t xml:space="preserve"> 2008; </w:t>
      </w:r>
      <w:proofErr w:type="spellStart"/>
      <w:r>
        <w:t>Dharmapala</w:t>
      </w:r>
      <w:proofErr w:type="spellEnd"/>
      <w:r>
        <w:t xml:space="preserve"> and Riedel 2013; De Simone 2016; </w:t>
      </w:r>
      <w:proofErr w:type="spellStart"/>
      <w:r>
        <w:t>Markle</w:t>
      </w:r>
      <w:proofErr w:type="spellEnd"/>
      <w:r>
        <w:t xml:space="preserve"> 2016; De Simone, Klassen, and Seidman 2017).</w:t>
      </w:r>
    </w:p>
  </w:footnote>
  <w:footnote w:id="7">
    <w:p w14:paraId="793AE6EA" w14:textId="6E9B191B" w:rsidR="007674B9" w:rsidRDefault="007674B9" w:rsidP="00341393">
      <w:pPr>
        <w:pStyle w:val="FootnoteText"/>
        <w:jc w:val="both"/>
      </w:pPr>
      <w:r>
        <w:rPr>
          <w:rStyle w:val="FootnoteReference"/>
        </w:rPr>
        <w:footnoteRef/>
      </w:r>
      <w:r>
        <w:t xml:space="preserve"> The methods are comparable uncontrolled price method, resale price method and cost plus method. For further details on transfer pricing methods, see for example </w:t>
      </w:r>
      <w:hyperlink r:id="rId1" w:history="1">
        <w:r w:rsidRPr="00B86003">
          <w:rPr>
            <w:rStyle w:val="Hyperlink"/>
          </w:rPr>
          <w:t>https://www.law.cornell.edu/cfr/text/26/1.482-3</w:t>
        </w:r>
      </w:hyperlink>
    </w:p>
  </w:footnote>
  <w:footnote w:id="8">
    <w:p w14:paraId="393B009C" w14:textId="77777777" w:rsidR="007674B9" w:rsidRDefault="007674B9" w:rsidP="00000AC8">
      <w:pPr>
        <w:pStyle w:val="FootnoteText"/>
      </w:pPr>
      <w:r>
        <w:rPr>
          <w:rStyle w:val="FootnoteReference"/>
        </w:rPr>
        <w:footnoteRef/>
      </w:r>
      <w:r>
        <w:t xml:space="preserve"> In </w:t>
      </w:r>
      <w:r w:rsidRPr="00000AC8">
        <w:rPr>
          <w:i/>
        </w:rPr>
        <w:t>STATA</w:t>
      </w:r>
      <w:r>
        <w:t xml:space="preserve">, firm fixed effects </w:t>
      </w:r>
      <w:proofErr w:type="gramStart"/>
      <w:r>
        <w:t>are coded</w:t>
      </w:r>
      <w:proofErr w:type="gramEnd"/>
      <w:r>
        <w:t xml:space="preserve"> such that the sum of the fixed effects estimates are zero and the intercept is the sample average.</w:t>
      </w:r>
    </w:p>
  </w:footnote>
  <w:footnote w:id="9">
    <w:p w14:paraId="47DC7D01" w14:textId="77777777" w:rsidR="007674B9" w:rsidRDefault="007674B9" w:rsidP="003511BE">
      <w:pPr>
        <w:pStyle w:val="FootnoteText"/>
        <w:jc w:val="both"/>
      </w:pPr>
      <w:r>
        <w:rPr>
          <w:rStyle w:val="FootnoteReference"/>
        </w:rPr>
        <w:footnoteRef/>
      </w:r>
      <w:r>
        <w:t xml:space="preserve"> </w:t>
      </w:r>
      <w:proofErr w:type="spellStart"/>
      <w:r>
        <w:t>BvD</w:t>
      </w:r>
      <w:proofErr w:type="spellEnd"/>
      <w:r>
        <w:t xml:space="preserve"> only reports current year ownership linkages; as such, most studies using </w:t>
      </w:r>
      <w:proofErr w:type="spellStart"/>
      <w:r>
        <w:t>BvD</w:t>
      </w:r>
      <w:proofErr w:type="spellEnd"/>
      <w:r>
        <w:t xml:space="preserve"> data assume current year ownership linkages extend back through the entire sample period (e.g., De Simone 2016; De Simone et al. 2017; Huizinga and </w:t>
      </w:r>
      <w:proofErr w:type="spellStart"/>
      <w:r>
        <w:t>Laeven</w:t>
      </w:r>
      <w:proofErr w:type="spellEnd"/>
      <w:r>
        <w:t xml:space="preserve"> 2008; </w:t>
      </w:r>
      <w:proofErr w:type="spellStart"/>
      <w:r>
        <w:t>Markle</w:t>
      </w:r>
      <w:proofErr w:type="spellEnd"/>
      <w:r>
        <w:t xml:space="preserve"> 2016; Shroff, Verdi, and Yu 2015). We use historical disks to obtain annual ownership information and ensure appropriate linkages of affiliates to multinational firms each year.</w:t>
      </w:r>
    </w:p>
  </w:footnote>
  <w:footnote w:id="10">
    <w:p w14:paraId="7B854151" w14:textId="77777777" w:rsidR="007674B9" w:rsidRDefault="007674B9" w:rsidP="00DE4EE3">
      <w:pPr>
        <w:pStyle w:val="FootnoteText"/>
        <w:jc w:val="both"/>
      </w:pPr>
      <w:r w:rsidRPr="00194063">
        <w:rPr>
          <w:rStyle w:val="FootnoteReference"/>
        </w:rPr>
        <w:footnoteRef/>
      </w:r>
      <w:r w:rsidRPr="00194063">
        <w:t xml:space="preserve"> </w:t>
      </w:r>
      <w:r>
        <w:t xml:space="preserve">As a result, we </w:t>
      </w:r>
      <w:r w:rsidRPr="00194063">
        <w:t xml:space="preserve">estimate </w:t>
      </w:r>
      <w:r>
        <w:rPr>
          <w:i/>
          <w:iCs/>
        </w:rPr>
        <w:t>G</w:t>
      </w:r>
      <w:r>
        <w:t xml:space="preserve"> for 2,243 unique firms. As discussed below, we are able to match </w:t>
      </w:r>
      <w:r w:rsidRPr="00194063">
        <w:t>2,</w:t>
      </w:r>
      <w:r>
        <w:t>117</w:t>
      </w:r>
      <w:r w:rsidRPr="00194063">
        <w:t xml:space="preserve"> </w:t>
      </w:r>
      <w:r>
        <w:t xml:space="preserve">of these unique firms </w:t>
      </w:r>
      <w:r w:rsidRPr="00194063">
        <w:t xml:space="preserve">to </w:t>
      </w:r>
      <w:proofErr w:type="spellStart"/>
      <w:r w:rsidRPr="00D251D2">
        <w:rPr>
          <w:i/>
        </w:rPr>
        <w:t>Compustat</w:t>
      </w:r>
      <w:proofErr w:type="spellEnd"/>
      <w:r>
        <w:t xml:space="preserve"> to test our hypothesis</w:t>
      </w:r>
      <w:r w:rsidRPr="00194063">
        <w:t>.</w:t>
      </w:r>
    </w:p>
  </w:footnote>
  <w:footnote w:id="11">
    <w:p w14:paraId="5EDE2984" w14:textId="77777777" w:rsidR="007674B9" w:rsidRPr="008E2FB5" w:rsidRDefault="007674B9" w:rsidP="004B01E0">
      <w:pPr>
        <w:pStyle w:val="FootnoteText"/>
        <w:jc w:val="both"/>
        <w:rPr>
          <w:i/>
        </w:rPr>
      </w:pPr>
      <w:r>
        <w:rPr>
          <w:rStyle w:val="FootnoteReference"/>
        </w:rPr>
        <w:footnoteRef/>
      </w:r>
      <w:r>
        <w:t xml:space="preserve"> If </w:t>
      </w:r>
      <w:r w:rsidRPr="008E2FB5">
        <w:rPr>
          <w:i/>
        </w:rPr>
        <w:t>OANCF</w:t>
      </w:r>
      <w:r>
        <w:t xml:space="preserve"> is missing, cash flow from operations equals (</w:t>
      </w:r>
      <w:r w:rsidRPr="0042218F">
        <w:t>operating income after depreciation – (change</w:t>
      </w:r>
      <w:r>
        <w:t xml:space="preserve"> in current assets – change in c</w:t>
      </w:r>
      <w:r w:rsidRPr="0042218F">
        <w:t xml:space="preserve">ash) – (change in current liabilities – change in debt in current liabilities – change in taxes payable) – </w:t>
      </w:r>
      <w:r w:rsidRPr="008E2FB5">
        <w:rPr>
          <w:i/>
        </w:rPr>
        <w:t>DEPR</w:t>
      </w:r>
      <w:r w:rsidRPr="0042218F">
        <w:t>)</w:t>
      </w:r>
      <w:r>
        <w:t>. Change is current assets is (</w:t>
      </w:r>
      <w:proofErr w:type="spellStart"/>
      <w:r>
        <w:rPr>
          <w:i/>
        </w:rPr>
        <w:t>ACT</w:t>
      </w:r>
      <w:r w:rsidRPr="008E2FB5">
        <w:rPr>
          <w:i/>
          <w:vertAlign w:val="subscript"/>
        </w:rPr>
        <w:t>t</w:t>
      </w:r>
      <w:proofErr w:type="spellEnd"/>
      <w:r w:rsidRPr="00BC595D">
        <w:rPr>
          <w:i/>
        </w:rPr>
        <w:t xml:space="preserve"> </w:t>
      </w:r>
      <w:r>
        <w:rPr>
          <w:i/>
        </w:rPr>
        <w:t>- ACT</w:t>
      </w:r>
      <w:r w:rsidRPr="00CE1ED6">
        <w:rPr>
          <w:i/>
          <w:vertAlign w:val="subscript"/>
        </w:rPr>
        <w:t>t</w:t>
      </w:r>
      <w:r>
        <w:rPr>
          <w:i/>
          <w:vertAlign w:val="subscript"/>
        </w:rPr>
        <w:t>-1</w:t>
      </w:r>
      <w:r w:rsidRPr="008E2FB5">
        <w:t>)</w:t>
      </w:r>
      <w:r>
        <w:t>. Change in cash is (</w:t>
      </w:r>
      <w:proofErr w:type="spellStart"/>
      <w:r>
        <w:rPr>
          <w:i/>
        </w:rPr>
        <w:t>CASH</w:t>
      </w:r>
      <w:r w:rsidRPr="00CE1ED6">
        <w:rPr>
          <w:i/>
          <w:vertAlign w:val="subscript"/>
        </w:rPr>
        <w:t>t</w:t>
      </w:r>
      <w:proofErr w:type="spellEnd"/>
      <w:r w:rsidRPr="00BC595D">
        <w:rPr>
          <w:i/>
        </w:rPr>
        <w:t xml:space="preserve"> </w:t>
      </w:r>
      <w:r>
        <w:rPr>
          <w:i/>
        </w:rPr>
        <w:t>- CASH</w:t>
      </w:r>
      <w:r w:rsidRPr="00CE1ED6">
        <w:rPr>
          <w:i/>
          <w:vertAlign w:val="subscript"/>
        </w:rPr>
        <w:t>t</w:t>
      </w:r>
      <w:r>
        <w:rPr>
          <w:i/>
          <w:vertAlign w:val="subscript"/>
        </w:rPr>
        <w:t>-1</w:t>
      </w:r>
      <w:r w:rsidRPr="00CE1ED6">
        <w:t>)</w:t>
      </w:r>
      <w:r>
        <w:t>. Change in current liabilities is (</w:t>
      </w:r>
      <w:proofErr w:type="spellStart"/>
      <w:r>
        <w:rPr>
          <w:i/>
        </w:rPr>
        <w:t>LCT</w:t>
      </w:r>
      <w:r w:rsidRPr="00CE1ED6">
        <w:rPr>
          <w:i/>
          <w:vertAlign w:val="subscript"/>
        </w:rPr>
        <w:t>t</w:t>
      </w:r>
      <w:proofErr w:type="spellEnd"/>
      <w:r>
        <w:rPr>
          <w:i/>
        </w:rPr>
        <w:t xml:space="preserve"> – </w:t>
      </w:r>
      <w:r w:rsidRPr="008E2FB5">
        <w:rPr>
          <w:i/>
        </w:rPr>
        <w:t>LC</w:t>
      </w:r>
      <w:r>
        <w:rPr>
          <w:i/>
        </w:rPr>
        <w:t>T</w:t>
      </w:r>
      <w:r w:rsidRPr="00CE1ED6">
        <w:rPr>
          <w:i/>
          <w:vertAlign w:val="subscript"/>
        </w:rPr>
        <w:t>t</w:t>
      </w:r>
      <w:r>
        <w:rPr>
          <w:i/>
          <w:vertAlign w:val="subscript"/>
        </w:rPr>
        <w:t>-1</w:t>
      </w:r>
      <w:r w:rsidRPr="008E2FB5">
        <w:t>)</w:t>
      </w:r>
      <w:r>
        <w:t>. Change in debt in currently liabilities is (</w:t>
      </w:r>
      <w:proofErr w:type="spellStart"/>
      <w:r>
        <w:rPr>
          <w:i/>
        </w:rPr>
        <w:t>DLC</w:t>
      </w:r>
      <w:r w:rsidRPr="00CE1ED6">
        <w:rPr>
          <w:i/>
          <w:vertAlign w:val="subscript"/>
        </w:rPr>
        <w:t>t</w:t>
      </w:r>
      <w:proofErr w:type="spellEnd"/>
      <w:r>
        <w:rPr>
          <w:i/>
        </w:rPr>
        <w:t xml:space="preserve"> – </w:t>
      </w:r>
      <w:r w:rsidRPr="00CE1ED6">
        <w:rPr>
          <w:i/>
        </w:rPr>
        <w:t>DLC</w:t>
      </w:r>
      <w:r w:rsidRPr="00CE1ED6">
        <w:rPr>
          <w:i/>
          <w:vertAlign w:val="subscript"/>
        </w:rPr>
        <w:t>t</w:t>
      </w:r>
      <w:r>
        <w:rPr>
          <w:i/>
          <w:vertAlign w:val="subscript"/>
        </w:rPr>
        <w:t>-1</w:t>
      </w:r>
      <w:r w:rsidRPr="00CE1ED6">
        <w:t>)</w:t>
      </w:r>
      <w:r>
        <w:t>. Change in taxes payable is (</w:t>
      </w:r>
      <w:r>
        <w:rPr>
          <w:i/>
        </w:rPr>
        <w:t>TXP</w:t>
      </w:r>
      <w:r w:rsidRPr="008E2FB5">
        <w:rPr>
          <w:i/>
          <w:vertAlign w:val="subscript"/>
        </w:rPr>
        <w:t>t</w:t>
      </w:r>
      <w:r>
        <w:rPr>
          <w:i/>
        </w:rPr>
        <w:t>-TXP</w:t>
      </w:r>
      <w:r w:rsidRPr="008E2FB5">
        <w:rPr>
          <w:i/>
          <w:vertAlign w:val="subscript"/>
        </w:rPr>
        <w:t>t-1</w:t>
      </w:r>
      <w:r>
        <w:rPr>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80970"/>
    <w:multiLevelType w:val="hybridMultilevel"/>
    <w:tmpl w:val="829893AC"/>
    <w:lvl w:ilvl="0" w:tplc="7D12894E">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36C71"/>
    <w:multiLevelType w:val="hybridMultilevel"/>
    <w:tmpl w:val="682CBB9C"/>
    <w:lvl w:ilvl="0" w:tplc="24C269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715DCA"/>
    <w:multiLevelType w:val="multilevel"/>
    <w:tmpl w:val="829893AC"/>
    <w:lvl w:ilvl="0">
      <w:start w:val="2"/>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643996"/>
    <w:multiLevelType w:val="hybridMultilevel"/>
    <w:tmpl w:val="E022F5C0"/>
    <w:lvl w:ilvl="0" w:tplc="94AE5762">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64B5E"/>
    <w:multiLevelType w:val="hybridMultilevel"/>
    <w:tmpl w:val="62025F06"/>
    <w:lvl w:ilvl="0" w:tplc="2B302394">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243FEF"/>
    <w:multiLevelType w:val="hybridMultilevel"/>
    <w:tmpl w:val="682CBB9C"/>
    <w:lvl w:ilvl="0" w:tplc="24C269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6D2051"/>
    <w:multiLevelType w:val="multilevel"/>
    <w:tmpl w:val="829893AC"/>
    <w:lvl w:ilvl="0">
      <w:start w:val="2"/>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57C5994"/>
    <w:multiLevelType w:val="hybridMultilevel"/>
    <w:tmpl w:val="18EA338A"/>
    <w:lvl w:ilvl="0" w:tplc="7D12894E">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D462D9"/>
    <w:multiLevelType w:val="hybridMultilevel"/>
    <w:tmpl w:val="CFE2CC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4DD51CB"/>
    <w:multiLevelType w:val="hybridMultilevel"/>
    <w:tmpl w:val="8C0C50EA"/>
    <w:lvl w:ilvl="0" w:tplc="B7560386">
      <w:start w:val="1"/>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551D92"/>
    <w:multiLevelType w:val="hybridMultilevel"/>
    <w:tmpl w:val="829893AC"/>
    <w:lvl w:ilvl="0" w:tplc="7D12894E">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1"/>
  </w:num>
  <w:num w:numId="5">
    <w:abstractNumId w:val="0"/>
  </w:num>
  <w:num w:numId="6">
    <w:abstractNumId w:val="7"/>
  </w:num>
  <w:num w:numId="7">
    <w:abstractNumId w:val="10"/>
  </w:num>
  <w:num w:numId="8">
    <w:abstractNumId w:val="9"/>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US" w:vendorID="64" w:dllVersion="131078" w:nlCheck="1" w:checkStyle="0"/>
  <w:activeWritingStyle w:appName="MSWord" w:lang="de-DE" w:vendorID="64" w:dllVersion="131078" w:nlCheck="1" w:checkStyle="0"/>
  <w:activeWritingStyle w:appName="MSWord" w:lang="nl-NL"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29"/>
    <w:rsid w:val="00000AC8"/>
    <w:rsid w:val="0000296D"/>
    <w:rsid w:val="000047F8"/>
    <w:rsid w:val="00004B8C"/>
    <w:rsid w:val="000122DD"/>
    <w:rsid w:val="000123C6"/>
    <w:rsid w:val="00013008"/>
    <w:rsid w:val="00016DA4"/>
    <w:rsid w:val="00024170"/>
    <w:rsid w:val="00032548"/>
    <w:rsid w:val="00035073"/>
    <w:rsid w:val="00036466"/>
    <w:rsid w:val="000402CB"/>
    <w:rsid w:val="00042507"/>
    <w:rsid w:val="00043F29"/>
    <w:rsid w:val="00045007"/>
    <w:rsid w:val="00051E65"/>
    <w:rsid w:val="00053346"/>
    <w:rsid w:val="0005591C"/>
    <w:rsid w:val="00056848"/>
    <w:rsid w:val="00056A37"/>
    <w:rsid w:val="000571DD"/>
    <w:rsid w:val="00061F7F"/>
    <w:rsid w:val="000620A7"/>
    <w:rsid w:val="00065FF5"/>
    <w:rsid w:val="00067D79"/>
    <w:rsid w:val="00070C9D"/>
    <w:rsid w:val="000720FC"/>
    <w:rsid w:val="00073F9D"/>
    <w:rsid w:val="0007724F"/>
    <w:rsid w:val="00082802"/>
    <w:rsid w:val="00082A05"/>
    <w:rsid w:val="00084C02"/>
    <w:rsid w:val="00085362"/>
    <w:rsid w:val="00085ED2"/>
    <w:rsid w:val="000865B3"/>
    <w:rsid w:val="00091111"/>
    <w:rsid w:val="00091624"/>
    <w:rsid w:val="00092C95"/>
    <w:rsid w:val="00096863"/>
    <w:rsid w:val="00097B08"/>
    <w:rsid w:val="000A743D"/>
    <w:rsid w:val="000B038D"/>
    <w:rsid w:val="000B0E53"/>
    <w:rsid w:val="000B38DA"/>
    <w:rsid w:val="000B3EB4"/>
    <w:rsid w:val="000B49F3"/>
    <w:rsid w:val="000B5481"/>
    <w:rsid w:val="000B689B"/>
    <w:rsid w:val="000C03BD"/>
    <w:rsid w:val="000C2599"/>
    <w:rsid w:val="000C599F"/>
    <w:rsid w:val="000C5AAD"/>
    <w:rsid w:val="000D092D"/>
    <w:rsid w:val="000D34F0"/>
    <w:rsid w:val="000D3911"/>
    <w:rsid w:val="000D4612"/>
    <w:rsid w:val="000D4646"/>
    <w:rsid w:val="000E0CCB"/>
    <w:rsid w:val="000E2A06"/>
    <w:rsid w:val="000E7BC2"/>
    <w:rsid w:val="000F4FB0"/>
    <w:rsid w:val="000F5258"/>
    <w:rsid w:val="00100C72"/>
    <w:rsid w:val="00104FCF"/>
    <w:rsid w:val="0010552E"/>
    <w:rsid w:val="001071B7"/>
    <w:rsid w:val="00110BF1"/>
    <w:rsid w:val="00114476"/>
    <w:rsid w:val="00114A52"/>
    <w:rsid w:val="00120686"/>
    <w:rsid w:val="001230D1"/>
    <w:rsid w:val="0012487F"/>
    <w:rsid w:val="00131E24"/>
    <w:rsid w:val="0013308A"/>
    <w:rsid w:val="00133EC5"/>
    <w:rsid w:val="00133F0D"/>
    <w:rsid w:val="001342B3"/>
    <w:rsid w:val="00134F8B"/>
    <w:rsid w:val="001353F3"/>
    <w:rsid w:val="00135F65"/>
    <w:rsid w:val="00141CEF"/>
    <w:rsid w:val="00144350"/>
    <w:rsid w:val="00154BFD"/>
    <w:rsid w:val="00160422"/>
    <w:rsid w:val="00160A37"/>
    <w:rsid w:val="00160D7D"/>
    <w:rsid w:val="001611CC"/>
    <w:rsid w:val="0016246D"/>
    <w:rsid w:val="0016452B"/>
    <w:rsid w:val="00177C51"/>
    <w:rsid w:val="00183A3D"/>
    <w:rsid w:val="00187E31"/>
    <w:rsid w:val="00191ABB"/>
    <w:rsid w:val="001937C8"/>
    <w:rsid w:val="00194063"/>
    <w:rsid w:val="00197231"/>
    <w:rsid w:val="001A1C78"/>
    <w:rsid w:val="001A7107"/>
    <w:rsid w:val="001B0536"/>
    <w:rsid w:val="001B0B6C"/>
    <w:rsid w:val="001B27E5"/>
    <w:rsid w:val="001B45C2"/>
    <w:rsid w:val="001B6F4A"/>
    <w:rsid w:val="001C3A6C"/>
    <w:rsid w:val="001D2718"/>
    <w:rsid w:val="001D3AEF"/>
    <w:rsid w:val="001D6272"/>
    <w:rsid w:val="001D6A5D"/>
    <w:rsid w:val="001D7148"/>
    <w:rsid w:val="001E0565"/>
    <w:rsid w:val="001E2117"/>
    <w:rsid w:val="001E5EB3"/>
    <w:rsid w:val="001E607E"/>
    <w:rsid w:val="001E64BC"/>
    <w:rsid w:val="001F0B37"/>
    <w:rsid w:val="001F1DEB"/>
    <w:rsid w:val="00205ABE"/>
    <w:rsid w:val="00210071"/>
    <w:rsid w:val="00212E3A"/>
    <w:rsid w:val="002134FC"/>
    <w:rsid w:val="00215C4B"/>
    <w:rsid w:val="00215FF3"/>
    <w:rsid w:val="00220814"/>
    <w:rsid w:val="00222304"/>
    <w:rsid w:val="00222883"/>
    <w:rsid w:val="00222A5B"/>
    <w:rsid w:val="00222F3F"/>
    <w:rsid w:val="00223A61"/>
    <w:rsid w:val="00225723"/>
    <w:rsid w:val="0022725F"/>
    <w:rsid w:val="00230DE7"/>
    <w:rsid w:val="00240A7A"/>
    <w:rsid w:val="00241AD3"/>
    <w:rsid w:val="002468DC"/>
    <w:rsid w:val="00256087"/>
    <w:rsid w:val="00256824"/>
    <w:rsid w:val="00262F3D"/>
    <w:rsid w:val="00264CF1"/>
    <w:rsid w:val="002812D3"/>
    <w:rsid w:val="00285041"/>
    <w:rsid w:val="0028754E"/>
    <w:rsid w:val="00290939"/>
    <w:rsid w:val="00291BAC"/>
    <w:rsid w:val="00292047"/>
    <w:rsid w:val="00294DBD"/>
    <w:rsid w:val="002A071E"/>
    <w:rsid w:val="002A2BC0"/>
    <w:rsid w:val="002A3C09"/>
    <w:rsid w:val="002A6556"/>
    <w:rsid w:val="002B01A3"/>
    <w:rsid w:val="002B66E9"/>
    <w:rsid w:val="002C1208"/>
    <w:rsid w:val="002C4CE4"/>
    <w:rsid w:val="002C630C"/>
    <w:rsid w:val="002C6C4D"/>
    <w:rsid w:val="002C7797"/>
    <w:rsid w:val="002C7A56"/>
    <w:rsid w:val="002D04A8"/>
    <w:rsid w:val="002D1941"/>
    <w:rsid w:val="002D2B77"/>
    <w:rsid w:val="002D2E5D"/>
    <w:rsid w:val="002D3EC7"/>
    <w:rsid w:val="002D5126"/>
    <w:rsid w:val="002D5C92"/>
    <w:rsid w:val="002D7850"/>
    <w:rsid w:val="002E237C"/>
    <w:rsid w:val="002F0776"/>
    <w:rsid w:val="002F0780"/>
    <w:rsid w:val="002F1DB2"/>
    <w:rsid w:val="002F46BE"/>
    <w:rsid w:val="002F4BA9"/>
    <w:rsid w:val="003027BC"/>
    <w:rsid w:val="0030558B"/>
    <w:rsid w:val="00311852"/>
    <w:rsid w:val="00311F4A"/>
    <w:rsid w:val="0031680C"/>
    <w:rsid w:val="003173E4"/>
    <w:rsid w:val="003213C3"/>
    <w:rsid w:val="0032217C"/>
    <w:rsid w:val="0032237E"/>
    <w:rsid w:val="00322DC9"/>
    <w:rsid w:val="00325143"/>
    <w:rsid w:val="003269B1"/>
    <w:rsid w:val="00326E8C"/>
    <w:rsid w:val="00330A3C"/>
    <w:rsid w:val="00331559"/>
    <w:rsid w:val="00331807"/>
    <w:rsid w:val="003341C6"/>
    <w:rsid w:val="00340B41"/>
    <w:rsid w:val="00341393"/>
    <w:rsid w:val="003446D9"/>
    <w:rsid w:val="003511BE"/>
    <w:rsid w:val="0035121A"/>
    <w:rsid w:val="0035191D"/>
    <w:rsid w:val="0035405D"/>
    <w:rsid w:val="00354FFC"/>
    <w:rsid w:val="00361C07"/>
    <w:rsid w:val="00362F10"/>
    <w:rsid w:val="00372BCF"/>
    <w:rsid w:val="00376A4E"/>
    <w:rsid w:val="00381D6A"/>
    <w:rsid w:val="003856B1"/>
    <w:rsid w:val="00385F7E"/>
    <w:rsid w:val="003873E9"/>
    <w:rsid w:val="00387752"/>
    <w:rsid w:val="00387926"/>
    <w:rsid w:val="00392DDF"/>
    <w:rsid w:val="00396BA5"/>
    <w:rsid w:val="003A37FA"/>
    <w:rsid w:val="003A3FBF"/>
    <w:rsid w:val="003A500E"/>
    <w:rsid w:val="003A7253"/>
    <w:rsid w:val="003B0338"/>
    <w:rsid w:val="003B233C"/>
    <w:rsid w:val="003B3180"/>
    <w:rsid w:val="003B5054"/>
    <w:rsid w:val="003C00B1"/>
    <w:rsid w:val="003C2ACA"/>
    <w:rsid w:val="003C3481"/>
    <w:rsid w:val="003C508F"/>
    <w:rsid w:val="003D3D13"/>
    <w:rsid w:val="003D51D3"/>
    <w:rsid w:val="003E263A"/>
    <w:rsid w:val="003E372B"/>
    <w:rsid w:val="003E5193"/>
    <w:rsid w:val="003F2A19"/>
    <w:rsid w:val="003F625B"/>
    <w:rsid w:val="00400950"/>
    <w:rsid w:val="004032D6"/>
    <w:rsid w:val="004034B7"/>
    <w:rsid w:val="0040420E"/>
    <w:rsid w:val="00407428"/>
    <w:rsid w:val="004144AA"/>
    <w:rsid w:val="004179E9"/>
    <w:rsid w:val="00420D1C"/>
    <w:rsid w:val="00421E02"/>
    <w:rsid w:val="0042218F"/>
    <w:rsid w:val="00423380"/>
    <w:rsid w:val="004343F7"/>
    <w:rsid w:val="00434608"/>
    <w:rsid w:val="004347AF"/>
    <w:rsid w:val="00435160"/>
    <w:rsid w:val="00441F70"/>
    <w:rsid w:val="00443299"/>
    <w:rsid w:val="00444DE7"/>
    <w:rsid w:val="004459AE"/>
    <w:rsid w:val="004526B1"/>
    <w:rsid w:val="00452E16"/>
    <w:rsid w:val="00455057"/>
    <w:rsid w:val="0046112A"/>
    <w:rsid w:val="00463E87"/>
    <w:rsid w:val="00464A5C"/>
    <w:rsid w:val="00466B83"/>
    <w:rsid w:val="0047074F"/>
    <w:rsid w:val="00472EE1"/>
    <w:rsid w:val="00474120"/>
    <w:rsid w:val="00475AF4"/>
    <w:rsid w:val="004766EB"/>
    <w:rsid w:val="00482FD5"/>
    <w:rsid w:val="00484AA1"/>
    <w:rsid w:val="0048642F"/>
    <w:rsid w:val="00486BF0"/>
    <w:rsid w:val="00491DCE"/>
    <w:rsid w:val="00495451"/>
    <w:rsid w:val="00497957"/>
    <w:rsid w:val="004A1AEA"/>
    <w:rsid w:val="004A22B7"/>
    <w:rsid w:val="004A2C47"/>
    <w:rsid w:val="004A510E"/>
    <w:rsid w:val="004A5F48"/>
    <w:rsid w:val="004A7099"/>
    <w:rsid w:val="004A7E99"/>
    <w:rsid w:val="004B01E0"/>
    <w:rsid w:val="004B45DB"/>
    <w:rsid w:val="004B62B6"/>
    <w:rsid w:val="004C32C5"/>
    <w:rsid w:val="004C404B"/>
    <w:rsid w:val="004C7737"/>
    <w:rsid w:val="004D0F6A"/>
    <w:rsid w:val="004D1888"/>
    <w:rsid w:val="004D29C7"/>
    <w:rsid w:val="004D2B9E"/>
    <w:rsid w:val="004D3CF5"/>
    <w:rsid w:val="004D6A21"/>
    <w:rsid w:val="004D6D8D"/>
    <w:rsid w:val="004D703C"/>
    <w:rsid w:val="004D704F"/>
    <w:rsid w:val="004D71ED"/>
    <w:rsid w:val="004E0E44"/>
    <w:rsid w:val="004E483E"/>
    <w:rsid w:val="004E51C3"/>
    <w:rsid w:val="004F0391"/>
    <w:rsid w:val="004F2155"/>
    <w:rsid w:val="004F241B"/>
    <w:rsid w:val="004F3868"/>
    <w:rsid w:val="004F38A1"/>
    <w:rsid w:val="004F4394"/>
    <w:rsid w:val="004F66C0"/>
    <w:rsid w:val="00500212"/>
    <w:rsid w:val="00506755"/>
    <w:rsid w:val="00507C57"/>
    <w:rsid w:val="0051200A"/>
    <w:rsid w:val="00512680"/>
    <w:rsid w:val="00512683"/>
    <w:rsid w:val="005161B9"/>
    <w:rsid w:val="00517C5C"/>
    <w:rsid w:val="00517E4D"/>
    <w:rsid w:val="0052256B"/>
    <w:rsid w:val="005266C3"/>
    <w:rsid w:val="00531173"/>
    <w:rsid w:val="00531755"/>
    <w:rsid w:val="00531FF7"/>
    <w:rsid w:val="00532D0B"/>
    <w:rsid w:val="0053330A"/>
    <w:rsid w:val="00542113"/>
    <w:rsid w:val="00543769"/>
    <w:rsid w:val="00543924"/>
    <w:rsid w:val="00544DC5"/>
    <w:rsid w:val="00547133"/>
    <w:rsid w:val="005476D4"/>
    <w:rsid w:val="00547FEB"/>
    <w:rsid w:val="0055095F"/>
    <w:rsid w:val="00556700"/>
    <w:rsid w:val="00556D0D"/>
    <w:rsid w:val="00556D1D"/>
    <w:rsid w:val="005575EB"/>
    <w:rsid w:val="00562693"/>
    <w:rsid w:val="005649A5"/>
    <w:rsid w:val="0056556E"/>
    <w:rsid w:val="005661D0"/>
    <w:rsid w:val="005669EB"/>
    <w:rsid w:val="00566AAA"/>
    <w:rsid w:val="005674A6"/>
    <w:rsid w:val="00567F49"/>
    <w:rsid w:val="00570770"/>
    <w:rsid w:val="00570DFA"/>
    <w:rsid w:val="00571014"/>
    <w:rsid w:val="00571163"/>
    <w:rsid w:val="005734FE"/>
    <w:rsid w:val="00582C4F"/>
    <w:rsid w:val="00584EE7"/>
    <w:rsid w:val="00591336"/>
    <w:rsid w:val="00592E02"/>
    <w:rsid w:val="005942C6"/>
    <w:rsid w:val="00594797"/>
    <w:rsid w:val="00596629"/>
    <w:rsid w:val="00597353"/>
    <w:rsid w:val="005A08EB"/>
    <w:rsid w:val="005A1B43"/>
    <w:rsid w:val="005A2550"/>
    <w:rsid w:val="005A465A"/>
    <w:rsid w:val="005A57C7"/>
    <w:rsid w:val="005A65B4"/>
    <w:rsid w:val="005A66AB"/>
    <w:rsid w:val="005B071F"/>
    <w:rsid w:val="005B29C3"/>
    <w:rsid w:val="005B6573"/>
    <w:rsid w:val="005B7D3E"/>
    <w:rsid w:val="005C28A2"/>
    <w:rsid w:val="005C6057"/>
    <w:rsid w:val="005D1452"/>
    <w:rsid w:val="005D3951"/>
    <w:rsid w:val="005F17A9"/>
    <w:rsid w:val="005F4CC9"/>
    <w:rsid w:val="005F75A1"/>
    <w:rsid w:val="00600369"/>
    <w:rsid w:val="00603510"/>
    <w:rsid w:val="00610884"/>
    <w:rsid w:val="00613789"/>
    <w:rsid w:val="00615E89"/>
    <w:rsid w:val="006161E8"/>
    <w:rsid w:val="00616696"/>
    <w:rsid w:val="0062148F"/>
    <w:rsid w:val="00623483"/>
    <w:rsid w:val="0063046F"/>
    <w:rsid w:val="00630535"/>
    <w:rsid w:val="00632ACC"/>
    <w:rsid w:val="00633D16"/>
    <w:rsid w:val="00636103"/>
    <w:rsid w:val="00636CE8"/>
    <w:rsid w:val="006374F3"/>
    <w:rsid w:val="0064093D"/>
    <w:rsid w:val="006422F5"/>
    <w:rsid w:val="006445F4"/>
    <w:rsid w:val="006459F3"/>
    <w:rsid w:val="00645DC1"/>
    <w:rsid w:val="00646D9C"/>
    <w:rsid w:val="00646EAC"/>
    <w:rsid w:val="006501E0"/>
    <w:rsid w:val="006541D4"/>
    <w:rsid w:val="00656376"/>
    <w:rsid w:val="00662474"/>
    <w:rsid w:val="006651FB"/>
    <w:rsid w:val="00666755"/>
    <w:rsid w:val="00667DDF"/>
    <w:rsid w:val="00671645"/>
    <w:rsid w:val="00672105"/>
    <w:rsid w:val="00674122"/>
    <w:rsid w:val="0067655D"/>
    <w:rsid w:val="00680AEE"/>
    <w:rsid w:val="00681316"/>
    <w:rsid w:val="00683197"/>
    <w:rsid w:val="0069105A"/>
    <w:rsid w:val="0069414D"/>
    <w:rsid w:val="00697CAC"/>
    <w:rsid w:val="006A2CF2"/>
    <w:rsid w:val="006A47D4"/>
    <w:rsid w:val="006A5D3D"/>
    <w:rsid w:val="006A6F0E"/>
    <w:rsid w:val="006B483B"/>
    <w:rsid w:val="006B5394"/>
    <w:rsid w:val="006B59A4"/>
    <w:rsid w:val="006C1334"/>
    <w:rsid w:val="006D3A30"/>
    <w:rsid w:val="006D3DFC"/>
    <w:rsid w:val="006D4EAC"/>
    <w:rsid w:val="006D5578"/>
    <w:rsid w:val="006D6F92"/>
    <w:rsid w:val="006D76C3"/>
    <w:rsid w:val="006D7D49"/>
    <w:rsid w:val="006E0100"/>
    <w:rsid w:val="006E04D9"/>
    <w:rsid w:val="006E28BA"/>
    <w:rsid w:val="006E7064"/>
    <w:rsid w:val="006F1631"/>
    <w:rsid w:val="006F3B1E"/>
    <w:rsid w:val="006F55ED"/>
    <w:rsid w:val="006F7FC1"/>
    <w:rsid w:val="007011BA"/>
    <w:rsid w:val="007101F6"/>
    <w:rsid w:val="00711A70"/>
    <w:rsid w:val="00713BE3"/>
    <w:rsid w:val="0071662A"/>
    <w:rsid w:val="00717644"/>
    <w:rsid w:val="00720226"/>
    <w:rsid w:val="007222D9"/>
    <w:rsid w:val="007254CB"/>
    <w:rsid w:val="00727C18"/>
    <w:rsid w:val="00730145"/>
    <w:rsid w:val="00734272"/>
    <w:rsid w:val="0074257F"/>
    <w:rsid w:val="0074435A"/>
    <w:rsid w:val="00750E4E"/>
    <w:rsid w:val="007512D6"/>
    <w:rsid w:val="00752EE6"/>
    <w:rsid w:val="00752F4E"/>
    <w:rsid w:val="00756892"/>
    <w:rsid w:val="00757F03"/>
    <w:rsid w:val="00765769"/>
    <w:rsid w:val="007674B9"/>
    <w:rsid w:val="0077097E"/>
    <w:rsid w:val="0077510C"/>
    <w:rsid w:val="00775C37"/>
    <w:rsid w:val="00782346"/>
    <w:rsid w:val="00782F53"/>
    <w:rsid w:val="007835F1"/>
    <w:rsid w:val="0078409B"/>
    <w:rsid w:val="00784F6A"/>
    <w:rsid w:val="00786FC5"/>
    <w:rsid w:val="007903D0"/>
    <w:rsid w:val="0079182A"/>
    <w:rsid w:val="00792B1B"/>
    <w:rsid w:val="007A5774"/>
    <w:rsid w:val="007A7B66"/>
    <w:rsid w:val="007B0845"/>
    <w:rsid w:val="007B1433"/>
    <w:rsid w:val="007B3200"/>
    <w:rsid w:val="007B4C32"/>
    <w:rsid w:val="007B5B88"/>
    <w:rsid w:val="007B62AB"/>
    <w:rsid w:val="007B6701"/>
    <w:rsid w:val="007B6A16"/>
    <w:rsid w:val="007B7701"/>
    <w:rsid w:val="007C02C0"/>
    <w:rsid w:val="007C2630"/>
    <w:rsid w:val="007C2AB1"/>
    <w:rsid w:val="007C37AF"/>
    <w:rsid w:val="007C3B31"/>
    <w:rsid w:val="007C4049"/>
    <w:rsid w:val="007C7D6E"/>
    <w:rsid w:val="007D1DAC"/>
    <w:rsid w:val="007D66DD"/>
    <w:rsid w:val="007E002E"/>
    <w:rsid w:val="007E0C9E"/>
    <w:rsid w:val="007E20C2"/>
    <w:rsid w:val="007E7140"/>
    <w:rsid w:val="007F5FD4"/>
    <w:rsid w:val="007F651D"/>
    <w:rsid w:val="007F73C5"/>
    <w:rsid w:val="0080123A"/>
    <w:rsid w:val="00801984"/>
    <w:rsid w:val="00802A9B"/>
    <w:rsid w:val="0080496B"/>
    <w:rsid w:val="008067A9"/>
    <w:rsid w:val="0081137E"/>
    <w:rsid w:val="008133A0"/>
    <w:rsid w:val="008143B7"/>
    <w:rsid w:val="0081679A"/>
    <w:rsid w:val="008258F2"/>
    <w:rsid w:val="0083596A"/>
    <w:rsid w:val="008406C2"/>
    <w:rsid w:val="008424AB"/>
    <w:rsid w:val="0084531D"/>
    <w:rsid w:val="008535D2"/>
    <w:rsid w:val="00855148"/>
    <w:rsid w:val="00857E8B"/>
    <w:rsid w:val="00857FB3"/>
    <w:rsid w:val="00862B29"/>
    <w:rsid w:val="00867925"/>
    <w:rsid w:val="00870172"/>
    <w:rsid w:val="00880795"/>
    <w:rsid w:val="0088093F"/>
    <w:rsid w:val="008817EF"/>
    <w:rsid w:val="008835DF"/>
    <w:rsid w:val="0088440D"/>
    <w:rsid w:val="00885C04"/>
    <w:rsid w:val="00890237"/>
    <w:rsid w:val="00890A50"/>
    <w:rsid w:val="00890BAC"/>
    <w:rsid w:val="00890EAC"/>
    <w:rsid w:val="008959DA"/>
    <w:rsid w:val="00896BAD"/>
    <w:rsid w:val="008A7855"/>
    <w:rsid w:val="008B0224"/>
    <w:rsid w:val="008B0FF7"/>
    <w:rsid w:val="008B3B16"/>
    <w:rsid w:val="008C1003"/>
    <w:rsid w:val="008C174F"/>
    <w:rsid w:val="008C56C4"/>
    <w:rsid w:val="008D225C"/>
    <w:rsid w:val="008D3C58"/>
    <w:rsid w:val="008D476B"/>
    <w:rsid w:val="008D5EE6"/>
    <w:rsid w:val="008E1BE8"/>
    <w:rsid w:val="008E2DEE"/>
    <w:rsid w:val="008E2FB5"/>
    <w:rsid w:val="008E34E8"/>
    <w:rsid w:val="008F0247"/>
    <w:rsid w:val="008F0297"/>
    <w:rsid w:val="008F05C3"/>
    <w:rsid w:val="008F1EE3"/>
    <w:rsid w:val="008F60F2"/>
    <w:rsid w:val="00903B18"/>
    <w:rsid w:val="00903BAA"/>
    <w:rsid w:val="009113CD"/>
    <w:rsid w:val="009132BC"/>
    <w:rsid w:val="009133F4"/>
    <w:rsid w:val="009161E1"/>
    <w:rsid w:val="009317DB"/>
    <w:rsid w:val="00932CD6"/>
    <w:rsid w:val="00934F86"/>
    <w:rsid w:val="00935126"/>
    <w:rsid w:val="00942582"/>
    <w:rsid w:val="0094592C"/>
    <w:rsid w:val="00945ACF"/>
    <w:rsid w:val="00945D95"/>
    <w:rsid w:val="00945E80"/>
    <w:rsid w:val="00950E3A"/>
    <w:rsid w:val="00954BDC"/>
    <w:rsid w:val="0095790C"/>
    <w:rsid w:val="00962F18"/>
    <w:rsid w:val="00964411"/>
    <w:rsid w:val="00970CE3"/>
    <w:rsid w:val="00971BC9"/>
    <w:rsid w:val="009745EA"/>
    <w:rsid w:val="00975592"/>
    <w:rsid w:val="00980EFA"/>
    <w:rsid w:val="00981A5B"/>
    <w:rsid w:val="0098351A"/>
    <w:rsid w:val="00983ED7"/>
    <w:rsid w:val="009843D9"/>
    <w:rsid w:val="00991E18"/>
    <w:rsid w:val="00995646"/>
    <w:rsid w:val="00996D13"/>
    <w:rsid w:val="0099755C"/>
    <w:rsid w:val="009A1230"/>
    <w:rsid w:val="009A5651"/>
    <w:rsid w:val="009A57CB"/>
    <w:rsid w:val="009B2604"/>
    <w:rsid w:val="009B27C7"/>
    <w:rsid w:val="009D0CD4"/>
    <w:rsid w:val="009D0E30"/>
    <w:rsid w:val="009E1FF6"/>
    <w:rsid w:val="009E38E7"/>
    <w:rsid w:val="009E6EEA"/>
    <w:rsid w:val="009E6FBD"/>
    <w:rsid w:val="009F0457"/>
    <w:rsid w:val="009F0584"/>
    <w:rsid w:val="009F3493"/>
    <w:rsid w:val="009F60A7"/>
    <w:rsid w:val="00A006B7"/>
    <w:rsid w:val="00A1249F"/>
    <w:rsid w:val="00A125D0"/>
    <w:rsid w:val="00A12976"/>
    <w:rsid w:val="00A1336A"/>
    <w:rsid w:val="00A13A69"/>
    <w:rsid w:val="00A176C9"/>
    <w:rsid w:val="00A20627"/>
    <w:rsid w:val="00A22686"/>
    <w:rsid w:val="00A24BAA"/>
    <w:rsid w:val="00A26FD9"/>
    <w:rsid w:val="00A277CD"/>
    <w:rsid w:val="00A30071"/>
    <w:rsid w:val="00A34221"/>
    <w:rsid w:val="00A34577"/>
    <w:rsid w:val="00A410E8"/>
    <w:rsid w:val="00A509BE"/>
    <w:rsid w:val="00A52B18"/>
    <w:rsid w:val="00A55DED"/>
    <w:rsid w:val="00A6253E"/>
    <w:rsid w:val="00A628FB"/>
    <w:rsid w:val="00A7168C"/>
    <w:rsid w:val="00A72453"/>
    <w:rsid w:val="00A77834"/>
    <w:rsid w:val="00A80699"/>
    <w:rsid w:val="00A827D2"/>
    <w:rsid w:val="00A85C01"/>
    <w:rsid w:val="00A9124E"/>
    <w:rsid w:val="00A93762"/>
    <w:rsid w:val="00A93ED7"/>
    <w:rsid w:val="00A9574C"/>
    <w:rsid w:val="00A96E85"/>
    <w:rsid w:val="00A9704C"/>
    <w:rsid w:val="00AA0773"/>
    <w:rsid w:val="00AA2481"/>
    <w:rsid w:val="00AA330E"/>
    <w:rsid w:val="00AB07D0"/>
    <w:rsid w:val="00AB3056"/>
    <w:rsid w:val="00AB5B13"/>
    <w:rsid w:val="00AB5CF8"/>
    <w:rsid w:val="00AB70A2"/>
    <w:rsid w:val="00AC1198"/>
    <w:rsid w:val="00AD11BE"/>
    <w:rsid w:val="00AD4D4E"/>
    <w:rsid w:val="00AE0E39"/>
    <w:rsid w:val="00AF1D5D"/>
    <w:rsid w:val="00AF6FE5"/>
    <w:rsid w:val="00B0202F"/>
    <w:rsid w:val="00B043CA"/>
    <w:rsid w:val="00B12490"/>
    <w:rsid w:val="00B126FA"/>
    <w:rsid w:val="00B1482A"/>
    <w:rsid w:val="00B15CC1"/>
    <w:rsid w:val="00B21283"/>
    <w:rsid w:val="00B22DAF"/>
    <w:rsid w:val="00B30483"/>
    <w:rsid w:val="00B350C0"/>
    <w:rsid w:val="00B409D5"/>
    <w:rsid w:val="00B40F9C"/>
    <w:rsid w:val="00B41942"/>
    <w:rsid w:val="00B41C8B"/>
    <w:rsid w:val="00B47814"/>
    <w:rsid w:val="00B47848"/>
    <w:rsid w:val="00B47DC6"/>
    <w:rsid w:val="00B523E3"/>
    <w:rsid w:val="00B541F3"/>
    <w:rsid w:val="00B57EF6"/>
    <w:rsid w:val="00B61BD9"/>
    <w:rsid w:val="00B6272D"/>
    <w:rsid w:val="00B637E7"/>
    <w:rsid w:val="00B63AE5"/>
    <w:rsid w:val="00B63F62"/>
    <w:rsid w:val="00B63FA6"/>
    <w:rsid w:val="00B73B39"/>
    <w:rsid w:val="00B75231"/>
    <w:rsid w:val="00B77A0E"/>
    <w:rsid w:val="00B77E53"/>
    <w:rsid w:val="00B802CE"/>
    <w:rsid w:val="00B83BEA"/>
    <w:rsid w:val="00B846E4"/>
    <w:rsid w:val="00B857D2"/>
    <w:rsid w:val="00B85833"/>
    <w:rsid w:val="00B85D80"/>
    <w:rsid w:val="00B86D05"/>
    <w:rsid w:val="00B87131"/>
    <w:rsid w:val="00B87426"/>
    <w:rsid w:val="00B91F36"/>
    <w:rsid w:val="00B943D0"/>
    <w:rsid w:val="00B957CB"/>
    <w:rsid w:val="00B969D0"/>
    <w:rsid w:val="00B96C67"/>
    <w:rsid w:val="00B973F4"/>
    <w:rsid w:val="00B9791C"/>
    <w:rsid w:val="00BA1683"/>
    <w:rsid w:val="00BA758C"/>
    <w:rsid w:val="00BB0B7F"/>
    <w:rsid w:val="00BC215D"/>
    <w:rsid w:val="00BC29AA"/>
    <w:rsid w:val="00BC41FE"/>
    <w:rsid w:val="00BC5666"/>
    <w:rsid w:val="00BC595D"/>
    <w:rsid w:val="00BD0272"/>
    <w:rsid w:val="00BD11E5"/>
    <w:rsid w:val="00BE048D"/>
    <w:rsid w:val="00BE1630"/>
    <w:rsid w:val="00BE1BCD"/>
    <w:rsid w:val="00BE3317"/>
    <w:rsid w:val="00BE3BCE"/>
    <w:rsid w:val="00BE4667"/>
    <w:rsid w:val="00BF15A1"/>
    <w:rsid w:val="00BF6B82"/>
    <w:rsid w:val="00C00C05"/>
    <w:rsid w:val="00C00DF0"/>
    <w:rsid w:val="00C01407"/>
    <w:rsid w:val="00C0682F"/>
    <w:rsid w:val="00C06EFD"/>
    <w:rsid w:val="00C10859"/>
    <w:rsid w:val="00C12768"/>
    <w:rsid w:val="00C148EC"/>
    <w:rsid w:val="00C17FA5"/>
    <w:rsid w:val="00C20136"/>
    <w:rsid w:val="00C206DE"/>
    <w:rsid w:val="00C2090E"/>
    <w:rsid w:val="00C210DF"/>
    <w:rsid w:val="00C21248"/>
    <w:rsid w:val="00C212E4"/>
    <w:rsid w:val="00C23F71"/>
    <w:rsid w:val="00C253B3"/>
    <w:rsid w:val="00C31B56"/>
    <w:rsid w:val="00C33D7E"/>
    <w:rsid w:val="00C367B5"/>
    <w:rsid w:val="00C4128E"/>
    <w:rsid w:val="00C43EE5"/>
    <w:rsid w:val="00C45A2C"/>
    <w:rsid w:val="00C460D1"/>
    <w:rsid w:val="00C5055F"/>
    <w:rsid w:val="00C516B5"/>
    <w:rsid w:val="00C53F56"/>
    <w:rsid w:val="00C54958"/>
    <w:rsid w:val="00C60D42"/>
    <w:rsid w:val="00C61F37"/>
    <w:rsid w:val="00C65781"/>
    <w:rsid w:val="00C705A8"/>
    <w:rsid w:val="00C71A40"/>
    <w:rsid w:val="00C7273D"/>
    <w:rsid w:val="00C763FF"/>
    <w:rsid w:val="00C77552"/>
    <w:rsid w:val="00C8257C"/>
    <w:rsid w:val="00C82AA7"/>
    <w:rsid w:val="00C82E5F"/>
    <w:rsid w:val="00C82EB5"/>
    <w:rsid w:val="00C85D81"/>
    <w:rsid w:val="00C870CB"/>
    <w:rsid w:val="00C91D9C"/>
    <w:rsid w:val="00C95032"/>
    <w:rsid w:val="00C9729D"/>
    <w:rsid w:val="00C97D96"/>
    <w:rsid w:val="00CA082E"/>
    <w:rsid w:val="00CA1A57"/>
    <w:rsid w:val="00CA38DC"/>
    <w:rsid w:val="00CA461D"/>
    <w:rsid w:val="00CB48AC"/>
    <w:rsid w:val="00CB596E"/>
    <w:rsid w:val="00CB648C"/>
    <w:rsid w:val="00CB75E2"/>
    <w:rsid w:val="00CC4561"/>
    <w:rsid w:val="00CD0342"/>
    <w:rsid w:val="00CD04EB"/>
    <w:rsid w:val="00CD11D0"/>
    <w:rsid w:val="00CD58F6"/>
    <w:rsid w:val="00CE4981"/>
    <w:rsid w:val="00CE7641"/>
    <w:rsid w:val="00CF56A2"/>
    <w:rsid w:val="00D005BE"/>
    <w:rsid w:val="00D00CD6"/>
    <w:rsid w:val="00D01538"/>
    <w:rsid w:val="00D01771"/>
    <w:rsid w:val="00D01897"/>
    <w:rsid w:val="00D052E9"/>
    <w:rsid w:val="00D05738"/>
    <w:rsid w:val="00D16FEF"/>
    <w:rsid w:val="00D171FE"/>
    <w:rsid w:val="00D21E41"/>
    <w:rsid w:val="00D251D2"/>
    <w:rsid w:val="00D323A1"/>
    <w:rsid w:val="00D330B5"/>
    <w:rsid w:val="00D338A6"/>
    <w:rsid w:val="00D34995"/>
    <w:rsid w:val="00D3608A"/>
    <w:rsid w:val="00D36269"/>
    <w:rsid w:val="00D3725C"/>
    <w:rsid w:val="00D3741C"/>
    <w:rsid w:val="00D40129"/>
    <w:rsid w:val="00D41814"/>
    <w:rsid w:val="00D41CE1"/>
    <w:rsid w:val="00D557C3"/>
    <w:rsid w:val="00D578FE"/>
    <w:rsid w:val="00D61E96"/>
    <w:rsid w:val="00D62083"/>
    <w:rsid w:val="00D6379D"/>
    <w:rsid w:val="00D677C8"/>
    <w:rsid w:val="00D710C5"/>
    <w:rsid w:val="00D737FF"/>
    <w:rsid w:val="00D7794C"/>
    <w:rsid w:val="00D77AB2"/>
    <w:rsid w:val="00D82837"/>
    <w:rsid w:val="00D833FC"/>
    <w:rsid w:val="00D84B0B"/>
    <w:rsid w:val="00D84C38"/>
    <w:rsid w:val="00D9259D"/>
    <w:rsid w:val="00D928DF"/>
    <w:rsid w:val="00D9338F"/>
    <w:rsid w:val="00D9502C"/>
    <w:rsid w:val="00D962F6"/>
    <w:rsid w:val="00DA024E"/>
    <w:rsid w:val="00DA066A"/>
    <w:rsid w:val="00DB039C"/>
    <w:rsid w:val="00DB136E"/>
    <w:rsid w:val="00DB5F1B"/>
    <w:rsid w:val="00DB71D9"/>
    <w:rsid w:val="00DB745A"/>
    <w:rsid w:val="00DC4E9E"/>
    <w:rsid w:val="00DD1A5F"/>
    <w:rsid w:val="00DD4980"/>
    <w:rsid w:val="00DD6DD0"/>
    <w:rsid w:val="00DD7A6F"/>
    <w:rsid w:val="00DE0D40"/>
    <w:rsid w:val="00DE2451"/>
    <w:rsid w:val="00DE3FE1"/>
    <w:rsid w:val="00DE4EE3"/>
    <w:rsid w:val="00DE5D82"/>
    <w:rsid w:val="00DF5600"/>
    <w:rsid w:val="00DF72FE"/>
    <w:rsid w:val="00DF7A6A"/>
    <w:rsid w:val="00E009A7"/>
    <w:rsid w:val="00E02827"/>
    <w:rsid w:val="00E05FD2"/>
    <w:rsid w:val="00E07498"/>
    <w:rsid w:val="00E11DE0"/>
    <w:rsid w:val="00E149A9"/>
    <w:rsid w:val="00E15765"/>
    <w:rsid w:val="00E16427"/>
    <w:rsid w:val="00E167F8"/>
    <w:rsid w:val="00E20652"/>
    <w:rsid w:val="00E21BFA"/>
    <w:rsid w:val="00E23D3B"/>
    <w:rsid w:val="00E241A5"/>
    <w:rsid w:val="00E25A97"/>
    <w:rsid w:val="00E32750"/>
    <w:rsid w:val="00E32A75"/>
    <w:rsid w:val="00E356C5"/>
    <w:rsid w:val="00E36D39"/>
    <w:rsid w:val="00E448D0"/>
    <w:rsid w:val="00E44F26"/>
    <w:rsid w:val="00E46B90"/>
    <w:rsid w:val="00E476FF"/>
    <w:rsid w:val="00E50A9F"/>
    <w:rsid w:val="00E61780"/>
    <w:rsid w:val="00E64D5F"/>
    <w:rsid w:val="00E66C11"/>
    <w:rsid w:val="00E67A9D"/>
    <w:rsid w:val="00E73505"/>
    <w:rsid w:val="00E73D3C"/>
    <w:rsid w:val="00E778C1"/>
    <w:rsid w:val="00E80E44"/>
    <w:rsid w:val="00E834B1"/>
    <w:rsid w:val="00E85879"/>
    <w:rsid w:val="00E85F97"/>
    <w:rsid w:val="00E90E41"/>
    <w:rsid w:val="00E93BF5"/>
    <w:rsid w:val="00E964A6"/>
    <w:rsid w:val="00EA7C23"/>
    <w:rsid w:val="00EA7FE3"/>
    <w:rsid w:val="00EB0C49"/>
    <w:rsid w:val="00EB1390"/>
    <w:rsid w:val="00EB4527"/>
    <w:rsid w:val="00EB4E58"/>
    <w:rsid w:val="00EC08C3"/>
    <w:rsid w:val="00EC0B2C"/>
    <w:rsid w:val="00EC0B74"/>
    <w:rsid w:val="00EC27C9"/>
    <w:rsid w:val="00EC61F8"/>
    <w:rsid w:val="00EC7114"/>
    <w:rsid w:val="00ED0524"/>
    <w:rsid w:val="00ED2454"/>
    <w:rsid w:val="00ED2A55"/>
    <w:rsid w:val="00ED3149"/>
    <w:rsid w:val="00ED4692"/>
    <w:rsid w:val="00EE0E8F"/>
    <w:rsid w:val="00EE205F"/>
    <w:rsid w:val="00EE2BF0"/>
    <w:rsid w:val="00EE37D8"/>
    <w:rsid w:val="00EF0DC4"/>
    <w:rsid w:val="00EF10C7"/>
    <w:rsid w:val="00EF1980"/>
    <w:rsid w:val="00EF22FC"/>
    <w:rsid w:val="00F004AE"/>
    <w:rsid w:val="00F032C8"/>
    <w:rsid w:val="00F04937"/>
    <w:rsid w:val="00F05A85"/>
    <w:rsid w:val="00F05FA4"/>
    <w:rsid w:val="00F1451C"/>
    <w:rsid w:val="00F15F7E"/>
    <w:rsid w:val="00F16D8C"/>
    <w:rsid w:val="00F17478"/>
    <w:rsid w:val="00F21609"/>
    <w:rsid w:val="00F2407C"/>
    <w:rsid w:val="00F24694"/>
    <w:rsid w:val="00F2600E"/>
    <w:rsid w:val="00F3456C"/>
    <w:rsid w:val="00F36246"/>
    <w:rsid w:val="00F40F7D"/>
    <w:rsid w:val="00F5574D"/>
    <w:rsid w:val="00F60904"/>
    <w:rsid w:val="00F62C2F"/>
    <w:rsid w:val="00F6411F"/>
    <w:rsid w:val="00F65A01"/>
    <w:rsid w:val="00F66469"/>
    <w:rsid w:val="00F66523"/>
    <w:rsid w:val="00F7797A"/>
    <w:rsid w:val="00F81D66"/>
    <w:rsid w:val="00F81FC6"/>
    <w:rsid w:val="00F85CAD"/>
    <w:rsid w:val="00F8653F"/>
    <w:rsid w:val="00F91D88"/>
    <w:rsid w:val="00F926A6"/>
    <w:rsid w:val="00F93BA9"/>
    <w:rsid w:val="00F960A7"/>
    <w:rsid w:val="00FA01EE"/>
    <w:rsid w:val="00FA0508"/>
    <w:rsid w:val="00FA402C"/>
    <w:rsid w:val="00FA5595"/>
    <w:rsid w:val="00FA7BF2"/>
    <w:rsid w:val="00FB03D0"/>
    <w:rsid w:val="00FB1A87"/>
    <w:rsid w:val="00FB30DF"/>
    <w:rsid w:val="00FB323A"/>
    <w:rsid w:val="00FB3387"/>
    <w:rsid w:val="00FB7151"/>
    <w:rsid w:val="00FC2922"/>
    <w:rsid w:val="00FC753C"/>
    <w:rsid w:val="00FD0840"/>
    <w:rsid w:val="00FD1E5E"/>
    <w:rsid w:val="00FD3543"/>
    <w:rsid w:val="00FD3841"/>
    <w:rsid w:val="00FD533D"/>
    <w:rsid w:val="00FD5D3D"/>
    <w:rsid w:val="00FD6D7B"/>
    <w:rsid w:val="00FE2065"/>
    <w:rsid w:val="00FE28EC"/>
    <w:rsid w:val="00FE4DCF"/>
    <w:rsid w:val="00FE6ADD"/>
    <w:rsid w:val="00FF006F"/>
    <w:rsid w:val="00FF22DA"/>
    <w:rsid w:val="00FF4DB3"/>
    <w:rsid w:val="00FF5011"/>
    <w:rsid w:val="00FF5565"/>
    <w:rsid w:val="00FF608D"/>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572144"/>
  <w14:defaultImageDpi w14:val="300"/>
  <w15:docId w15:val="{E7D3E9F0-5951-432F-9263-AC35B3CDD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35A"/>
    <w:pPr>
      <w:ind w:left="720"/>
      <w:contextualSpacing/>
    </w:pPr>
  </w:style>
  <w:style w:type="paragraph" w:styleId="BalloonText">
    <w:name w:val="Balloon Text"/>
    <w:basedOn w:val="Normal"/>
    <w:link w:val="BalloonTextChar"/>
    <w:uiPriority w:val="99"/>
    <w:semiHidden/>
    <w:unhideWhenUsed/>
    <w:rsid w:val="007B77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7701"/>
    <w:rPr>
      <w:rFonts w:ascii="Lucida Grande" w:hAnsi="Lucida Grande" w:cs="Lucida Grande"/>
      <w:sz w:val="18"/>
      <w:szCs w:val="18"/>
    </w:rPr>
  </w:style>
  <w:style w:type="character" w:styleId="CommentReference">
    <w:name w:val="annotation reference"/>
    <w:basedOn w:val="DefaultParagraphFont"/>
    <w:uiPriority w:val="99"/>
    <w:semiHidden/>
    <w:unhideWhenUsed/>
    <w:rsid w:val="00D21E41"/>
    <w:rPr>
      <w:sz w:val="16"/>
      <w:szCs w:val="16"/>
    </w:rPr>
  </w:style>
  <w:style w:type="paragraph" w:styleId="CommentText">
    <w:name w:val="annotation text"/>
    <w:basedOn w:val="Normal"/>
    <w:link w:val="CommentTextChar"/>
    <w:uiPriority w:val="99"/>
    <w:unhideWhenUsed/>
    <w:rsid w:val="00D21E41"/>
    <w:rPr>
      <w:sz w:val="20"/>
      <w:szCs w:val="20"/>
    </w:rPr>
  </w:style>
  <w:style w:type="character" w:customStyle="1" w:styleId="CommentTextChar">
    <w:name w:val="Comment Text Char"/>
    <w:basedOn w:val="DefaultParagraphFont"/>
    <w:link w:val="CommentText"/>
    <w:uiPriority w:val="99"/>
    <w:rsid w:val="00D21E41"/>
    <w:rPr>
      <w:sz w:val="20"/>
      <w:szCs w:val="20"/>
    </w:rPr>
  </w:style>
  <w:style w:type="paragraph" w:styleId="CommentSubject">
    <w:name w:val="annotation subject"/>
    <w:basedOn w:val="CommentText"/>
    <w:next w:val="CommentText"/>
    <w:link w:val="CommentSubjectChar"/>
    <w:uiPriority w:val="99"/>
    <w:semiHidden/>
    <w:unhideWhenUsed/>
    <w:rsid w:val="00D21E41"/>
    <w:rPr>
      <w:b/>
      <w:bCs/>
    </w:rPr>
  </w:style>
  <w:style w:type="character" w:customStyle="1" w:styleId="CommentSubjectChar">
    <w:name w:val="Comment Subject Char"/>
    <w:basedOn w:val="CommentTextChar"/>
    <w:link w:val="CommentSubject"/>
    <w:uiPriority w:val="99"/>
    <w:semiHidden/>
    <w:rsid w:val="00D21E41"/>
    <w:rPr>
      <w:b/>
      <w:bCs/>
      <w:sz w:val="20"/>
      <w:szCs w:val="20"/>
    </w:rPr>
  </w:style>
  <w:style w:type="paragraph" w:styleId="FootnoteText">
    <w:name w:val="footnote text"/>
    <w:basedOn w:val="Normal"/>
    <w:link w:val="FootnoteTextChar"/>
    <w:uiPriority w:val="99"/>
    <w:unhideWhenUsed/>
    <w:rsid w:val="0042218F"/>
    <w:rPr>
      <w:sz w:val="20"/>
      <w:szCs w:val="20"/>
    </w:rPr>
  </w:style>
  <w:style w:type="character" w:customStyle="1" w:styleId="FootnoteTextChar">
    <w:name w:val="Footnote Text Char"/>
    <w:basedOn w:val="DefaultParagraphFont"/>
    <w:link w:val="FootnoteText"/>
    <w:uiPriority w:val="99"/>
    <w:rsid w:val="0042218F"/>
    <w:rPr>
      <w:sz w:val="20"/>
      <w:szCs w:val="20"/>
    </w:rPr>
  </w:style>
  <w:style w:type="character" w:styleId="FootnoteReference">
    <w:name w:val="footnote reference"/>
    <w:basedOn w:val="DefaultParagraphFont"/>
    <w:uiPriority w:val="99"/>
    <w:unhideWhenUsed/>
    <w:rsid w:val="0042218F"/>
    <w:rPr>
      <w:vertAlign w:val="superscript"/>
    </w:rPr>
  </w:style>
  <w:style w:type="character" w:styleId="Hyperlink">
    <w:name w:val="Hyperlink"/>
    <w:basedOn w:val="DefaultParagraphFont"/>
    <w:uiPriority w:val="99"/>
    <w:unhideWhenUsed/>
    <w:rsid w:val="00975592"/>
    <w:rPr>
      <w:color w:val="0000FF" w:themeColor="hyperlink"/>
      <w:u w:val="single"/>
    </w:rPr>
  </w:style>
  <w:style w:type="paragraph" w:styleId="Header">
    <w:name w:val="header"/>
    <w:basedOn w:val="Normal"/>
    <w:link w:val="HeaderChar"/>
    <w:uiPriority w:val="99"/>
    <w:unhideWhenUsed/>
    <w:rsid w:val="00671645"/>
    <w:pPr>
      <w:tabs>
        <w:tab w:val="center" w:pos="4680"/>
        <w:tab w:val="right" w:pos="9360"/>
      </w:tabs>
    </w:pPr>
  </w:style>
  <w:style w:type="character" w:customStyle="1" w:styleId="HeaderChar">
    <w:name w:val="Header Char"/>
    <w:basedOn w:val="DefaultParagraphFont"/>
    <w:link w:val="Header"/>
    <w:uiPriority w:val="99"/>
    <w:rsid w:val="00671645"/>
  </w:style>
  <w:style w:type="paragraph" w:styleId="Footer">
    <w:name w:val="footer"/>
    <w:basedOn w:val="Normal"/>
    <w:link w:val="FooterChar"/>
    <w:uiPriority w:val="99"/>
    <w:unhideWhenUsed/>
    <w:rsid w:val="00671645"/>
    <w:pPr>
      <w:tabs>
        <w:tab w:val="center" w:pos="4680"/>
        <w:tab w:val="right" w:pos="9360"/>
      </w:tabs>
    </w:pPr>
  </w:style>
  <w:style w:type="character" w:customStyle="1" w:styleId="FooterChar">
    <w:name w:val="Footer Char"/>
    <w:basedOn w:val="DefaultParagraphFont"/>
    <w:link w:val="Footer"/>
    <w:uiPriority w:val="99"/>
    <w:rsid w:val="00671645"/>
  </w:style>
  <w:style w:type="character" w:styleId="FollowedHyperlink">
    <w:name w:val="FollowedHyperlink"/>
    <w:basedOn w:val="DefaultParagraphFont"/>
    <w:uiPriority w:val="99"/>
    <w:semiHidden/>
    <w:unhideWhenUsed/>
    <w:rsid w:val="00E448D0"/>
    <w:rPr>
      <w:color w:val="800080" w:themeColor="followedHyperlink"/>
      <w:u w:val="single"/>
    </w:rPr>
  </w:style>
  <w:style w:type="paragraph" w:customStyle="1" w:styleId="p1">
    <w:name w:val="p1"/>
    <w:basedOn w:val="Normal"/>
    <w:rsid w:val="00F40F7D"/>
    <w:rPr>
      <w:rFonts w:ascii="Times" w:hAnsi="Times"/>
      <w:sz w:val="15"/>
      <w:szCs w:val="15"/>
    </w:rPr>
  </w:style>
  <w:style w:type="character" w:customStyle="1" w:styleId="apple-converted-space">
    <w:name w:val="apple-converted-space"/>
    <w:basedOn w:val="DefaultParagraphFont"/>
    <w:rsid w:val="00F40F7D"/>
  </w:style>
  <w:style w:type="character" w:customStyle="1" w:styleId="s1">
    <w:name w:val="s1"/>
    <w:basedOn w:val="DefaultParagraphFont"/>
    <w:rsid w:val="00646EAC"/>
    <w:rPr>
      <w:rFonts w:ascii="Helvetica" w:hAnsi="Helvetica" w:hint="default"/>
      <w:sz w:val="15"/>
      <w:szCs w:val="15"/>
    </w:rPr>
  </w:style>
  <w:style w:type="table" w:styleId="TableGrid">
    <w:name w:val="Table Grid"/>
    <w:basedOn w:val="TableNormal"/>
    <w:uiPriority w:val="59"/>
    <w:rsid w:val="000B0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8E2FB5"/>
  </w:style>
  <w:style w:type="character" w:customStyle="1" w:styleId="DocumentMapChar">
    <w:name w:val="Document Map Char"/>
    <w:basedOn w:val="DefaultParagraphFont"/>
    <w:link w:val="DocumentMap"/>
    <w:uiPriority w:val="99"/>
    <w:semiHidden/>
    <w:rsid w:val="008E2FB5"/>
  </w:style>
  <w:style w:type="paragraph" w:styleId="Revision">
    <w:name w:val="Revision"/>
    <w:hidden/>
    <w:uiPriority w:val="99"/>
    <w:semiHidden/>
    <w:rsid w:val="008E2FB5"/>
  </w:style>
  <w:style w:type="character" w:styleId="Strong">
    <w:name w:val="Strong"/>
    <w:basedOn w:val="DefaultParagraphFont"/>
    <w:uiPriority w:val="22"/>
    <w:qFormat/>
    <w:rsid w:val="002B01A3"/>
    <w:rPr>
      <w:b/>
      <w:bCs/>
    </w:rPr>
  </w:style>
  <w:style w:type="character" w:customStyle="1" w:styleId="author">
    <w:name w:val="author"/>
    <w:basedOn w:val="DefaultParagraphFont"/>
    <w:rsid w:val="00934F86"/>
  </w:style>
  <w:style w:type="character" w:customStyle="1" w:styleId="pubyear">
    <w:name w:val="pubyear"/>
    <w:basedOn w:val="DefaultParagraphFont"/>
    <w:rsid w:val="00934F86"/>
  </w:style>
  <w:style w:type="character" w:customStyle="1" w:styleId="articletitle">
    <w:name w:val="articletitle"/>
    <w:basedOn w:val="DefaultParagraphFont"/>
    <w:rsid w:val="00934F86"/>
  </w:style>
  <w:style w:type="character" w:customStyle="1" w:styleId="journaltitle">
    <w:name w:val="journaltitle"/>
    <w:basedOn w:val="DefaultParagraphFont"/>
    <w:rsid w:val="00934F86"/>
  </w:style>
  <w:style w:type="character" w:customStyle="1" w:styleId="vol">
    <w:name w:val="vol"/>
    <w:basedOn w:val="DefaultParagraphFont"/>
    <w:rsid w:val="00934F86"/>
  </w:style>
  <w:style w:type="character" w:customStyle="1" w:styleId="pagefirst">
    <w:name w:val="pagefirst"/>
    <w:basedOn w:val="DefaultParagraphFont"/>
    <w:rsid w:val="00934F86"/>
  </w:style>
  <w:style w:type="character" w:customStyle="1" w:styleId="pagelast">
    <w:name w:val="pagelast"/>
    <w:basedOn w:val="DefaultParagraphFont"/>
    <w:rsid w:val="00934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31947">
      <w:bodyDiv w:val="1"/>
      <w:marLeft w:val="0"/>
      <w:marRight w:val="0"/>
      <w:marTop w:val="0"/>
      <w:marBottom w:val="0"/>
      <w:divBdr>
        <w:top w:val="none" w:sz="0" w:space="0" w:color="auto"/>
        <w:left w:val="none" w:sz="0" w:space="0" w:color="auto"/>
        <w:bottom w:val="none" w:sz="0" w:space="0" w:color="auto"/>
        <w:right w:val="none" w:sz="0" w:space="0" w:color="auto"/>
      </w:divBdr>
    </w:div>
    <w:div w:id="145897818">
      <w:bodyDiv w:val="1"/>
      <w:marLeft w:val="0"/>
      <w:marRight w:val="0"/>
      <w:marTop w:val="0"/>
      <w:marBottom w:val="0"/>
      <w:divBdr>
        <w:top w:val="none" w:sz="0" w:space="0" w:color="auto"/>
        <w:left w:val="none" w:sz="0" w:space="0" w:color="auto"/>
        <w:bottom w:val="none" w:sz="0" w:space="0" w:color="auto"/>
        <w:right w:val="none" w:sz="0" w:space="0" w:color="auto"/>
      </w:divBdr>
    </w:div>
    <w:div w:id="512261070">
      <w:bodyDiv w:val="1"/>
      <w:marLeft w:val="0"/>
      <w:marRight w:val="0"/>
      <w:marTop w:val="0"/>
      <w:marBottom w:val="0"/>
      <w:divBdr>
        <w:top w:val="none" w:sz="0" w:space="0" w:color="auto"/>
        <w:left w:val="none" w:sz="0" w:space="0" w:color="auto"/>
        <w:bottom w:val="none" w:sz="0" w:space="0" w:color="auto"/>
        <w:right w:val="none" w:sz="0" w:space="0" w:color="auto"/>
      </w:divBdr>
    </w:div>
    <w:div w:id="589313033">
      <w:bodyDiv w:val="1"/>
      <w:marLeft w:val="0"/>
      <w:marRight w:val="0"/>
      <w:marTop w:val="0"/>
      <w:marBottom w:val="0"/>
      <w:divBdr>
        <w:top w:val="none" w:sz="0" w:space="0" w:color="auto"/>
        <w:left w:val="none" w:sz="0" w:space="0" w:color="auto"/>
        <w:bottom w:val="none" w:sz="0" w:space="0" w:color="auto"/>
        <w:right w:val="none" w:sz="0" w:space="0" w:color="auto"/>
      </w:divBdr>
    </w:div>
    <w:div w:id="652835023">
      <w:bodyDiv w:val="1"/>
      <w:marLeft w:val="0"/>
      <w:marRight w:val="0"/>
      <w:marTop w:val="0"/>
      <w:marBottom w:val="0"/>
      <w:divBdr>
        <w:top w:val="none" w:sz="0" w:space="0" w:color="auto"/>
        <w:left w:val="none" w:sz="0" w:space="0" w:color="auto"/>
        <w:bottom w:val="none" w:sz="0" w:space="0" w:color="auto"/>
        <w:right w:val="none" w:sz="0" w:space="0" w:color="auto"/>
      </w:divBdr>
    </w:div>
    <w:div w:id="688987018">
      <w:bodyDiv w:val="1"/>
      <w:marLeft w:val="0"/>
      <w:marRight w:val="0"/>
      <w:marTop w:val="0"/>
      <w:marBottom w:val="0"/>
      <w:divBdr>
        <w:top w:val="none" w:sz="0" w:space="0" w:color="auto"/>
        <w:left w:val="none" w:sz="0" w:space="0" w:color="auto"/>
        <w:bottom w:val="none" w:sz="0" w:space="0" w:color="auto"/>
        <w:right w:val="none" w:sz="0" w:space="0" w:color="auto"/>
      </w:divBdr>
    </w:div>
    <w:div w:id="772701980">
      <w:bodyDiv w:val="1"/>
      <w:marLeft w:val="0"/>
      <w:marRight w:val="0"/>
      <w:marTop w:val="0"/>
      <w:marBottom w:val="0"/>
      <w:divBdr>
        <w:top w:val="none" w:sz="0" w:space="0" w:color="auto"/>
        <w:left w:val="none" w:sz="0" w:space="0" w:color="auto"/>
        <w:bottom w:val="none" w:sz="0" w:space="0" w:color="auto"/>
        <w:right w:val="none" w:sz="0" w:space="0" w:color="auto"/>
      </w:divBdr>
    </w:div>
    <w:div w:id="801188876">
      <w:bodyDiv w:val="1"/>
      <w:marLeft w:val="0"/>
      <w:marRight w:val="0"/>
      <w:marTop w:val="0"/>
      <w:marBottom w:val="0"/>
      <w:divBdr>
        <w:top w:val="none" w:sz="0" w:space="0" w:color="auto"/>
        <w:left w:val="none" w:sz="0" w:space="0" w:color="auto"/>
        <w:bottom w:val="none" w:sz="0" w:space="0" w:color="auto"/>
        <w:right w:val="none" w:sz="0" w:space="0" w:color="auto"/>
      </w:divBdr>
    </w:div>
    <w:div w:id="819419791">
      <w:bodyDiv w:val="1"/>
      <w:marLeft w:val="0"/>
      <w:marRight w:val="0"/>
      <w:marTop w:val="0"/>
      <w:marBottom w:val="0"/>
      <w:divBdr>
        <w:top w:val="none" w:sz="0" w:space="0" w:color="auto"/>
        <w:left w:val="none" w:sz="0" w:space="0" w:color="auto"/>
        <w:bottom w:val="none" w:sz="0" w:space="0" w:color="auto"/>
        <w:right w:val="none" w:sz="0" w:space="0" w:color="auto"/>
      </w:divBdr>
    </w:div>
    <w:div w:id="832990572">
      <w:bodyDiv w:val="1"/>
      <w:marLeft w:val="0"/>
      <w:marRight w:val="0"/>
      <w:marTop w:val="0"/>
      <w:marBottom w:val="0"/>
      <w:divBdr>
        <w:top w:val="none" w:sz="0" w:space="0" w:color="auto"/>
        <w:left w:val="none" w:sz="0" w:space="0" w:color="auto"/>
        <w:bottom w:val="none" w:sz="0" w:space="0" w:color="auto"/>
        <w:right w:val="none" w:sz="0" w:space="0" w:color="auto"/>
      </w:divBdr>
    </w:div>
    <w:div w:id="1044989400">
      <w:bodyDiv w:val="1"/>
      <w:marLeft w:val="0"/>
      <w:marRight w:val="0"/>
      <w:marTop w:val="0"/>
      <w:marBottom w:val="0"/>
      <w:divBdr>
        <w:top w:val="none" w:sz="0" w:space="0" w:color="auto"/>
        <w:left w:val="none" w:sz="0" w:space="0" w:color="auto"/>
        <w:bottom w:val="none" w:sz="0" w:space="0" w:color="auto"/>
        <w:right w:val="none" w:sz="0" w:space="0" w:color="auto"/>
      </w:divBdr>
    </w:div>
    <w:div w:id="1113325593">
      <w:bodyDiv w:val="1"/>
      <w:marLeft w:val="0"/>
      <w:marRight w:val="0"/>
      <w:marTop w:val="0"/>
      <w:marBottom w:val="0"/>
      <w:divBdr>
        <w:top w:val="none" w:sz="0" w:space="0" w:color="auto"/>
        <w:left w:val="none" w:sz="0" w:space="0" w:color="auto"/>
        <w:bottom w:val="none" w:sz="0" w:space="0" w:color="auto"/>
        <w:right w:val="none" w:sz="0" w:space="0" w:color="auto"/>
      </w:divBdr>
    </w:div>
    <w:div w:id="1187451675">
      <w:bodyDiv w:val="1"/>
      <w:marLeft w:val="0"/>
      <w:marRight w:val="0"/>
      <w:marTop w:val="0"/>
      <w:marBottom w:val="0"/>
      <w:divBdr>
        <w:top w:val="none" w:sz="0" w:space="0" w:color="auto"/>
        <w:left w:val="none" w:sz="0" w:space="0" w:color="auto"/>
        <w:bottom w:val="none" w:sz="0" w:space="0" w:color="auto"/>
        <w:right w:val="none" w:sz="0" w:space="0" w:color="auto"/>
      </w:divBdr>
    </w:div>
    <w:div w:id="1368918950">
      <w:bodyDiv w:val="1"/>
      <w:marLeft w:val="0"/>
      <w:marRight w:val="0"/>
      <w:marTop w:val="0"/>
      <w:marBottom w:val="0"/>
      <w:divBdr>
        <w:top w:val="none" w:sz="0" w:space="0" w:color="auto"/>
        <w:left w:val="none" w:sz="0" w:space="0" w:color="auto"/>
        <w:bottom w:val="none" w:sz="0" w:space="0" w:color="auto"/>
        <w:right w:val="none" w:sz="0" w:space="0" w:color="auto"/>
      </w:divBdr>
    </w:div>
    <w:div w:id="1396708597">
      <w:bodyDiv w:val="1"/>
      <w:marLeft w:val="0"/>
      <w:marRight w:val="0"/>
      <w:marTop w:val="0"/>
      <w:marBottom w:val="0"/>
      <w:divBdr>
        <w:top w:val="none" w:sz="0" w:space="0" w:color="auto"/>
        <w:left w:val="none" w:sz="0" w:space="0" w:color="auto"/>
        <w:bottom w:val="none" w:sz="0" w:space="0" w:color="auto"/>
        <w:right w:val="none" w:sz="0" w:space="0" w:color="auto"/>
      </w:divBdr>
      <w:divsChild>
        <w:div w:id="386149978">
          <w:marLeft w:val="0"/>
          <w:marRight w:val="0"/>
          <w:marTop w:val="0"/>
          <w:marBottom w:val="0"/>
          <w:divBdr>
            <w:top w:val="none" w:sz="0" w:space="0" w:color="auto"/>
            <w:left w:val="none" w:sz="0" w:space="0" w:color="auto"/>
            <w:bottom w:val="none" w:sz="0" w:space="0" w:color="auto"/>
            <w:right w:val="none" w:sz="0" w:space="0" w:color="auto"/>
          </w:divBdr>
          <w:divsChild>
            <w:div w:id="1080827430">
              <w:marLeft w:val="0"/>
              <w:marRight w:val="0"/>
              <w:marTop w:val="0"/>
              <w:marBottom w:val="0"/>
              <w:divBdr>
                <w:top w:val="none" w:sz="0" w:space="0" w:color="auto"/>
                <w:left w:val="none" w:sz="0" w:space="0" w:color="auto"/>
                <w:bottom w:val="none" w:sz="0" w:space="0" w:color="auto"/>
                <w:right w:val="none" w:sz="0" w:space="0" w:color="auto"/>
              </w:divBdr>
              <w:divsChild>
                <w:div w:id="1988585377">
                  <w:marLeft w:val="0"/>
                  <w:marRight w:val="0"/>
                  <w:marTop w:val="0"/>
                  <w:marBottom w:val="0"/>
                  <w:divBdr>
                    <w:top w:val="none" w:sz="0" w:space="0" w:color="auto"/>
                    <w:left w:val="none" w:sz="0" w:space="0" w:color="auto"/>
                    <w:bottom w:val="none" w:sz="0" w:space="0" w:color="auto"/>
                    <w:right w:val="none" w:sz="0" w:space="0" w:color="auto"/>
                  </w:divBdr>
                  <w:divsChild>
                    <w:div w:id="13300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087373">
      <w:bodyDiv w:val="1"/>
      <w:marLeft w:val="0"/>
      <w:marRight w:val="0"/>
      <w:marTop w:val="0"/>
      <w:marBottom w:val="0"/>
      <w:divBdr>
        <w:top w:val="none" w:sz="0" w:space="0" w:color="auto"/>
        <w:left w:val="none" w:sz="0" w:space="0" w:color="auto"/>
        <w:bottom w:val="none" w:sz="0" w:space="0" w:color="auto"/>
        <w:right w:val="none" w:sz="0" w:space="0" w:color="auto"/>
      </w:divBdr>
    </w:div>
    <w:div w:id="1807894646">
      <w:bodyDiv w:val="1"/>
      <w:marLeft w:val="0"/>
      <w:marRight w:val="0"/>
      <w:marTop w:val="0"/>
      <w:marBottom w:val="0"/>
      <w:divBdr>
        <w:top w:val="none" w:sz="0" w:space="0" w:color="auto"/>
        <w:left w:val="none" w:sz="0" w:space="0" w:color="auto"/>
        <w:bottom w:val="none" w:sz="0" w:space="0" w:color="auto"/>
        <w:right w:val="none" w:sz="0" w:space="0" w:color="auto"/>
      </w:divBdr>
    </w:div>
    <w:div w:id="1844010949">
      <w:bodyDiv w:val="1"/>
      <w:marLeft w:val="0"/>
      <w:marRight w:val="0"/>
      <w:marTop w:val="0"/>
      <w:marBottom w:val="0"/>
      <w:divBdr>
        <w:top w:val="none" w:sz="0" w:space="0" w:color="auto"/>
        <w:left w:val="none" w:sz="0" w:space="0" w:color="auto"/>
        <w:bottom w:val="none" w:sz="0" w:space="0" w:color="auto"/>
        <w:right w:val="none" w:sz="0" w:space="0" w:color="auto"/>
      </w:divBdr>
    </w:div>
    <w:div w:id="1917939425">
      <w:bodyDiv w:val="1"/>
      <w:marLeft w:val="0"/>
      <w:marRight w:val="0"/>
      <w:marTop w:val="0"/>
      <w:marBottom w:val="0"/>
      <w:divBdr>
        <w:top w:val="none" w:sz="0" w:space="0" w:color="auto"/>
        <w:left w:val="none" w:sz="0" w:space="0" w:color="auto"/>
        <w:bottom w:val="none" w:sz="0" w:space="0" w:color="auto"/>
        <w:right w:val="none" w:sz="0" w:space="0" w:color="auto"/>
      </w:divBdr>
    </w:div>
    <w:div w:id="1995722020">
      <w:bodyDiv w:val="1"/>
      <w:marLeft w:val="0"/>
      <w:marRight w:val="0"/>
      <w:marTop w:val="0"/>
      <w:marBottom w:val="0"/>
      <w:divBdr>
        <w:top w:val="none" w:sz="0" w:space="0" w:color="auto"/>
        <w:left w:val="none" w:sz="0" w:space="0" w:color="auto"/>
        <w:bottom w:val="none" w:sz="0" w:space="0" w:color="auto"/>
        <w:right w:val="none" w:sz="0" w:space="0" w:color="auto"/>
      </w:divBdr>
    </w:div>
    <w:div w:id="2091539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law.cornell.edu/cfr/text/26/1.48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1E014-1CC1-47BF-9AC8-0CD141583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9685</Words>
  <Characters>55205</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64761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Klassen</dc:creator>
  <cp:keywords/>
  <dc:description/>
  <cp:lastModifiedBy>Seidman, Jeri (jks7v)</cp:lastModifiedBy>
  <cp:revision>4</cp:revision>
  <cp:lastPrinted>2017-11-01T23:23:00Z</cp:lastPrinted>
  <dcterms:created xsi:type="dcterms:W3CDTF">2017-11-02T18:43:00Z</dcterms:created>
  <dcterms:modified xsi:type="dcterms:W3CDTF">2017-11-02T18:48:00Z</dcterms:modified>
  <cp:category/>
</cp:coreProperties>
</file>